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1D" w:rsidRDefault="0096771D" w:rsidP="0096771D">
      <w:pPr>
        <w:spacing w:after="0"/>
        <w:jc w:val="right"/>
        <w:rPr>
          <w:rFonts w:cs="Arial"/>
          <w:b/>
          <w:sz w:val="56"/>
          <w:szCs w:val="56"/>
        </w:rPr>
      </w:pPr>
      <w:r>
        <w:rPr>
          <w:rFonts w:cs="Arial"/>
          <w:b/>
          <w:sz w:val="56"/>
          <w:szCs w:val="56"/>
        </w:rPr>
        <w:t>Analysis of the socio-economic impacts of a harmonised classification for titanium dioxide (TiO</w:t>
      </w:r>
      <w:r>
        <w:rPr>
          <w:rFonts w:cs="Arial"/>
          <w:b/>
          <w:sz w:val="56"/>
          <w:szCs w:val="56"/>
          <w:vertAlign w:val="subscript"/>
        </w:rPr>
        <w:t>2</w:t>
      </w:r>
      <w:r>
        <w:rPr>
          <w:rFonts w:cs="Arial"/>
          <w:b/>
          <w:sz w:val="56"/>
          <w:szCs w:val="56"/>
        </w:rPr>
        <w:t>)</w:t>
      </w:r>
    </w:p>
    <w:p w:rsidR="0096771D" w:rsidRDefault="0096771D" w:rsidP="0096771D">
      <w:pPr>
        <w:spacing w:after="0"/>
        <w:jc w:val="right"/>
        <w:rPr>
          <w:rFonts w:cs="Arial"/>
          <w:b/>
          <w:sz w:val="56"/>
          <w:szCs w:val="56"/>
        </w:rPr>
      </w:pPr>
    </w:p>
    <w:p w:rsidR="0096771D" w:rsidRDefault="0096771D" w:rsidP="0096771D">
      <w:pPr>
        <w:spacing w:after="0"/>
        <w:jc w:val="right"/>
        <w:rPr>
          <w:rFonts w:cs="Arial"/>
          <w:b/>
          <w:sz w:val="56"/>
          <w:szCs w:val="56"/>
        </w:rPr>
      </w:pPr>
    </w:p>
    <w:p w:rsidR="0096771D" w:rsidRDefault="0096771D" w:rsidP="0096771D">
      <w:pPr>
        <w:spacing w:after="0"/>
        <w:jc w:val="right"/>
        <w:rPr>
          <w:rFonts w:cs="Arial"/>
          <w:b/>
          <w:sz w:val="56"/>
          <w:szCs w:val="56"/>
        </w:rPr>
      </w:pPr>
    </w:p>
    <w:p w:rsidR="0096771D" w:rsidRDefault="0096771D" w:rsidP="0096771D">
      <w:pPr>
        <w:spacing w:after="0"/>
        <w:jc w:val="right"/>
        <w:rPr>
          <w:rFonts w:cs="Arial"/>
          <w:b/>
          <w:sz w:val="44"/>
          <w:szCs w:val="44"/>
        </w:rPr>
      </w:pPr>
      <w:r>
        <w:rPr>
          <w:rFonts w:cs="Arial"/>
          <w:b/>
          <w:sz w:val="44"/>
          <w:szCs w:val="44"/>
        </w:rPr>
        <w:t>Draft Final Report for Downstream User Consultation</w:t>
      </w:r>
    </w:p>
    <w:p w:rsidR="0096771D" w:rsidRDefault="0096771D" w:rsidP="0096771D">
      <w:pPr>
        <w:spacing w:after="0"/>
        <w:jc w:val="right"/>
        <w:rPr>
          <w:rFonts w:cs="Arial"/>
          <w:sz w:val="32"/>
          <w:szCs w:val="32"/>
        </w:rPr>
      </w:pPr>
      <w:proofErr w:type="gramStart"/>
      <w:r>
        <w:rPr>
          <w:rFonts w:cs="Arial"/>
          <w:sz w:val="32"/>
          <w:szCs w:val="32"/>
        </w:rPr>
        <w:t>prepared</w:t>
      </w:r>
      <w:proofErr w:type="gramEnd"/>
      <w:r>
        <w:rPr>
          <w:rFonts w:cs="Arial"/>
          <w:sz w:val="32"/>
          <w:szCs w:val="32"/>
        </w:rPr>
        <w:t xml:space="preserve"> for</w:t>
      </w:r>
    </w:p>
    <w:p w:rsidR="0096771D" w:rsidRDefault="0096771D" w:rsidP="0096771D">
      <w:pPr>
        <w:spacing w:after="0"/>
        <w:jc w:val="right"/>
        <w:rPr>
          <w:rFonts w:cs="Arial"/>
          <w:sz w:val="32"/>
          <w:szCs w:val="32"/>
        </w:rPr>
      </w:pPr>
    </w:p>
    <w:p w:rsidR="0096771D" w:rsidRDefault="0096771D" w:rsidP="0096771D">
      <w:pPr>
        <w:spacing w:after="0"/>
        <w:jc w:val="right"/>
        <w:rPr>
          <w:rFonts w:cs="Arial"/>
          <w:b/>
          <w:sz w:val="44"/>
          <w:szCs w:val="44"/>
        </w:rPr>
      </w:pPr>
      <w:r>
        <w:rPr>
          <w:rFonts w:cs="Arial"/>
          <w:b/>
          <w:sz w:val="44"/>
          <w:szCs w:val="44"/>
        </w:rPr>
        <w:t>Titanium Dioxide Industry Consortium</w:t>
      </w:r>
    </w:p>
    <w:p w:rsidR="0096771D" w:rsidRDefault="0096771D" w:rsidP="0096771D">
      <w:pPr>
        <w:spacing w:after="0"/>
        <w:jc w:val="right"/>
        <w:rPr>
          <w:rFonts w:cs="Arial"/>
          <w:b/>
          <w:sz w:val="56"/>
          <w:szCs w:val="56"/>
        </w:rPr>
      </w:pPr>
    </w:p>
    <w:p w:rsidR="0096771D" w:rsidRDefault="0096771D" w:rsidP="0096771D">
      <w:pPr>
        <w:spacing w:after="0"/>
        <w:jc w:val="right"/>
        <w:rPr>
          <w:rFonts w:cs="Arial"/>
          <w:b/>
          <w:sz w:val="56"/>
          <w:szCs w:val="56"/>
        </w:rPr>
      </w:pPr>
    </w:p>
    <w:p w:rsidR="0096771D" w:rsidRDefault="0096771D" w:rsidP="0096771D">
      <w:pPr>
        <w:spacing w:after="0"/>
        <w:jc w:val="right"/>
        <w:rPr>
          <w:rFonts w:cs="Arial"/>
          <w:b/>
          <w:sz w:val="56"/>
          <w:szCs w:val="56"/>
        </w:rPr>
      </w:pPr>
    </w:p>
    <w:p w:rsidR="0096771D" w:rsidRDefault="0096771D" w:rsidP="0096771D">
      <w:pPr>
        <w:spacing w:after="0"/>
        <w:jc w:val="right"/>
        <w:rPr>
          <w:rFonts w:cs="Arial"/>
          <w:b/>
          <w:sz w:val="56"/>
          <w:szCs w:val="56"/>
        </w:rPr>
      </w:pPr>
    </w:p>
    <w:p w:rsidR="0096771D" w:rsidRDefault="0096771D" w:rsidP="0096771D">
      <w:pPr>
        <w:spacing w:after="0"/>
        <w:jc w:val="center"/>
        <w:rPr>
          <w:rFonts w:cs="Arial"/>
          <w:b/>
          <w:sz w:val="40"/>
          <w:szCs w:val="40"/>
        </w:rPr>
      </w:pPr>
    </w:p>
    <w:p w:rsidR="0096771D" w:rsidRDefault="0096771D" w:rsidP="0096771D">
      <w:pPr>
        <w:spacing w:after="0"/>
        <w:jc w:val="center"/>
        <w:rPr>
          <w:rFonts w:cs="Arial"/>
          <w:b/>
          <w:sz w:val="40"/>
          <w:szCs w:val="40"/>
        </w:rPr>
      </w:pPr>
      <w:r>
        <w:rPr>
          <w:rFonts w:cs="Arial"/>
          <w:b/>
          <w:sz w:val="40"/>
          <w:szCs w:val="40"/>
        </w:rPr>
        <w:t>Analysis of the socio-economic impacts of a harmonised classification for titanium dioxide (TiO</w:t>
      </w:r>
      <w:r>
        <w:rPr>
          <w:rFonts w:cs="Arial"/>
          <w:b/>
          <w:sz w:val="40"/>
          <w:szCs w:val="40"/>
          <w:vertAlign w:val="subscript"/>
        </w:rPr>
        <w:t>2</w:t>
      </w:r>
      <w:r>
        <w:rPr>
          <w:rFonts w:cs="Arial"/>
          <w:b/>
          <w:sz w:val="40"/>
          <w:szCs w:val="40"/>
        </w:rPr>
        <w:t>)</w:t>
      </w:r>
    </w:p>
    <w:p w:rsidR="0096771D" w:rsidRDefault="0096771D" w:rsidP="0096771D">
      <w:pPr>
        <w:pStyle w:val="berschrift1"/>
        <w:numPr>
          <w:ilvl w:val="0"/>
          <w:numId w:val="0"/>
        </w:numPr>
        <w:rPr>
          <w:b/>
          <w:bCs/>
        </w:rPr>
      </w:pPr>
      <w:bookmarkStart w:id="0" w:name="_Toc470188603"/>
      <w:r>
        <w:rPr>
          <w:b/>
          <w:bCs/>
        </w:rPr>
        <w:lastRenderedPageBreak/>
        <w:t>Executive Summary</w:t>
      </w:r>
      <w:bookmarkEnd w:id="0"/>
      <w:r>
        <w:rPr>
          <w:b/>
          <w:bCs/>
        </w:rPr>
        <w:t xml:space="preserve"> </w:t>
      </w:r>
    </w:p>
    <w:p w:rsidR="0096771D" w:rsidRDefault="0096771D" w:rsidP="0096771D">
      <w:pPr>
        <w:rPr>
          <w:sz w:val="20"/>
          <w:szCs w:val="20"/>
        </w:rPr>
      </w:pPr>
      <w:r>
        <w:rPr>
          <w:sz w:val="20"/>
          <w:szCs w:val="20"/>
        </w:rPr>
        <w:t>Titanium dioxide (TiO</w:t>
      </w:r>
      <w:r>
        <w:rPr>
          <w:sz w:val="20"/>
          <w:szCs w:val="20"/>
          <w:vertAlign w:val="subscript"/>
        </w:rPr>
        <w:t>2</w:t>
      </w:r>
      <w:r>
        <w:rPr>
          <w:sz w:val="20"/>
          <w:szCs w:val="20"/>
        </w:rPr>
        <w:t xml:space="preserve">) is by far the highest volume and most versatile globally-used white pigment. No other comes close to matching its exceptionally high opacity, bright whiteness and UV absorbing, protective properties.  It is manufactured in 18 plants in the European Economic Area (EEA) with an annual production volume of ca. 1,100 </w:t>
      </w:r>
      <w:proofErr w:type="spellStart"/>
      <w:r>
        <w:rPr>
          <w:sz w:val="20"/>
          <w:szCs w:val="20"/>
        </w:rPr>
        <w:t>ktonnes</w:t>
      </w:r>
      <w:proofErr w:type="spellEnd"/>
      <w:r>
        <w:rPr>
          <w:sz w:val="20"/>
          <w:szCs w:val="20"/>
        </w:rPr>
        <w:t xml:space="preserve"> and an estimated market value of ca. €2.66 billion.  Most TiO</w:t>
      </w:r>
      <w:r>
        <w:rPr>
          <w:sz w:val="20"/>
          <w:szCs w:val="20"/>
          <w:vertAlign w:val="subscript"/>
        </w:rPr>
        <w:t>2</w:t>
      </w:r>
      <w:r>
        <w:rPr>
          <w:sz w:val="20"/>
          <w:szCs w:val="20"/>
        </w:rPr>
        <w:t xml:space="preserve"> is used in paints and coatings (architectural: 36%; industrial: 17%; inks: 4%), followed by plastics (25%), paper (12%) and specialty applications (6%) (</w:t>
      </w:r>
      <w:proofErr w:type="gramStart"/>
      <w:r>
        <w:rPr>
          <w:sz w:val="20"/>
          <w:szCs w:val="20"/>
        </w:rPr>
        <w:t>based</w:t>
      </w:r>
      <w:proofErr w:type="gramEnd"/>
      <w:r>
        <w:rPr>
          <w:sz w:val="20"/>
          <w:szCs w:val="20"/>
        </w:rPr>
        <w:t xml:space="preserve"> on </w:t>
      </w:r>
      <w:proofErr w:type="spellStart"/>
      <w:r>
        <w:rPr>
          <w:sz w:val="20"/>
          <w:szCs w:val="20"/>
        </w:rPr>
        <w:t>Cefic</w:t>
      </w:r>
      <w:proofErr w:type="spellEnd"/>
      <w:r>
        <w:rPr>
          <w:sz w:val="20"/>
          <w:szCs w:val="20"/>
        </w:rPr>
        <w:t xml:space="preserve"> data for 2013).  Approximately 1-2% of all TiO</w:t>
      </w:r>
      <w:r>
        <w:rPr>
          <w:sz w:val="20"/>
          <w:szCs w:val="20"/>
          <w:vertAlign w:val="subscript"/>
        </w:rPr>
        <w:t>2</w:t>
      </w:r>
      <w:r>
        <w:rPr>
          <w:sz w:val="20"/>
          <w:szCs w:val="20"/>
        </w:rPr>
        <w:t xml:space="preserve"> is made in non-pigmentary forms for use in many high value-added applications including cosmetic sunscreens and environmental, clean air technologies. </w:t>
      </w:r>
    </w:p>
    <w:p w:rsidR="0096771D" w:rsidRDefault="0096771D" w:rsidP="0096771D">
      <w:pPr>
        <w:rPr>
          <w:sz w:val="20"/>
          <w:szCs w:val="20"/>
        </w:rPr>
      </w:pPr>
      <w:r>
        <w:rPr>
          <w:sz w:val="20"/>
          <w:szCs w:val="20"/>
        </w:rPr>
        <w:t>The French proposal for the classification for TiO</w:t>
      </w:r>
      <w:r>
        <w:rPr>
          <w:sz w:val="20"/>
          <w:szCs w:val="20"/>
          <w:vertAlign w:val="subscript"/>
        </w:rPr>
        <w:t>2</w:t>
      </w:r>
      <w:r>
        <w:rPr>
          <w:sz w:val="20"/>
          <w:szCs w:val="20"/>
        </w:rPr>
        <w:t xml:space="preserve"> as a Carcinogen Category 1B by inhalation (H350i) substance is based on effects seen in inhalation studies when rats are exposed to exceptionally high concentrations of all poorly soluble dusts, not just TiO</w:t>
      </w:r>
      <w:r>
        <w:rPr>
          <w:sz w:val="20"/>
          <w:szCs w:val="20"/>
          <w:vertAlign w:val="subscript"/>
        </w:rPr>
        <w:t>2</w:t>
      </w:r>
      <w:r>
        <w:rPr>
          <w:sz w:val="20"/>
          <w:szCs w:val="20"/>
        </w:rPr>
        <w:t>, effects that have been scientifically demonstrated not to be relevant to humans</w:t>
      </w:r>
      <w:r>
        <w:rPr>
          <w:rStyle w:val="Funotenzeichen"/>
          <w:sz w:val="20"/>
          <w:szCs w:val="20"/>
        </w:rPr>
        <w:footnoteReference w:id="1"/>
      </w:r>
      <w:r>
        <w:rPr>
          <w:sz w:val="20"/>
          <w:szCs w:val="20"/>
        </w:rPr>
        <w:t>.  The proposal would have severe adverse consequences as a result of (a) the absence of technically feasible alternatives for TiO</w:t>
      </w:r>
      <w:r>
        <w:rPr>
          <w:sz w:val="20"/>
          <w:szCs w:val="20"/>
          <w:vertAlign w:val="subscript"/>
        </w:rPr>
        <w:t>2</w:t>
      </w:r>
      <w:r>
        <w:rPr>
          <w:sz w:val="20"/>
          <w:szCs w:val="20"/>
        </w:rPr>
        <w:t>, and (b) the triggering of a series of automatic changes in how the marketing and use of TiO</w:t>
      </w:r>
      <w:r>
        <w:rPr>
          <w:sz w:val="20"/>
          <w:szCs w:val="20"/>
          <w:vertAlign w:val="subscript"/>
        </w:rPr>
        <w:t>2</w:t>
      </w:r>
      <w:r>
        <w:rPr>
          <w:sz w:val="20"/>
          <w:szCs w:val="20"/>
        </w:rPr>
        <w:t xml:space="preserve"> is treated under a variety of chemical safety regimes in the EEA.  These regulatory changes would mostly disregard the importance of the TiO</w:t>
      </w:r>
      <w:r>
        <w:rPr>
          <w:sz w:val="20"/>
          <w:szCs w:val="20"/>
          <w:vertAlign w:val="subscript"/>
        </w:rPr>
        <w:t>2</w:t>
      </w:r>
      <w:r>
        <w:rPr>
          <w:sz w:val="20"/>
          <w:szCs w:val="20"/>
        </w:rPr>
        <w:t xml:space="preserve"> exposure pathway in the manifestation of adverse health effect in humans.</w:t>
      </w:r>
    </w:p>
    <w:p w:rsidR="0096771D" w:rsidRDefault="0096771D" w:rsidP="0096771D">
      <w:pPr>
        <w:pStyle w:val="berschrift4"/>
      </w:pPr>
      <w:r>
        <w:t>Impacts on titanium dioxide manufacturers and their suppliers</w:t>
      </w:r>
    </w:p>
    <w:p w:rsidR="0096771D" w:rsidRDefault="0096771D" w:rsidP="0096771D">
      <w:pPr>
        <w:rPr>
          <w:sz w:val="20"/>
          <w:szCs w:val="20"/>
        </w:rPr>
      </w:pPr>
      <w:r>
        <w:rPr>
          <w:sz w:val="20"/>
          <w:szCs w:val="20"/>
        </w:rPr>
        <w:t>It is estimated that 25-50% (if not more) of current demand for TiO</w:t>
      </w:r>
      <w:r>
        <w:rPr>
          <w:sz w:val="20"/>
          <w:szCs w:val="20"/>
          <w:vertAlign w:val="subscript"/>
        </w:rPr>
        <w:t>2</w:t>
      </w:r>
      <w:r>
        <w:rPr>
          <w:sz w:val="20"/>
          <w:szCs w:val="20"/>
        </w:rPr>
        <w:t xml:space="preserve"> would be lost, leading to the collapse of the EEA’s TiO</w:t>
      </w:r>
      <w:r>
        <w:rPr>
          <w:sz w:val="20"/>
          <w:szCs w:val="20"/>
          <w:vertAlign w:val="subscript"/>
        </w:rPr>
        <w:t>2</w:t>
      </w:r>
      <w:r>
        <w:rPr>
          <w:sz w:val="20"/>
          <w:szCs w:val="20"/>
        </w:rPr>
        <w:t xml:space="preserve"> manufacturing base and the shutdown of several production plants.  This would have a significant knock-on effect on both EEA-based and non-EEA supply chains as exports account for one-third of EEA manufacture while some TiO</w:t>
      </w:r>
      <w:r>
        <w:rPr>
          <w:sz w:val="20"/>
          <w:szCs w:val="20"/>
          <w:vertAlign w:val="subscript"/>
        </w:rPr>
        <w:t>2</w:t>
      </w:r>
      <w:r>
        <w:rPr>
          <w:sz w:val="20"/>
          <w:szCs w:val="20"/>
        </w:rPr>
        <w:t xml:space="preserve"> grades are only produced by European plants.</w:t>
      </w:r>
    </w:p>
    <w:p w:rsidR="0096771D" w:rsidRDefault="0096771D" w:rsidP="0096771D">
      <w:pPr>
        <w:rPr>
          <w:sz w:val="20"/>
          <w:szCs w:val="20"/>
        </w:rPr>
      </w:pPr>
      <w:r>
        <w:rPr>
          <w:sz w:val="20"/>
          <w:szCs w:val="20"/>
        </w:rPr>
        <w:t>The Gross Added Value of TiO</w:t>
      </w:r>
      <w:r>
        <w:rPr>
          <w:sz w:val="20"/>
          <w:szCs w:val="20"/>
          <w:vertAlign w:val="subscript"/>
        </w:rPr>
        <w:t>2</w:t>
      </w:r>
      <w:r>
        <w:rPr>
          <w:sz w:val="20"/>
          <w:szCs w:val="20"/>
        </w:rPr>
        <w:t xml:space="preserve"> manufacture to the EEA economy is €473 million; the industry employs ca. 8,150 workers and is responsible for the creation of a further 22,800 support jobs.  The French proposal would also cause market losses for two Norwegian feedstock manufacturers, it would affect the trade of ca. 4 million tonnes of raw materials used in the manufacture of TiO</w:t>
      </w:r>
      <w:r>
        <w:rPr>
          <w:sz w:val="20"/>
          <w:szCs w:val="20"/>
          <w:vertAlign w:val="subscript"/>
        </w:rPr>
        <w:t>2</w:t>
      </w:r>
      <w:r>
        <w:rPr>
          <w:sz w:val="20"/>
          <w:szCs w:val="20"/>
        </w:rPr>
        <w:t xml:space="preserve"> and would also cause a reduction in production and sales of large volumes of economically important by-products of TiO</w:t>
      </w:r>
      <w:r>
        <w:rPr>
          <w:sz w:val="20"/>
          <w:szCs w:val="20"/>
          <w:vertAlign w:val="subscript"/>
        </w:rPr>
        <w:t>2</w:t>
      </w:r>
      <w:r>
        <w:rPr>
          <w:sz w:val="20"/>
          <w:szCs w:val="20"/>
        </w:rPr>
        <w:t xml:space="preserve"> manufacture.</w:t>
      </w:r>
    </w:p>
    <w:p w:rsidR="0096771D" w:rsidRDefault="0096771D" w:rsidP="0096771D">
      <w:pPr>
        <w:pStyle w:val="berschrift4"/>
      </w:pPr>
      <w:r>
        <w:t>Impacts on downstream users of titanium dioxide</w:t>
      </w:r>
    </w:p>
    <w:p w:rsidR="0096771D" w:rsidRDefault="0096771D" w:rsidP="0096771D">
      <w:pPr>
        <w:rPr>
          <w:sz w:val="20"/>
          <w:szCs w:val="20"/>
        </w:rPr>
      </w:pPr>
      <w:r>
        <w:rPr>
          <w:sz w:val="20"/>
          <w:szCs w:val="20"/>
        </w:rPr>
        <w:t>The French proposal would impact upon a multitude of downstream user sectors with a combined Gross Value Added of hundreds of billions of Euros; paints and plastics alone, the most important uses for TiO</w:t>
      </w:r>
      <w:r>
        <w:rPr>
          <w:sz w:val="20"/>
          <w:szCs w:val="20"/>
          <w:vertAlign w:val="subscript"/>
        </w:rPr>
        <w:t>2</w:t>
      </w:r>
      <w:r>
        <w:rPr>
          <w:sz w:val="20"/>
          <w:szCs w:val="20"/>
        </w:rPr>
        <w:t>, account for over €120 billion.  Downstream users might consider the reformulation of their products, however, in the vast majority of cases this could not be successful due to the lack of technically feasible alternative pigments; in any case, substitution of TiO</w:t>
      </w:r>
      <w:r>
        <w:rPr>
          <w:sz w:val="20"/>
          <w:szCs w:val="20"/>
          <w:vertAlign w:val="subscript"/>
        </w:rPr>
        <w:t>2</w:t>
      </w:r>
      <w:r>
        <w:rPr>
          <w:sz w:val="20"/>
          <w:szCs w:val="20"/>
        </w:rPr>
        <w:t xml:space="preserve"> would be costly (example estimates: €0.05-60 million per company), take considerable time (2-20 years) and invariably be a case of regrettable substitution.  Additional required workplace safety measures could have an investment cost of between a few thousand Euros and €20 million per plant, while waste regulations would impact upon recycling of waste and might impose an additional cost of up to €0.35 million per site for the disposal of waste classified as hazardous;</w:t>
      </w:r>
    </w:p>
    <w:p w:rsidR="0096771D" w:rsidRDefault="0096771D" w:rsidP="0096771D">
      <w:pPr>
        <w:rPr>
          <w:sz w:val="20"/>
          <w:szCs w:val="20"/>
        </w:rPr>
      </w:pPr>
      <w:r>
        <w:rPr>
          <w:sz w:val="20"/>
          <w:szCs w:val="20"/>
        </w:rPr>
        <w:t>The French proposal would automatically mean the removal from the market of a multitude of consumer formulations such as Do-It-Yourself (DIY) paints (the vast majority of which contain TiO</w:t>
      </w:r>
      <w:r>
        <w:rPr>
          <w:sz w:val="20"/>
          <w:szCs w:val="20"/>
          <w:vertAlign w:val="subscript"/>
        </w:rPr>
        <w:t>2</w:t>
      </w:r>
      <w:r>
        <w:rPr>
          <w:sz w:val="20"/>
          <w:szCs w:val="20"/>
        </w:rPr>
        <w:t>), coatings, adhesives, sealants and detergents.  The elimination of DIY paints alone, worth an estimated €3.5 billion per year, would drive up significantly the cost of residential housing renovation and restrict consumer choice.  The French proposal would also prevent the marketing of numerous cosmetics, food products, pharmaceutical and nutraceutical products, medical devices, biocides and toys, unless exemptions could be secured.  Where such exemptions could be feasible, the cost of obtaining them would be of the order of millions of Euros.</w:t>
      </w:r>
    </w:p>
    <w:p w:rsidR="0096771D" w:rsidRDefault="0096771D" w:rsidP="0096771D">
      <w:pPr>
        <w:pStyle w:val="berschrift4"/>
      </w:pPr>
      <w:r>
        <w:lastRenderedPageBreak/>
        <w:t>Impacts on EEA competitiveness</w:t>
      </w:r>
    </w:p>
    <w:p w:rsidR="0096771D" w:rsidRDefault="0096771D" w:rsidP="0096771D">
      <w:pPr>
        <w:rPr>
          <w:sz w:val="20"/>
        </w:rPr>
      </w:pPr>
      <w:r>
        <w:rPr>
          <w:sz w:val="20"/>
        </w:rPr>
        <w:t>EEA business would become less competitive both domestically and overseas and, over time, parts of the value chains would relocate outside the EEA, unless the proposed classification was also adopted by non-EEA jurisdictions.  SMEs in the EEA would be particularly vulnerable to the loss of a critical raw material or articles that depend on it.</w:t>
      </w:r>
    </w:p>
    <w:p w:rsidR="0096771D" w:rsidRDefault="0096771D" w:rsidP="0096771D">
      <w:pPr>
        <w:pStyle w:val="berschrift4"/>
      </w:pPr>
      <w:r>
        <w:t>Impacts on EEA workers</w:t>
      </w:r>
    </w:p>
    <w:p w:rsidR="0096771D" w:rsidRDefault="0096771D" w:rsidP="0096771D">
      <w:pPr>
        <w:rPr>
          <w:sz w:val="20"/>
        </w:rPr>
      </w:pPr>
      <w:r>
        <w:rPr>
          <w:sz w:val="20"/>
        </w:rPr>
        <w:t>TiO</w:t>
      </w:r>
      <w:r>
        <w:rPr>
          <w:sz w:val="20"/>
          <w:vertAlign w:val="subscript"/>
        </w:rPr>
        <w:t>2</w:t>
      </w:r>
      <w:r>
        <w:rPr>
          <w:sz w:val="20"/>
        </w:rPr>
        <w:t xml:space="preserve"> its formulations and articles are used by millions of workers; by way of example, 1 million workers apply paints/coatings and 4.5 million workers are involved in the use of plastics.  Even if the French proposal would cause the loss of jobs for only a modest percentage of this workforce, the total number of jobs lost across all EEA would be significantly high.  Impacts would not be limited to industries that use TiO</w:t>
      </w:r>
      <w:r>
        <w:rPr>
          <w:sz w:val="20"/>
          <w:vertAlign w:val="subscript"/>
        </w:rPr>
        <w:t>2</w:t>
      </w:r>
      <w:r>
        <w:rPr>
          <w:sz w:val="20"/>
        </w:rPr>
        <w:t xml:space="preserve"> as a raw material; the re-classification of TiO</w:t>
      </w:r>
      <w:r>
        <w:rPr>
          <w:sz w:val="20"/>
          <w:vertAlign w:val="subscript"/>
        </w:rPr>
        <w:t>2</w:t>
      </w:r>
      <w:r>
        <w:rPr>
          <w:sz w:val="20"/>
        </w:rPr>
        <w:t>-containing products such as coatings would significantly impact employment in downstream industries that use these products.</w:t>
      </w:r>
    </w:p>
    <w:p w:rsidR="0096771D" w:rsidRDefault="0096771D" w:rsidP="0096771D">
      <w:pPr>
        <w:pStyle w:val="berschrift4"/>
      </w:pPr>
      <w:r>
        <w:t>Impacts on the marketing and use of other minerals</w:t>
      </w:r>
    </w:p>
    <w:p w:rsidR="0096771D" w:rsidRDefault="0096771D" w:rsidP="0096771D">
      <w:pPr>
        <w:rPr>
          <w:sz w:val="20"/>
          <w:szCs w:val="20"/>
        </w:rPr>
      </w:pPr>
      <w:r>
        <w:rPr>
          <w:sz w:val="20"/>
          <w:szCs w:val="20"/>
        </w:rPr>
        <w:t>The handling, processing and use of minerals that contain TiO</w:t>
      </w:r>
      <w:r>
        <w:rPr>
          <w:sz w:val="20"/>
          <w:szCs w:val="20"/>
          <w:vertAlign w:val="subscript"/>
        </w:rPr>
        <w:t>2</w:t>
      </w:r>
      <w:r>
        <w:rPr>
          <w:sz w:val="20"/>
          <w:szCs w:val="20"/>
        </w:rPr>
        <w:t xml:space="preserve"> impurities at up to 4% by weight (e.g. kaolin, a mineral often referred to as a potential partial replacement for TiO</w:t>
      </w:r>
      <w:r>
        <w:rPr>
          <w:sz w:val="20"/>
          <w:szCs w:val="20"/>
          <w:vertAlign w:val="subscript"/>
        </w:rPr>
        <w:t>2</w:t>
      </w:r>
      <w:r>
        <w:rPr>
          <w:sz w:val="20"/>
          <w:szCs w:val="20"/>
        </w:rPr>
        <w:t>, bentonite, perlite, mica, diatomite, ball clays, vermiculite, refractory materials and zircon) would be affected.  Combined, these minerals are used in the EEA in a volume of over 20 million tonnes per year and have a market value of over €6.2 billion.  The volumes and market value of downstream products of these minerals are even larger.</w:t>
      </w:r>
    </w:p>
    <w:p w:rsidR="0096771D" w:rsidRDefault="0096771D" w:rsidP="0096771D">
      <w:pPr>
        <w:rPr>
          <w:sz w:val="20"/>
          <w:szCs w:val="20"/>
        </w:rPr>
      </w:pPr>
      <w:r>
        <w:rPr>
          <w:sz w:val="20"/>
          <w:szCs w:val="20"/>
        </w:rPr>
        <w:t>In addition, acceptance of the French proposal for TiO</w:t>
      </w:r>
      <w:r>
        <w:rPr>
          <w:sz w:val="20"/>
          <w:szCs w:val="20"/>
          <w:vertAlign w:val="subscript"/>
        </w:rPr>
        <w:t>2</w:t>
      </w:r>
      <w:r>
        <w:rPr>
          <w:sz w:val="20"/>
          <w:szCs w:val="20"/>
        </w:rPr>
        <w:t xml:space="preserve"> would open the pathway for the harmonised classification of other poorly soluble powders, including many minerals that might be considered to be potential partial substitutes for TiO</w:t>
      </w:r>
      <w:r>
        <w:rPr>
          <w:sz w:val="20"/>
          <w:szCs w:val="20"/>
          <w:vertAlign w:val="subscript"/>
        </w:rPr>
        <w:t>2</w:t>
      </w:r>
      <w:r>
        <w:rPr>
          <w:sz w:val="20"/>
          <w:szCs w:val="20"/>
        </w:rPr>
        <w:t>.</w:t>
      </w:r>
    </w:p>
    <w:p w:rsidR="0096771D" w:rsidRDefault="0096771D" w:rsidP="0096771D">
      <w:pPr>
        <w:pStyle w:val="berschrift4"/>
      </w:pPr>
      <w:r>
        <w:t>Impacts on consumers</w:t>
      </w:r>
    </w:p>
    <w:p w:rsidR="0096771D" w:rsidRDefault="0096771D" w:rsidP="0096771D">
      <w:pPr>
        <w:rPr>
          <w:sz w:val="20"/>
        </w:rPr>
      </w:pPr>
      <w:r>
        <w:rPr>
          <w:sz w:val="20"/>
        </w:rPr>
        <w:t>Consumers would face a reduction in product availability and choice, increased market prices, increased costs for redecoration and maintenance tasks, loss of performance, poorer aesthetics and also loss of a safe, effective UV filter in sunscreens and other cosmetics if use of TiO</w:t>
      </w:r>
      <w:r>
        <w:rPr>
          <w:sz w:val="20"/>
          <w:vertAlign w:val="subscript"/>
        </w:rPr>
        <w:t>2</w:t>
      </w:r>
      <w:r>
        <w:rPr>
          <w:sz w:val="20"/>
        </w:rPr>
        <w:t xml:space="preserve"> was banned.</w:t>
      </w:r>
    </w:p>
    <w:p w:rsidR="0096771D" w:rsidRDefault="0096771D" w:rsidP="0096771D">
      <w:pPr>
        <w:pStyle w:val="berschrift4"/>
      </w:pPr>
      <w:r>
        <w:t>Conclusion</w:t>
      </w:r>
    </w:p>
    <w:p w:rsidR="0096771D" w:rsidRDefault="0096771D" w:rsidP="0096771D">
      <w:r>
        <w:rPr>
          <w:sz w:val="20"/>
          <w:szCs w:val="20"/>
        </w:rPr>
        <w:t>This impact analysis demonstrates that the French proposal would result in severe social and economic impacts for a diverse range of industry sectors and would impact on the marketing and use of a vast array of industrial, professional and consumer products as well as on the employment of millions of workers.   Since the French proposal is based on the effects of poorly soluble powders in rat lung overload studies it would be relevant for many potential alternatives. Furthermore, in light of the reasonably anticipated occurrence and levels of inhalation exposure during industrial, professional and consumer use of TiO</w:t>
      </w:r>
      <w:r>
        <w:rPr>
          <w:sz w:val="20"/>
          <w:szCs w:val="20"/>
          <w:vertAlign w:val="subscript"/>
        </w:rPr>
        <w:t>2</w:t>
      </w:r>
      <w:r>
        <w:rPr>
          <w:sz w:val="20"/>
          <w:szCs w:val="20"/>
        </w:rPr>
        <w:t xml:space="preserve"> and its products, the demonstrated adverse socio-economic impacts would be highly disproportionate to any human health benefits that could theoretically be attributed to the proposed harmonised classification.</w:t>
      </w:r>
    </w:p>
    <w:p w:rsidR="00CA7E0F" w:rsidRDefault="00CA7E0F"/>
    <w:p w:rsidR="0096771D" w:rsidRDefault="0096771D"/>
    <w:p w:rsidR="0096771D" w:rsidRDefault="0096771D"/>
    <w:p w:rsidR="0096771D" w:rsidRDefault="0096771D"/>
    <w:p w:rsidR="0096771D" w:rsidRDefault="0096771D"/>
    <w:p w:rsidR="0088066F" w:rsidRDefault="0088066F" w:rsidP="0088066F">
      <w:pPr>
        <w:pStyle w:val="berschrift1"/>
        <w:rPr>
          <w:b/>
          <w:bCs/>
        </w:rPr>
      </w:pPr>
      <w:bookmarkStart w:id="1" w:name="_Toc470188607"/>
      <w:r>
        <w:rPr>
          <w:b/>
          <w:bCs/>
        </w:rPr>
        <w:lastRenderedPageBreak/>
        <w:t>Properties of titanium dioxide</w:t>
      </w:r>
      <w:bookmarkEnd w:id="1"/>
      <w:r>
        <w:rPr>
          <w:b/>
          <w:bCs/>
        </w:rPr>
        <w:tab/>
      </w:r>
    </w:p>
    <w:p w:rsidR="0088066F" w:rsidRDefault="0088066F" w:rsidP="0088066F">
      <w:r>
        <w:t>TiO</w:t>
      </w:r>
      <w:r>
        <w:rPr>
          <w:vertAlign w:val="subscript"/>
        </w:rPr>
        <w:t>2</w:t>
      </w:r>
      <w:r>
        <w:t xml:space="preserve"> consists of four-valent titanium and two-valent oxygen ions.  It is a solid under normal conditions and it first begins to melt at over 1800 °C.  Its stability, even at high temperatures, and its pronounced slowness of reaction are worthy of note.  A peculiarity of TiO</w:t>
      </w:r>
      <w:r>
        <w:rPr>
          <w:vertAlign w:val="subscript"/>
        </w:rPr>
        <w:t>2</w:t>
      </w:r>
      <w:r>
        <w:t xml:space="preserve"> is its ability to lose relatively easily a small part of its oxygen from the crystal lattice.  These very small oxygen losses cause great changes in the optical and electrical behaviour of TiO</w:t>
      </w:r>
      <w:r>
        <w:rPr>
          <w:vertAlign w:val="subscript"/>
        </w:rPr>
        <w:t>2</w:t>
      </w:r>
      <w:r>
        <w:t>.  On the one hand, it makes itself apparent in colour-shifts towards blue-grey and, on the other hand, the dielectric properties and the electrical conductivity are influenced to an unexpectedly high degree.  This peculiarity is partly the reason for the striking photoelectric properties of TiO</w:t>
      </w:r>
      <w:r>
        <w:rPr>
          <w:vertAlign w:val="subscript"/>
        </w:rPr>
        <w:t>2</w:t>
      </w:r>
      <w:r>
        <w:t xml:space="preserve"> </w:t>
      </w:r>
      <w:sdt>
        <w:sdtPr>
          <w:id w:val="-1509370918"/>
          <w:citation/>
        </w:sdtPr>
        <w:sdtContent>
          <w:r>
            <w:fldChar w:fldCharType="begin"/>
          </w:r>
          <w:r>
            <w:instrText xml:space="preserve">CITATION KRO68 \l 2057 </w:instrText>
          </w:r>
          <w:r>
            <w:fldChar w:fldCharType="separate"/>
          </w:r>
          <w:r>
            <w:rPr>
              <w:noProof/>
            </w:rPr>
            <w:t>(Kronos, 1968)</w:t>
          </w:r>
          <w:r>
            <w:fldChar w:fldCharType="end"/>
          </w:r>
        </w:sdtContent>
      </w:sdt>
      <w:r>
        <w:t>.</w:t>
      </w:r>
    </w:p>
    <w:p w:rsidR="0088066F" w:rsidRDefault="0088066F" w:rsidP="0088066F">
      <w:r>
        <w:t>TiO</w:t>
      </w:r>
      <w:r>
        <w:rPr>
          <w:vertAlign w:val="subscript"/>
        </w:rPr>
        <w:t>2</w:t>
      </w:r>
      <w:r>
        <w:t xml:space="preserve"> is insoluble in water, in organic solvents, in all alkalis and acids with the exception of sulphuric and hydrofluoric acids and it is polymorphous.  Its three modifications, rutile, </w:t>
      </w:r>
      <w:proofErr w:type="spellStart"/>
      <w:r>
        <w:t>anatase</w:t>
      </w:r>
      <w:proofErr w:type="spellEnd"/>
      <w:r>
        <w:t xml:space="preserve"> and </w:t>
      </w:r>
      <w:proofErr w:type="spellStart"/>
      <w:r>
        <w:t>brookite</w:t>
      </w:r>
      <w:proofErr w:type="spellEnd"/>
      <w:r>
        <w:t xml:space="preserve"> are all found in nature.  Rutile and </w:t>
      </w:r>
      <w:proofErr w:type="spellStart"/>
      <w:r>
        <w:t>anatase</w:t>
      </w:r>
      <w:proofErr w:type="spellEnd"/>
      <w:r>
        <w:t xml:space="preserve"> are the technically important ones.</w:t>
      </w:r>
    </w:p>
    <w:p w:rsidR="0088066F" w:rsidRDefault="0088066F" w:rsidP="0088066F">
      <w:r>
        <w:t>TiO</w:t>
      </w:r>
      <w:r>
        <w:rPr>
          <w:vertAlign w:val="subscript"/>
        </w:rPr>
        <w:t>2</w:t>
      </w:r>
      <w:r>
        <w:t xml:space="preserve"> has a range of very significant properties that drive its usability in a wide range of applications.  These are summarised below but are also frequently referred to in the rest of this report.</w:t>
      </w: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016"/>
      </w:tblGrid>
      <w:tr w:rsidR="0088066F" w:rsidRPr="0088066F" w:rsidTr="0088066F">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066F" w:rsidRPr="0088066F" w:rsidRDefault="0088066F">
            <w:pPr>
              <w:pStyle w:val="Numbering"/>
              <w:spacing w:line="276" w:lineRule="auto"/>
              <w:rPr>
                <w:b/>
                <w:lang w:val="en-US"/>
              </w:rPr>
            </w:pPr>
            <w:r w:rsidRPr="0088066F">
              <w:rPr>
                <w:b/>
                <w:lang w:val="en-US"/>
              </w:rPr>
              <w:t xml:space="preserve">Highest light scattering among known white pigments, which is responsible for the good hiding power, opacity and ability to lighten </w:t>
            </w:r>
            <w:proofErr w:type="spellStart"/>
            <w:r w:rsidRPr="0088066F">
              <w:rPr>
                <w:b/>
                <w:lang w:val="en-US"/>
              </w:rPr>
              <w:t>coloured</w:t>
            </w:r>
            <w:proofErr w:type="spellEnd"/>
            <w:r w:rsidRPr="0088066F">
              <w:rPr>
                <w:b/>
                <w:lang w:val="en-US"/>
              </w:rPr>
              <w:t xml:space="preserve"> media.</w:t>
            </w:r>
          </w:p>
          <w:p w:rsidR="0088066F" w:rsidRPr="0088066F" w:rsidRDefault="0088066F">
            <w:pPr>
              <w:pStyle w:val="Numbering"/>
              <w:spacing w:line="276" w:lineRule="auto"/>
              <w:rPr>
                <w:b/>
                <w:lang w:val="en-US"/>
              </w:rPr>
            </w:pPr>
            <w:r w:rsidRPr="0088066F">
              <w:rPr>
                <w:b/>
                <w:lang w:val="en-US"/>
              </w:rPr>
              <w:t xml:space="preserve">Acts as a base for the development of a very wide range of </w:t>
            </w:r>
            <w:proofErr w:type="spellStart"/>
            <w:r w:rsidRPr="0088066F">
              <w:rPr>
                <w:b/>
                <w:lang w:val="en-US"/>
              </w:rPr>
              <w:t>colours</w:t>
            </w:r>
            <w:proofErr w:type="spellEnd"/>
            <w:r w:rsidRPr="0088066F">
              <w:rPr>
                <w:b/>
                <w:lang w:val="en-US"/>
              </w:rPr>
              <w:t>.</w:t>
            </w:r>
          </w:p>
          <w:p w:rsidR="0088066F" w:rsidRPr="0088066F" w:rsidRDefault="0088066F">
            <w:pPr>
              <w:pStyle w:val="Numbering"/>
              <w:spacing w:line="276" w:lineRule="auto"/>
              <w:rPr>
                <w:b/>
                <w:lang w:val="en-US"/>
              </w:rPr>
            </w:pPr>
            <w:r w:rsidRPr="0088066F">
              <w:rPr>
                <w:b/>
                <w:lang w:val="en-US"/>
              </w:rPr>
              <w:t>High efficiency, as only small additions can deliver the desired pigmentation.</w:t>
            </w:r>
          </w:p>
          <w:p w:rsidR="0088066F" w:rsidRPr="0088066F" w:rsidRDefault="0088066F">
            <w:pPr>
              <w:pStyle w:val="Numbering"/>
              <w:spacing w:line="276" w:lineRule="auto"/>
              <w:rPr>
                <w:b/>
                <w:lang w:val="en-US"/>
              </w:rPr>
            </w:pPr>
            <w:r w:rsidRPr="0088066F">
              <w:rPr>
                <w:b/>
                <w:lang w:val="en-US"/>
              </w:rPr>
              <w:t>Confers exceptional stability to heat, light and weathering.</w:t>
            </w:r>
          </w:p>
          <w:p w:rsidR="0088066F" w:rsidRPr="0088066F" w:rsidRDefault="0088066F">
            <w:pPr>
              <w:pStyle w:val="Numbering"/>
              <w:spacing w:line="276" w:lineRule="auto"/>
              <w:rPr>
                <w:b/>
                <w:lang w:val="en-US"/>
              </w:rPr>
            </w:pPr>
            <w:r w:rsidRPr="0088066F">
              <w:rPr>
                <w:b/>
                <w:lang w:val="en-US"/>
              </w:rPr>
              <w:t>High absorptive power in the UV region which prevents the ageing of materials, the spoilage of packaging contents and the adverse effects of UV radiation on human skin.</w:t>
            </w:r>
          </w:p>
          <w:p w:rsidR="0088066F" w:rsidRPr="0088066F" w:rsidRDefault="0088066F">
            <w:pPr>
              <w:pStyle w:val="Numbering"/>
              <w:spacing w:line="276" w:lineRule="auto"/>
              <w:rPr>
                <w:b/>
                <w:lang w:val="en-US"/>
              </w:rPr>
            </w:pPr>
            <w:r w:rsidRPr="0088066F">
              <w:rPr>
                <w:b/>
                <w:lang w:val="en-US"/>
              </w:rPr>
              <w:t>It is approved as safe for use in foodstuff, pet foods, packaging, pharmaceuticals and cosmetics.</w:t>
            </w:r>
          </w:p>
          <w:p w:rsidR="0088066F" w:rsidRPr="0088066F" w:rsidRDefault="0088066F">
            <w:pPr>
              <w:pStyle w:val="Numbering"/>
              <w:spacing w:line="276" w:lineRule="auto"/>
              <w:rPr>
                <w:b/>
                <w:lang w:val="en-US"/>
              </w:rPr>
            </w:pPr>
            <w:r w:rsidRPr="0088066F">
              <w:rPr>
                <w:b/>
                <w:lang w:val="en-US"/>
              </w:rPr>
              <w:t>Its photocatalytic activity allows its use in many novel products, such as self-cleaning surfaces and air cleaning materials.</w:t>
            </w:r>
          </w:p>
          <w:p w:rsidR="0088066F" w:rsidRPr="0088066F" w:rsidRDefault="0088066F">
            <w:pPr>
              <w:pStyle w:val="Numbering"/>
              <w:spacing w:line="276" w:lineRule="auto"/>
              <w:rPr>
                <w:b/>
                <w:lang w:val="en-US"/>
              </w:rPr>
            </w:pPr>
            <w:proofErr w:type="spellStart"/>
            <w:r w:rsidRPr="0088066F">
              <w:rPr>
                <w:b/>
                <w:lang w:val="en-US"/>
              </w:rPr>
              <w:t>Favourable</w:t>
            </w:r>
            <w:proofErr w:type="spellEnd"/>
            <w:r w:rsidRPr="0088066F">
              <w:rPr>
                <w:b/>
                <w:lang w:val="en-US"/>
              </w:rPr>
              <w:t xml:space="preserve"> processing characteristics as TiO</w:t>
            </w:r>
            <w:r w:rsidRPr="0088066F">
              <w:rPr>
                <w:b/>
                <w:vertAlign w:val="subscript"/>
                <w:lang w:val="en-US"/>
              </w:rPr>
              <w:t>2</w:t>
            </w:r>
            <w:r w:rsidRPr="0088066F">
              <w:rPr>
                <w:b/>
                <w:lang w:val="en-US"/>
              </w:rPr>
              <w:t xml:space="preserve"> pigments can be readily dispersed, achieve rapid wetting at low viscosities and remain inert in the presence of other formulation components. </w:t>
            </w:r>
          </w:p>
          <w:p w:rsidR="0088066F" w:rsidRPr="0088066F" w:rsidRDefault="0088066F">
            <w:pPr>
              <w:pStyle w:val="Numbering"/>
              <w:spacing w:line="276" w:lineRule="auto"/>
              <w:rPr>
                <w:b/>
                <w:lang w:val="en-US"/>
              </w:rPr>
            </w:pPr>
            <w:r w:rsidRPr="0088066F">
              <w:rPr>
                <w:b/>
                <w:lang w:val="en-US"/>
              </w:rPr>
              <w:t>Its ability to reflect light also enables heat to be reflected thus enabling lower energy use in cooling buildings or other infrastructure.</w:t>
            </w:r>
          </w:p>
          <w:p w:rsidR="0088066F" w:rsidRPr="0088066F" w:rsidRDefault="0088066F">
            <w:pPr>
              <w:pStyle w:val="Numbering"/>
              <w:spacing w:line="276" w:lineRule="auto"/>
              <w:rPr>
                <w:b/>
                <w:lang w:val="en-US"/>
              </w:rPr>
            </w:pPr>
            <w:r w:rsidRPr="0088066F">
              <w:rPr>
                <w:b/>
                <w:lang w:val="en-US"/>
              </w:rPr>
              <w:t>It is a perfect support for catalysis and especially the Selective Catalytic Reduction (SCR) of NO</w:t>
            </w:r>
            <w:r w:rsidRPr="0088066F">
              <w:rPr>
                <w:b/>
                <w:vertAlign w:val="subscript"/>
                <w:lang w:val="en-US"/>
              </w:rPr>
              <w:t>x</w:t>
            </w:r>
            <w:r w:rsidRPr="0088066F">
              <w:rPr>
                <w:b/>
                <w:lang w:val="en-US"/>
              </w:rPr>
              <w:t>. These TiO</w:t>
            </w:r>
            <w:r w:rsidRPr="0088066F">
              <w:rPr>
                <w:b/>
                <w:vertAlign w:val="subscript"/>
                <w:lang w:val="en-US"/>
              </w:rPr>
              <w:t>2</w:t>
            </w:r>
            <w:r w:rsidRPr="0088066F">
              <w:rPr>
                <w:b/>
                <w:lang w:val="en-US"/>
              </w:rPr>
              <w:t>-based SCR catalysts have been used since the 1980s in power plants to allow them to meet NO</w:t>
            </w:r>
            <w:r w:rsidRPr="0088066F">
              <w:rPr>
                <w:b/>
                <w:vertAlign w:val="subscript"/>
                <w:lang w:val="en-US"/>
              </w:rPr>
              <w:t>x</w:t>
            </w:r>
            <w:r w:rsidRPr="0088066F">
              <w:rPr>
                <w:b/>
                <w:lang w:val="en-US"/>
              </w:rPr>
              <w:t xml:space="preserve"> emissions standards with an estimated removal of 110 million </w:t>
            </w:r>
            <w:proofErr w:type="spellStart"/>
            <w:r w:rsidRPr="0088066F">
              <w:rPr>
                <w:b/>
                <w:lang w:val="en-US"/>
              </w:rPr>
              <w:t>tonnes</w:t>
            </w:r>
            <w:proofErr w:type="spellEnd"/>
            <w:r w:rsidRPr="0088066F">
              <w:rPr>
                <w:b/>
                <w:lang w:val="en-US"/>
              </w:rPr>
              <w:t xml:space="preserve"> of NO</w:t>
            </w:r>
            <w:r w:rsidRPr="0088066F">
              <w:rPr>
                <w:b/>
                <w:vertAlign w:val="subscript"/>
                <w:lang w:val="en-US"/>
              </w:rPr>
              <w:t>x</w:t>
            </w:r>
            <w:r w:rsidRPr="0088066F">
              <w:rPr>
                <w:b/>
                <w:lang w:val="en-US"/>
              </w:rPr>
              <w:t xml:space="preserve"> in the last 35 years </w:t>
            </w:r>
            <w:sdt>
              <w:sdtPr>
                <w:rPr>
                  <w:b/>
                </w:rPr>
                <w:id w:val="1516964621"/>
                <w:citation/>
              </w:sdtPr>
              <w:sdtContent>
                <w:r>
                  <w:rPr>
                    <w:b/>
                  </w:rPr>
                  <w:fldChar w:fldCharType="begin"/>
                </w:r>
                <w:r w:rsidRPr="0088066F">
                  <w:rPr>
                    <w:b/>
                    <w:lang w:val="en-US"/>
                  </w:rPr>
                  <w:instrText xml:space="preserve">CITATION Pas16 \l 2057 </w:instrText>
                </w:r>
                <w:r>
                  <w:rPr>
                    <w:b/>
                  </w:rPr>
                  <w:fldChar w:fldCharType="separate"/>
                </w:r>
                <w:r w:rsidRPr="0088066F">
                  <w:rPr>
                    <w:noProof/>
                    <w:lang w:val="en-US"/>
                  </w:rPr>
                  <w:t>(Pasquier, 2016)</w:t>
                </w:r>
                <w:r>
                  <w:rPr>
                    <w:b/>
                  </w:rPr>
                  <w:fldChar w:fldCharType="end"/>
                </w:r>
              </w:sdtContent>
            </w:sdt>
            <w:r w:rsidRPr="0088066F">
              <w:rPr>
                <w:b/>
                <w:lang w:val="en-US"/>
              </w:rPr>
              <w:t>.</w:t>
            </w:r>
          </w:p>
        </w:tc>
      </w:tr>
    </w:tbl>
    <w:p w:rsidR="0096771D" w:rsidRDefault="0096771D">
      <w:pPr>
        <w:rPr>
          <w:lang w:val="en-US"/>
        </w:rPr>
      </w:pPr>
    </w:p>
    <w:p w:rsidR="0088066F" w:rsidRDefault="0088066F">
      <w:pPr>
        <w:rPr>
          <w:lang w:val="en-US"/>
        </w:rPr>
      </w:pPr>
    </w:p>
    <w:p w:rsidR="002626DB" w:rsidRDefault="002626DB" w:rsidP="002626DB">
      <w:pPr>
        <w:pStyle w:val="berschrift2"/>
        <w:rPr>
          <w:b/>
        </w:rPr>
      </w:pPr>
      <w:bookmarkStart w:id="2" w:name="_Toc470188616"/>
      <w:r>
        <w:rPr>
          <w:b/>
        </w:rPr>
        <w:lastRenderedPageBreak/>
        <w:t>Applications for titanium dioxide</w:t>
      </w:r>
      <w:bookmarkEnd w:id="2"/>
    </w:p>
    <w:p w:rsidR="002626DB" w:rsidRDefault="002626DB" w:rsidP="002626DB">
      <w:pPr>
        <w:pStyle w:val="berschrift3"/>
        <w:rPr>
          <w:b/>
          <w:bCs/>
        </w:rPr>
      </w:pPr>
      <w:bookmarkStart w:id="3" w:name="_Toc470188617"/>
      <w:r>
        <w:rPr>
          <w:b/>
          <w:bCs/>
        </w:rPr>
        <w:t>Overview</w:t>
      </w:r>
      <w:bookmarkEnd w:id="3"/>
    </w:p>
    <w:p w:rsidR="002626DB" w:rsidRDefault="002626DB" w:rsidP="002626DB">
      <w:r>
        <w:fldChar w:fldCharType="begin"/>
      </w:r>
      <w:r>
        <w:instrText xml:space="preserve"> REF _Ref459105635 \h  \* MERGEFORMAT </w:instrText>
      </w:r>
      <w:r>
        <w:fldChar w:fldCharType="separate"/>
      </w:r>
      <w:r>
        <w:rPr>
          <w:b/>
        </w:rPr>
        <w:t xml:space="preserve">Table </w:t>
      </w:r>
      <w:r>
        <w:rPr>
          <w:b/>
          <w:noProof/>
        </w:rPr>
        <w:t>3</w:t>
      </w:r>
      <w:r>
        <w:rPr>
          <w:b/>
        </w:rPr>
        <w:t>–</w:t>
      </w:r>
      <w:r>
        <w:rPr>
          <w:b/>
          <w:noProof/>
        </w:rPr>
        <w:t>4</w:t>
      </w:r>
      <w:r>
        <w:fldChar w:fldCharType="end"/>
      </w:r>
      <w:r>
        <w:t xml:space="preserve"> summarises publicly available information on the breakdown of the global consumption of TiO</w:t>
      </w:r>
      <w:r>
        <w:rPr>
          <w:vertAlign w:val="subscript"/>
        </w:rPr>
        <w:t>2</w:t>
      </w:r>
      <w:r>
        <w:t xml:space="preserve"> pigments for the years 2013</w:t>
      </w:r>
      <w:r>
        <w:rPr>
          <w:rStyle w:val="Funotenzeichen"/>
        </w:rPr>
        <w:footnoteReference w:id="2"/>
      </w:r>
      <w:r>
        <w:t>.  Other sources are available with somewhat variable percentages for specific market segments over the years.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03"/>
        <w:gridCol w:w="4513"/>
      </w:tblGrid>
      <w:tr w:rsidR="002626DB" w:rsidRPr="002626DB" w:rsidTr="002626DB">
        <w:tc>
          <w:tcPr>
            <w:tcW w:w="9242" w:type="dxa"/>
            <w:gridSpan w:val="2"/>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spacing w:after="0" w:line="276" w:lineRule="auto"/>
              <w:rPr>
                <w:b/>
                <w:color w:val="FFFFFF" w:themeColor="background1"/>
                <w:sz w:val="20"/>
              </w:rPr>
            </w:pPr>
            <w:bookmarkStart w:id="4" w:name="_Ref459105635"/>
            <w:r>
              <w:rPr>
                <w:b/>
                <w:color w:val="FFFFFF" w:themeColor="background1"/>
                <w:sz w:val="20"/>
              </w:rPr>
              <w:t xml:space="preserve">Table </w:t>
            </w:r>
            <w:r>
              <w:fldChar w:fldCharType="begin"/>
            </w:r>
            <w:r>
              <w:rPr>
                <w:b/>
                <w:color w:val="FFFFFF" w:themeColor="background1"/>
                <w:sz w:val="20"/>
              </w:rPr>
              <w:instrText xml:space="preserve"> STYLEREF 1 \s </w:instrText>
            </w:r>
            <w:r>
              <w:fldChar w:fldCharType="separate"/>
            </w:r>
            <w:r>
              <w:rPr>
                <w:b/>
                <w:noProof/>
                <w:color w:val="FFFFFF" w:themeColor="background1"/>
                <w:sz w:val="20"/>
              </w:rPr>
              <w:t>3</w:t>
            </w:r>
            <w:r>
              <w:fldChar w:fldCharType="end"/>
            </w:r>
            <w:r>
              <w:rPr>
                <w:b/>
                <w:color w:val="FFFFFF" w:themeColor="background1"/>
                <w:sz w:val="20"/>
              </w:rPr>
              <w:t>–</w:t>
            </w:r>
            <w:r>
              <w:fldChar w:fldCharType="begin"/>
            </w:r>
            <w:r>
              <w:rPr>
                <w:b/>
                <w:color w:val="FFFFFF" w:themeColor="background1"/>
                <w:sz w:val="20"/>
              </w:rPr>
              <w:instrText xml:space="preserve"> SEQ Table \* ARABIC \s 1 </w:instrText>
            </w:r>
            <w:r>
              <w:fldChar w:fldCharType="separate"/>
            </w:r>
            <w:r>
              <w:rPr>
                <w:b/>
                <w:noProof/>
                <w:color w:val="FFFFFF" w:themeColor="background1"/>
                <w:sz w:val="20"/>
              </w:rPr>
              <w:t>4</w:t>
            </w:r>
            <w:r>
              <w:fldChar w:fldCharType="end"/>
            </w:r>
            <w:bookmarkEnd w:id="4"/>
            <w:r>
              <w:rPr>
                <w:b/>
                <w:color w:val="FFFFFF" w:themeColor="background1"/>
                <w:sz w:val="20"/>
              </w:rPr>
              <w:t>:  Global TiO</w:t>
            </w:r>
            <w:r>
              <w:rPr>
                <w:b/>
                <w:color w:val="FFFFFF" w:themeColor="background1"/>
                <w:sz w:val="20"/>
                <w:vertAlign w:val="subscript"/>
              </w:rPr>
              <w:t>2</w:t>
            </w:r>
            <w:r>
              <w:rPr>
                <w:b/>
                <w:color w:val="FFFFFF" w:themeColor="background1"/>
                <w:sz w:val="20"/>
              </w:rPr>
              <w:t xml:space="preserve"> pigments consumption breakdown by end-use sector</w:t>
            </w:r>
          </w:p>
        </w:tc>
      </w:tr>
      <w:tr w:rsidR="002626DB" w:rsidTr="002626DB">
        <w:tc>
          <w:tcPr>
            <w:tcW w:w="4621" w:type="dxa"/>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spacing w:after="0" w:line="276" w:lineRule="auto"/>
              <w:rPr>
                <w:b/>
                <w:color w:val="FFFFFF" w:themeColor="background1"/>
                <w:sz w:val="20"/>
                <w:szCs w:val="20"/>
              </w:rPr>
            </w:pPr>
            <w:r>
              <w:rPr>
                <w:b/>
                <w:color w:val="FFFFFF" w:themeColor="background1"/>
                <w:sz w:val="20"/>
                <w:szCs w:val="20"/>
              </w:rPr>
              <w:t>End-use sector</w:t>
            </w:r>
          </w:p>
        </w:tc>
        <w:tc>
          <w:tcPr>
            <w:tcW w:w="4621" w:type="dxa"/>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spacing w:after="0" w:line="276" w:lineRule="auto"/>
              <w:jc w:val="center"/>
              <w:rPr>
                <w:b/>
                <w:color w:val="FFFFFF" w:themeColor="background1"/>
                <w:sz w:val="20"/>
                <w:szCs w:val="20"/>
              </w:rPr>
            </w:pPr>
            <w:r>
              <w:rPr>
                <w:b/>
                <w:color w:val="FFFFFF" w:themeColor="background1"/>
                <w:sz w:val="20"/>
                <w:szCs w:val="20"/>
              </w:rPr>
              <w:t>Year: 2013</w:t>
            </w:r>
          </w:p>
        </w:tc>
      </w:tr>
      <w:tr w:rsidR="002626DB" w:rsidTr="002626DB">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rPr>
                <w:sz w:val="20"/>
                <w:szCs w:val="20"/>
              </w:rPr>
            </w:pPr>
            <w:r>
              <w:rPr>
                <w:sz w:val="20"/>
                <w:szCs w:val="20"/>
              </w:rPr>
              <w:t>Paint</w:t>
            </w:r>
          </w:p>
        </w:tc>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highlight w:val="red"/>
              </w:rPr>
            </w:pPr>
            <w:r>
              <w:rPr>
                <w:sz w:val="20"/>
                <w:szCs w:val="20"/>
              </w:rPr>
              <w:t>53% (assumed architectural 36% and industrial 17%)</w:t>
            </w:r>
          </w:p>
        </w:tc>
      </w:tr>
      <w:tr w:rsidR="002626DB" w:rsidTr="002626DB">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rPr>
                <w:sz w:val="20"/>
                <w:szCs w:val="20"/>
              </w:rPr>
            </w:pPr>
            <w:r>
              <w:rPr>
                <w:sz w:val="20"/>
                <w:szCs w:val="20"/>
              </w:rPr>
              <w:t>Plastic</w:t>
            </w:r>
          </w:p>
        </w:tc>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highlight w:val="red"/>
              </w:rPr>
            </w:pPr>
            <w:r>
              <w:rPr>
                <w:sz w:val="20"/>
                <w:szCs w:val="20"/>
              </w:rPr>
              <w:t>25%</w:t>
            </w:r>
          </w:p>
        </w:tc>
      </w:tr>
      <w:tr w:rsidR="002626DB" w:rsidTr="002626DB">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rPr>
                <w:sz w:val="20"/>
                <w:szCs w:val="20"/>
              </w:rPr>
            </w:pPr>
            <w:r>
              <w:rPr>
                <w:sz w:val="20"/>
                <w:szCs w:val="20"/>
              </w:rPr>
              <w:t>Paper</w:t>
            </w:r>
          </w:p>
        </w:tc>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highlight w:val="red"/>
              </w:rPr>
            </w:pPr>
            <w:r>
              <w:rPr>
                <w:sz w:val="20"/>
                <w:szCs w:val="20"/>
              </w:rPr>
              <w:t>Laminates: 10%; Paper: 2%</w:t>
            </w:r>
          </w:p>
        </w:tc>
      </w:tr>
      <w:tr w:rsidR="002626DB" w:rsidTr="002626DB">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rPr>
                <w:sz w:val="20"/>
                <w:szCs w:val="20"/>
              </w:rPr>
            </w:pPr>
            <w:r>
              <w:rPr>
                <w:sz w:val="20"/>
                <w:szCs w:val="20"/>
              </w:rPr>
              <w:t>Inks</w:t>
            </w:r>
          </w:p>
        </w:tc>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highlight w:val="red"/>
              </w:rPr>
            </w:pPr>
            <w:r>
              <w:rPr>
                <w:sz w:val="20"/>
                <w:szCs w:val="20"/>
              </w:rPr>
              <w:t>4%</w:t>
            </w:r>
          </w:p>
        </w:tc>
      </w:tr>
      <w:tr w:rsidR="002626DB" w:rsidRPr="002626DB" w:rsidTr="002626DB">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rPr>
                <w:sz w:val="20"/>
                <w:szCs w:val="20"/>
              </w:rPr>
            </w:pPr>
            <w:r>
              <w:rPr>
                <w:sz w:val="20"/>
                <w:szCs w:val="20"/>
              </w:rPr>
              <w:t>Specialty</w:t>
            </w:r>
          </w:p>
        </w:tc>
        <w:tc>
          <w:tcPr>
            <w:tcW w:w="4621"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highlight w:val="red"/>
              </w:rPr>
            </w:pPr>
            <w:r>
              <w:rPr>
                <w:sz w:val="20"/>
                <w:szCs w:val="20"/>
              </w:rPr>
              <w:t>Food, Pharma, etc.: 1%; Catalysts: 1%; Other: 4%</w:t>
            </w:r>
          </w:p>
        </w:tc>
      </w:tr>
      <w:tr w:rsidR="002626DB" w:rsidRPr="002626DB" w:rsidTr="002626DB">
        <w:tc>
          <w:tcPr>
            <w:tcW w:w="9242" w:type="dxa"/>
            <w:gridSpan w:val="2"/>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rPr>
                <w:i/>
                <w:sz w:val="20"/>
                <w:szCs w:val="20"/>
                <w:highlight w:val="red"/>
              </w:rPr>
            </w:pPr>
            <w:r>
              <w:rPr>
                <w:i/>
                <w:sz w:val="20"/>
                <w:szCs w:val="20"/>
              </w:rPr>
              <w:t xml:space="preserve">Source:  </w:t>
            </w:r>
            <w:proofErr w:type="spellStart"/>
            <w:r>
              <w:rPr>
                <w:i/>
                <w:sz w:val="20"/>
                <w:szCs w:val="20"/>
              </w:rPr>
              <w:t>Cefic</w:t>
            </w:r>
            <w:proofErr w:type="spellEnd"/>
            <w:r>
              <w:rPr>
                <w:i/>
                <w:sz w:val="20"/>
                <w:szCs w:val="20"/>
              </w:rPr>
              <w:t>,  aggregates of TDMA members’ data</w:t>
            </w:r>
          </w:p>
        </w:tc>
      </w:tr>
    </w:tbl>
    <w:p w:rsidR="002626DB" w:rsidRDefault="002626DB" w:rsidP="002626DB"/>
    <w:p w:rsidR="002626DB" w:rsidRDefault="002626DB" w:rsidP="002626DB">
      <w:r>
        <w:t>The table identifies four key market segments: paints (incorporating functional coatings and construction products), plastics, paper and inks.  These typically account for over 90% of total TiO</w:t>
      </w:r>
      <w:r>
        <w:rPr>
          <w:vertAlign w:val="subscript"/>
        </w:rPr>
        <w:t>2</w:t>
      </w:r>
      <w:r>
        <w:t xml:space="preserve"> pigment consumption in the world.  These are described below as “mass applications” of TiO</w:t>
      </w:r>
      <w:r>
        <w:rPr>
          <w:vertAlign w:val="subscript"/>
        </w:rPr>
        <w:t>2</w:t>
      </w:r>
      <w:r>
        <w:t xml:space="preserve"> with the remainder grouped in “specialty applications”.  An overview of the applications that are discussed below is given in </w:t>
      </w:r>
      <w:r>
        <w:rPr>
          <w:b/>
        </w:rPr>
        <w:fldChar w:fldCharType="begin"/>
      </w:r>
      <w:r>
        <w:rPr>
          <w:b/>
        </w:rPr>
        <w:instrText xml:space="preserve"> REF _Ref451349093 \h  \* MERGEFORMAT </w:instrText>
      </w:r>
      <w:r>
        <w:rPr>
          <w:b/>
        </w:rPr>
      </w:r>
      <w:r>
        <w:rPr>
          <w:b/>
        </w:rPr>
        <w:fldChar w:fldCharType="separate"/>
      </w:r>
      <w:r>
        <w:rPr>
          <w:b/>
        </w:rPr>
        <w:t xml:space="preserve">Figure </w:t>
      </w:r>
      <w:r>
        <w:rPr>
          <w:b/>
          <w:noProof/>
        </w:rPr>
        <w:t>3</w:t>
      </w:r>
      <w:r>
        <w:rPr>
          <w:b/>
        </w:rPr>
        <w:t>–</w:t>
      </w:r>
      <w:r>
        <w:rPr>
          <w:b/>
          <w:noProof/>
        </w:rPr>
        <w:t>5</w:t>
      </w:r>
      <w:r>
        <w:rPr>
          <w:b/>
        </w:rPr>
        <w:fldChar w:fldCharType="end"/>
      </w:r>
      <w:r>
        <w:t xml:space="preserve"> overleaf.  The following paragraphs describe these applications, the role of TiO</w:t>
      </w:r>
      <w:r>
        <w:rPr>
          <w:vertAlign w:val="subscript"/>
        </w:rPr>
        <w:t>2</w:t>
      </w:r>
      <w:r>
        <w:t xml:space="preserve"> and its technical advantages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626DB" w:rsidTr="0033012C">
        <w:tc>
          <w:tcPr>
            <w:tcW w:w="9016"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rPr>
            </w:pPr>
            <w:r>
              <w:rPr>
                <w:lang w:eastAsia="en-GB"/>
              </w:rPr>
              <w:lastRenderedPageBreak/>
              <w:t xml:space="preserve"> </w:t>
            </w:r>
            <w:r>
              <w:rPr>
                <w:noProof/>
                <w:lang w:val="de-DE" w:eastAsia="de-DE"/>
              </w:rPr>
              <w:drawing>
                <wp:inline distT="0" distB="0" distL="0" distR="0">
                  <wp:extent cx="5715000" cy="5695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5695950"/>
                          </a:xfrm>
                          <a:prstGeom prst="rect">
                            <a:avLst/>
                          </a:prstGeom>
                          <a:noFill/>
                          <a:ln>
                            <a:noFill/>
                          </a:ln>
                        </pic:spPr>
                      </pic:pic>
                    </a:graphicData>
                  </a:graphic>
                </wp:inline>
              </w:drawing>
            </w:r>
          </w:p>
        </w:tc>
      </w:tr>
      <w:tr w:rsidR="002626DB" w:rsidRPr="002626DB" w:rsidTr="0033012C">
        <w:tc>
          <w:tcPr>
            <w:tcW w:w="9016" w:type="dxa"/>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pStyle w:val="Beschriftung"/>
              <w:keepNext w:val="0"/>
              <w:spacing w:line="276" w:lineRule="auto"/>
              <w:jc w:val="both"/>
              <w:rPr>
                <w:color w:val="FFFFFF" w:themeColor="background1"/>
              </w:rPr>
            </w:pPr>
            <w:bookmarkStart w:id="5" w:name="_Ref451349093"/>
            <w:r>
              <w:rPr>
                <w:color w:val="FFFFFF" w:themeColor="background1"/>
              </w:rPr>
              <w:t xml:space="preserve">Figure </w:t>
            </w:r>
            <w:r>
              <w:fldChar w:fldCharType="begin"/>
            </w:r>
            <w:r>
              <w:rPr>
                <w:color w:val="FFFFFF" w:themeColor="background1"/>
              </w:rPr>
              <w:instrText xml:space="preserve"> STYLEREF 1 \s </w:instrText>
            </w:r>
            <w:r>
              <w:fldChar w:fldCharType="separate"/>
            </w:r>
            <w:r>
              <w:rPr>
                <w:noProof/>
                <w:color w:val="FFFFFF" w:themeColor="background1"/>
              </w:rPr>
              <w:t>3</w:t>
            </w:r>
            <w:r>
              <w:fldChar w:fldCharType="end"/>
            </w:r>
            <w:r>
              <w:rPr>
                <w:color w:val="FFFFFF" w:themeColor="background1"/>
              </w:rPr>
              <w:t>–</w:t>
            </w:r>
            <w:r>
              <w:fldChar w:fldCharType="begin"/>
            </w:r>
            <w:r>
              <w:rPr>
                <w:color w:val="FFFFFF" w:themeColor="background1"/>
              </w:rPr>
              <w:instrText xml:space="preserve"> SEQ Figure \* ARABIC \s 1 </w:instrText>
            </w:r>
            <w:r>
              <w:fldChar w:fldCharType="separate"/>
            </w:r>
            <w:r>
              <w:rPr>
                <w:noProof/>
                <w:color w:val="FFFFFF" w:themeColor="background1"/>
              </w:rPr>
              <w:t>5</w:t>
            </w:r>
            <w:r>
              <w:fldChar w:fldCharType="end"/>
            </w:r>
            <w:bookmarkEnd w:id="5"/>
            <w:r>
              <w:rPr>
                <w:color w:val="FFFFFF" w:themeColor="background1"/>
              </w:rPr>
              <w:t>:  Overview of applications of TiO</w:t>
            </w:r>
            <w:r>
              <w:rPr>
                <w:color w:val="FFFFFF" w:themeColor="background1"/>
                <w:vertAlign w:val="subscript"/>
              </w:rPr>
              <w:t>2</w:t>
            </w:r>
            <w:r>
              <w:rPr>
                <w:color w:val="FFFFFF" w:themeColor="background1"/>
              </w:rPr>
              <w:t xml:space="preserve"> pigments</w:t>
            </w:r>
          </w:p>
        </w:tc>
      </w:tr>
    </w:tbl>
    <w:p w:rsidR="002626DB" w:rsidRDefault="002626DB" w:rsidP="002626DB"/>
    <w:p w:rsidR="002626DB" w:rsidRDefault="002626DB" w:rsidP="002626DB">
      <w:r>
        <w:t>The table overleaf summarises the key technical performance characteristics and advantages of TiO</w:t>
      </w:r>
      <w:r>
        <w:rPr>
          <w:vertAlign w:val="subscript"/>
        </w:rPr>
        <w:t>2</w:t>
      </w:r>
      <w:r>
        <w:t xml:space="preserve"> in its different application areas.  These are expanded upon later in the document when each application is considered in turn.</w:t>
      </w:r>
    </w:p>
    <w:p w:rsidR="002626DB" w:rsidRDefault="002626DB" w:rsidP="002626DB"/>
    <w:p w:rsidR="002626DB" w:rsidRDefault="002626DB" w:rsidP="002626DB">
      <w:pPr>
        <w:spacing w:after="0"/>
        <w:jc w:val="left"/>
        <w:sectPr w:rsidR="002626DB">
          <w:pgSz w:w="11906" w:h="16838"/>
          <w:pgMar w:top="1418" w:right="1440" w:bottom="851" w:left="1440" w:header="708" w:footer="709" w:gutter="0"/>
          <w:pgNumType w:start="1"/>
          <w:cols w:space="720"/>
        </w:sectPr>
      </w:pPr>
    </w:p>
    <w:tbl>
      <w:tblPr>
        <w:tblW w:w="153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079"/>
        <w:gridCol w:w="664"/>
        <w:gridCol w:w="664"/>
        <w:gridCol w:w="665"/>
        <w:gridCol w:w="664"/>
        <w:gridCol w:w="665"/>
        <w:gridCol w:w="664"/>
        <w:gridCol w:w="665"/>
        <w:gridCol w:w="664"/>
        <w:gridCol w:w="665"/>
        <w:gridCol w:w="664"/>
        <w:gridCol w:w="665"/>
        <w:gridCol w:w="664"/>
        <w:gridCol w:w="665"/>
        <w:gridCol w:w="664"/>
        <w:gridCol w:w="665"/>
        <w:gridCol w:w="664"/>
        <w:gridCol w:w="665"/>
      </w:tblGrid>
      <w:tr w:rsidR="002626DB" w:rsidRPr="002626DB" w:rsidTr="002626DB">
        <w:trPr>
          <w:cantSplit/>
          <w:trHeight w:val="312"/>
          <w:tblHeader/>
        </w:trPr>
        <w:tc>
          <w:tcPr>
            <w:tcW w:w="15373" w:type="dxa"/>
            <w:gridSpan w:val="18"/>
            <w:tcBorders>
              <w:top w:val="single" w:sz="4" w:space="0" w:color="auto"/>
              <w:left w:val="single" w:sz="4" w:space="0" w:color="auto"/>
              <w:bottom w:val="single" w:sz="4" w:space="0" w:color="auto"/>
              <w:right w:val="single" w:sz="4" w:space="0" w:color="auto"/>
            </w:tcBorders>
            <w:shd w:val="clear" w:color="auto" w:fill="569BBE"/>
            <w:vAlign w:val="center"/>
            <w:hideMark/>
          </w:tcPr>
          <w:p w:rsidR="002626DB" w:rsidRDefault="002626DB">
            <w:pPr>
              <w:spacing w:after="0" w:line="276" w:lineRule="auto"/>
              <w:jc w:val="left"/>
              <w:rPr>
                <w:b/>
                <w:color w:val="FFFFFF" w:themeColor="background1"/>
                <w:sz w:val="20"/>
                <w:szCs w:val="20"/>
              </w:rPr>
            </w:pPr>
            <w:r>
              <w:rPr>
                <w:b/>
                <w:color w:val="FFFFFF" w:themeColor="background1"/>
                <w:sz w:val="20"/>
              </w:rPr>
              <w:lastRenderedPageBreak/>
              <w:t xml:space="preserve">Table </w:t>
            </w:r>
            <w:r>
              <w:rPr>
                <w:b/>
                <w:color w:val="FFFFFF" w:themeColor="background1"/>
                <w:sz w:val="20"/>
              </w:rPr>
              <w:fldChar w:fldCharType="begin"/>
            </w:r>
            <w:r>
              <w:rPr>
                <w:b/>
                <w:color w:val="FFFFFF" w:themeColor="background1"/>
                <w:sz w:val="20"/>
              </w:rPr>
              <w:instrText xml:space="preserve"> STYLEREF 1 \s </w:instrText>
            </w:r>
            <w:r>
              <w:rPr>
                <w:b/>
                <w:color w:val="FFFFFF" w:themeColor="background1"/>
                <w:sz w:val="20"/>
              </w:rPr>
              <w:fldChar w:fldCharType="separate"/>
            </w:r>
            <w:r>
              <w:rPr>
                <w:b/>
                <w:noProof/>
                <w:color w:val="FFFFFF" w:themeColor="background1"/>
                <w:sz w:val="20"/>
              </w:rPr>
              <w:t>3</w:t>
            </w:r>
            <w:r>
              <w:rPr>
                <w:b/>
                <w:color w:val="FFFFFF" w:themeColor="background1"/>
                <w:sz w:val="20"/>
              </w:rPr>
              <w:fldChar w:fldCharType="end"/>
            </w:r>
            <w:r>
              <w:rPr>
                <w:b/>
                <w:color w:val="FFFFFF" w:themeColor="background1"/>
                <w:sz w:val="20"/>
              </w:rPr>
              <w:t>–</w:t>
            </w:r>
            <w:r>
              <w:rPr>
                <w:b/>
                <w:color w:val="FFFFFF" w:themeColor="background1"/>
                <w:sz w:val="20"/>
              </w:rPr>
              <w:fldChar w:fldCharType="begin"/>
            </w:r>
            <w:r>
              <w:rPr>
                <w:b/>
                <w:color w:val="FFFFFF" w:themeColor="background1"/>
                <w:sz w:val="20"/>
              </w:rPr>
              <w:instrText xml:space="preserve"> SEQ Table \* ARABIC \s 1 </w:instrText>
            </w:r>
            <w:r>
              <w:rPr>
                <w:b/>
                <w:color w:val="FFFFFF" w:themeColor="background1"/>
                <w:sz w:val="20"/>
              </w:rPr>
              <w:fldChar w:fldCharType="separate"/>
            </w:r>
            <w:r>
              <w:rPr>
                <w:b/>
                <w:noProof/>
                <w:color w:val="FFFFFF" w:themeColor="background1"/>
                <w:sz w:val="20"/>
              </w:rPr>
              <w:t>5</w:t>
            </w:r>
            <w:r>
              <w:rPr>
                <w:b/>
                <w:color w:val="FFFFFF" w:themeColor="background1"/>
                <w:sz w:val="20"/>
              </w:rPr>
              <w:fldChar w:fldCharType="end"/>
            </w:r>
            <w:r>
              <w:rPr>
                <w:b/>
                <w:color w:val="FFFFFF" w:themeColor="background1"/>
                <w:sz w:val="20"/>
              </w:rPr>
              <w:t>:  Overview of key technical performance characteristics and advantages of TiO</w:t>
            </w:r>
            <w:r>
              <w:rPr>
                <w:b/>
                <w:color w:val="FFFFFF" w:themeColor="background1"/>
                <w:sz w:val="20"/>
                <w:vertAlign w:val="subscript"/>
              </w:rPr>
              <w:t>2</w:t>
            </w:r>
            <w:r>
              <w:rPr>
                <w:b/>
                <w:color w:val="FFFFFF" w:themeColor="background1"/>
                <w:sz w:val="20"/>
              </w:rPr>
              <w:t xml:space="preserve"> use in its different applications</w:t>
            </w:r>
          </w:p>
        </w:tc>
      </w:tr>
      <w:tr w:rsidR="002626DB" w:rsidTr="002626DB">
        <w:trPr>
          <w:cantSplit/>
          <w:trHeight w:val="1796"/>
          <w:tblHeader/>
        </w:trPr>
        <w:tc>
          <w:tcPr>
            <w:tcW w:w="4077" w:type="dxa"/>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spacing w:after="0" w:line="276" w:lineRule="auto"/>
              <w:jc w:val="left"/>
              <w:rPr>
                <w:b/>
                <w:color w:val="FFFFFF" w:themeColor="background1"/>
                <w:sz w:val="20"/>
                <w:szCs w:val="20"/>
              </w:rPr>
            </w:pPr>
            <w:r>
              <w:rPr>
                <w:b/>
                <w:color w:val="FFFFFF" w:themeColor="background1"/>
                <w:sz w:val="20"/>
                <w:szCs w:val="20"/>
              </w:rPr>
              <w:t>Properties</w:t>
            </w:r>
          </w:p>
        </w:tc>
        <w:tc>
          <w:tcPr>
            <w:tcW w:w="664" w:type="dxa"/>
            <w:tcBorders>
              <w:top w:val="single" w:sz="4" w:space="0" w:color="auto"/>
              <w:left w:val="nil"/>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b/>
                <w:color w:val="FFFFFF" w:themeColor="background1"/>
                <w:sz w:val="20"/>
                <w:szCs w:val="20"/>
              </w:rPr>
            </w:pPr>
            <w:r>
              <w:rPr>
                <w:b/>
                <w:color w:val="FFFFFF" w:themeColor="background1"/>
                <w:sz w:val="20"/>
                <w:szCs w:val="20"/>
              </w:rPr>
              <w:t>Paints and coatings</w:t>
            </w:r>
          </w:p>
        </w:tc>
        <w:tc>
          <w:tcPr>
            <w:tcW w:w="664"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b/>
                <w:color w:val="FFFFFF" w:themeColor="background1"/>
                <w:sz w:val="20"/>
                <w:szCs w:val="20"/>
              </w:rPr>
            </w:pPr>
            <w:r>
              <w:rPr>
                <w:b/>
                <w:color w:val="FFFFFF" w:themeColor="background1"/>
                <w:sz w:val="20"/>
                <w:szCs w:val="20"/>
              </w:rPr>
              <w:t xml:space="preserve">Plastics </w:t>
            </w:r>
          </w:p>
        </w:tc>
        <w:tc>
          <w:tcPr>
            <w:tcW w:w="665"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b/>
                <w:color w:val="FFFFFF" w:themeColor="background1"/>
                <w:sz w:val="20"/>
                <w:szCs w:val="20"/>
              </w:rPr>
            </w:pPr>
            <w:r>
              <w:rPr>
                <w:b/>
                <w:color w:val="FFFFFF" w:themeColor="background1"/>
                <w:sz w:val="20"/>
                <w:szCs w:val="20"/>
              </w:rPr>
              <w:t>Paper</w:t>
            </w:r>
          </w:p>
        </w:tc>
        <w:tc>
          <w:tcPr>
            <w:tcW w:w="664" w:type="dxa"/>
            <w:tcBorders>
              <w:top w:val="single" w:sz="4" w:space="0" w:color="auto"/>
              <w:left w:val="nil"/>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Inks</w:t>
            </w:r>
          </w:p>
        </w:tc>
        <w:tc>
          <w:tcPr>
            <w:tcW w:w="665"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Construction products</w:t>
            </w:r>
          </w:p>
        </w:tc>
        <w:tc>
          <w:tcPr>
            <w:tcW w:w="664"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 xml:space="preserve">Fibres </w:t>
            </w:r>
          </w:p>
        </w:tc>
        <w:tc>
          <w:tcPr>
            <w:tcW w:w="665"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 xml:space="preserve">Catalysts </w:t>
            </w:r>
          </w:p>
        </w:tc>
        <w:tc>
          <w:tcPr>
            <w:tcW w:w="664"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Food</w:t>
            </w:r>
          </w:p>
        </w:tc>
        <w:tc>
          <w:tcPr>
            <w:tcW w:w="665"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Pharmaceuticals</w:t>
            </w:r>
          </w:p>
        </w:tc>
        <w:tc>
          <w:tcPr>
            <w:tcW w:w="664"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Cosmetics</w:t>
            </w:r>
          </w:p>
        </w:tc>
        <w:tc>
          <w:tcPr>
            <w:tcW w:w="665"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Elastomers</w:t>
            </w:r>
          </w:p>
        </w:tc>
        <w:tc>
          <w:tcPr>
            <w:tcW w:w="664"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 xml:space="preserve">Pigments </w:t>
            </w:r>
          </w:p>
        </w:tc>
        <w:tc>
          <w:tcPr>
            <w:tcW w:w="665" w:type="dxa"/>
            <w:tcBorders>
              <w:top w:val="single" w:sz="4" w:space="0" w:color="auto"/>
              <w:left w:val="single" w:sz="4" w:space="0" w:color="auto"/>
              <w:bottom w:val="single" w:sz="4" w:space="0" w:color="auto"/>
              <w:right w:val="nil"/>
            </w:tcBorders>
            <w:shd w:val="clear" w:color="auto" w:fill="569BBE"/>
            <w:textDirection w:val="btLr"/>
            <w:vAlign w:val="center"/>
            <w:hideMark/>
          </w:tcPr>
          <w:p w:rsidR="002626DB" w:rsidRDefault="002626DB">
            <w:pPr>
              <w:spacing w:after="0" w:line="276" w:lineRule="auto"/>
              <w:ind w:left="113" w:right="113"/>
              <w:jc w:val="left"/>
              <w:rPr>
                <w:sz w:val="20"/>
                <w:szCs w:val="20"/>
              </w:rPr>
            </w:pPr>
            <w:r>
              <w:rPr>
                <w:b/>
                <w:color w:val="FFFFFF" w:themeColor="background1"/>
                <w:sz w:val="20"/>
                <w:szCs w:val="20"/>
              </w:rPr>
              <w:t>Ceramics</w:t>
            </w:r>
          </w:p>
        </w:tc>
        <w:tc>
          <w:tcPr>
            <w:tcW w:w="664" w:type="dxa"/>
            <w:tcBorders>
              <w:top w:val="single" w:sz="4" w:space="0" w:color="auto"/>
              <w:left w:val="single" w:sz="4" w:space="0" w:color="auto"/>
              <w:bottom w:val="single" w:sz="4" w:space="0" w:color="auto"/>
              <w:right w:val="nil"/>
            </w:tcBorders>
            <w:shd w:val="clear" w:color="auto" w:fill="569BBE"/>
            <w:textDirection w:val="btLr"/>
            <w:vAlign w:val="center"/>
            <w:hideMark/>
          </w:tcPr>
          <w:p w:rsidR="002626DB" w:rsidRDefault="002626DB">
            <w:pPr>
              <w:spacing w:after="0" w:line="276" w:lineRule="auto"/>
              <w:ind w:left="113" w:right="113"/>
              <w:jc w:val="left"/>
              <w:rPr>
                <w:b/>
                <w:color w:val="FFFFFF" w:themeColor="background1"/>
                <w:sz w:val="20"/>
                <w:szCs w:val="20"/>
              </w:rPr>
            </w:pPr>
            <w:r>
              <w:rPr>
                <w:b/>
                <w:color w:val="FFFFFF" w:themeColor="background1"/>
                <w:sz w:val="20"/>
                <w:szCs w:val="20"/>
              </w:rPr>
              <w:t>Glass</w:t>
            </w:r>
          </w:p>
        </w:tc>
        <w:tc>
          <w:tcPr>
            <w:tcW w:w="665" w:type="dxa"/>
            <w:tcBorders>
              <w:top w:val="single" w:sz="4" w:space="0" w:color="auto"/>
              <w:left w:val="single" w:sz="4" w:space="0" w:color="auto"/>
              <w:bottom w:val="single" w:sz="4" w:space="0" w:color="auto"/>
              <w:right w:val="nil"/>
            </w:tcBorders>
            <w:shd w:val="clear" w:color="auto" w:fill="569BBE"/>
            <w:textDirection w:val="btLr"/>
            <w:vAlign w:val="center"/>
            <w:hideMark/>
          </w:tcPr>
          <w:p w:rsidR="002626DB" w:rsidRDefault="002626DB">
            <w:pPr>
              <w:spacing w:after="0" w:line="276" w:lineRule="auto"/>
              <w:ind w:left="113" w:right="113"/>
              <w:jc w:val="left"/>
              <w:rPr>
                <w:b/>
                <w:color w:val="FFFFFF" w:themeColor="background1"/>
                <w:sz w:val="20"/>
                <w:szCs w:val="20"/>
              </w:rPr>
            </w:pPr>
            <w:r>
              <w:rPr>
                <w:b/>
                <w:color w:val="FFFFFF" w:themeColor="background1"/>
                <w:sz w:val="20"/>
                <w:szCs w:val="20"/>
              </w:rPr>
              <w:t>Medical devices</w:t>
            </w:r>
          </w:p>
        </w:tc>
        <w:tc>
          <w:tcPr>
            <w:tcW w:w="664" w:type="dxa"/>
            <w:tcBorders>
              <w:top w:val="single" w:sz="4" w:space="0" w:color="auto"/>
              <w:left w:val="single" w:sz="4" w:space="0" w:color="auto"/>
              <w:bottom w:val="single" w:sz="4" w:space="0" w:color="auto"/>
              <w:right w:val="nil"/>
            </w:tcBorders>
            <w:shd w:val="clear" w:color="auto" w:fill="569BBE"/>
            <w:textDirection w:val="btLr"/>
            <w:vAlign w:val="center"/>
            <w:hideMark/>
          </w:tcPr>
          <w:p w:rsidR="002626DB" w:rsidRDefault="002626DB">
            <w:pPr>
              <w:spacing w:after="0" w:line="276" w:lineRule="auto"/>
              <w:ind w:left="113" w:right="113"/>
              <w:jc w:val="left"/>
              <w:rPr>
                <w:b/>
                <w:color w:val="FFFFFF" w:themeColor="background1"/>
                <w:sz w:val="20"/>
                <w:szCs w:val="20"/>
              </w:rPr>
            </w:pPr>
            <w:r>
              <w:rPr>
                <w:b/>
                <w:color w:val="FFFFFF" w:themeColor="background1"/>
                <w:sz w:val="20"/>
                <w:szCs w:val="20"/>
              </w:rPr>
              <w:t>Detergents</w:t>
            </w:r>
          </w:p>
        </w:tc>
        <w:tc>
          <w:tcPr>
            <w:tcW w:w="665" w:type="dxa"/>
            <w:tcBorders>
              <w:top w:val="single" w:sz="4" w:space="0" w:color="auto"/>
              <w:left w:val="single" w:sz="4" w:space="0" w:color="auto"/>
              <w:bottom w:val="single" w:sz="4" w:space="0" w:color="auto"/>
              <w:right w:val="single" w:sz="4" w:space="0" w:color="auto"/>
            </w:tcBorders>
            <w:shd w:val="clear" w:color="auto" w:fill="569BBE"/>
            <w:textDirection w:val="btLr"/>
            <w:vAlign w:val="center"/>
            <w:hideMark/>
          </w:tcPr>
          <w:p w:rsidR="002626DB" w:rsidRDefault="002626DB">
            <w:pPr>
              <w:spacing w:after="0" w:line="276" w:lineRule="auto"/>
              <w:ind w:left="113" w:right="113"/>
              <w:jc w:val="left"/>
              <w:rPr>
                <w:b/>
                <w:color w:val="FFFFFF" w:themeColor="background1"/>
                <w:sz w:val="20"/>
                <w:szCs w:val="20"/>
              </w:rPr>
            </w:pPr>
            <w:r>
              <w:rPr>
                <w:b/>
                <w:color w:val="FFFFFF" w:themeColor="background1"/>
                <w:sz w:val="20"/>
                <w:szCs w:val="20"/>
              </w:rPr>
              <w:t>Biocides</w:t>
            </w: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Good hiding power/opacity</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Ability to lighten coloured media</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Base for colour development</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Whiteness and brightness</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Stability to heat, light and weathering</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 xml:space="preserve">Thermal stability and flame </w:t>
            </w:r>
            <w:proofErr w:type="spellStart"/>
            <w:r>
              <w:rPr>
                <w:sz w:val="20"/>
                <w:szCs w:val="20"/>
              </w:rPr>
              <w:t>retardancy</w:t>
            </w:r>
            <w:proofErr w:type="spellEnd"/>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Light reflection</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UV absorbance</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Offers support for catalysts</w:t>
            </w: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Photocatalytic activity</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Approved for use in specific areas</w:t>
            </w: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High efficiency</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 xml:space="preserve">Easy dispersion and particle distribution and </w:t>
            </w:r>
            <w:proofErr w:type="spellStart"/>
            <w:r>
              <w:rPr>
                <w:sz w:val="20"/>
                <w:szCs w:val="20"/>
              </w:rPr>
              <w:t>processability</w:t>
            </w:r>
            <w:proofErr w:type="spellEnd"/>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ind w:left="720" w:hanging="720"/>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ind w:left="720" w:hanging="720"/>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ind w:left="720" w:hanging="720"/>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Inertness in the presence of other components</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Purity</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r>
      <w:tr w:rsidR="002626DB" w:rsidTr="002626DB">
        <w:trPr>
          <w:cantSplit/>
          <w:trHeight w:val="312"/>
        </w:trPr>
        <w:tc>
          <w:tcPr>
            <w:tcW w:w="4077"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left"/>
              <w:rPr>
                <w:sz w:val="20"/>
                <w:szCs w:val="20"/>
              </w:rPr>
            </w:pPr>
            <w:r>
              <w:rPr>
                <w:sz w:val="20"/>
                <w:szCs w:val="20"/>
              </w:rPr>
              <w:t>Other</w:t>
            </w:r>
          </w:p>
        </w:tc>
        <w:tc>
          <w:tcPr>
            <w:tcW w:w="664" w:type="dxa"/>
            <w:tcBorders>
              <w:top w:val="single" w:sz="4" w:space="0" w:color="auto"/>
              <w:left w:val="nil"/>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nil"/>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rsidR="002626DB" w:rsidRDefault="002626DB">
            <w:pPr>
              <w:spacing w:after="0" w:line="276" w:lineRule="auto"/>
              <w:jc w:val="center"/>
              <w:rPr>
                <w:sz w:val="20"/>
                <w:szCs w:val="20"/>
              </w:rPr>
            </w:pPr>
          </w:p>
        </w:tc>
        <w:tc>
          <w:tcPr>
            <w:tcW w:w="665"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4"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nil"/>
            </w:tcBorders>
            <w:vAlign w:val="center"/>
          </w:tcPr>
          <w:p w:rsidR="002626DB" w:rsidRDefault="002626DB">
            <w:pPr>
              <w:spacing w:after="0" w:line="276" w:lineRule="auto"/>
              <w:jc w:val="center"/>
              <w:rPr>
                <w:sz w:val="20"/>
                <w:szCs w:val="20"/>
              </w:rPr>
            </w:pPr>
          </w:p>
        </w:tc>
        <w:tc>
          <w:tcPr>
            <w:tcW w:w="664" w:type="dxa"/>
            <w:tcBorders>
              <w:top w:val="single" w:sz="4" w:space="0" w:color="auto"/>
              <w:left w:val="single" w:sz="4" w:space="0" w:color="auto"/>
              <w:bottom w:val="single" w:sz="4" w:space="0" w:color="auto"/>
              <w:right w:val="nil"/>
            </w:tcBorders>
            <w:vAlign w:val="center"/>
            <w:hideMark/>
          </w:tcPr>
          <w:p w:rsidR="002626DB" w:rsidRDefault="002626DB">
            <w:pPr>
              <w:spacing w:after="0" w:line="276" w:lineRule="auto"/>
              <w:jc w:val="center"/>
              <w:rPr>
                <w:sz w:val="20"/>
                <w:szCs w:val="20"/>
              </w:rPr>
            </w:pPr>
            <w:r>
              <w:rPr>
                <w:sz w:val="20"/>
                <w:szCs w:val="20"/>
              </w:rPr>
              <w:sym w:font="Wingdings" w:char="F0FC"/>
            </w:r>
          </w:p>
        </w:tc>
        <w:tc>
          <w:tcPr>
            <w:tcW w:w="665" w:type="dxa"/>
            <w:tcBorders>
              <w:top w:val="single" w:sz="4" w:space="0" w:color="auto"/>
              <w:left w:val="single" w:sz="4" w:space="0" w:color="auto"/>
              <w:bottom w:val="single" w:sz="4" w:space="0" w:color="auto"/>
              <w:right w:val="single" w:sz="4" w:space="0" w:color="auto"/>
            </w:tcBorders>
            <w:vAlign w:val="center"/>
            <w:hideMark/>
          </w:tcPr>
          <w:p w:rsidR="002626DB" w:rsidRDefault="002626DB">
            <w:pPr>
              <w:spacing w:after="0" w:line="276" w:lineRule="auto"/>
              <w:jc w:val="center"/>
              <w:rPr>
                <w:sz w:val="20"/>
                <w:szCs w:val="20"/>
              </w:rPr>
            </w:pPr>
            <w:r>
              <w:rPr>
                <w:sz w:val="20"/>
                <w:szCs w:val="20"/>
              </w:rPr>
              <w:sym w:font="Wingdings" w:char="F0FC"/>
            </w:r>
          </w:p>
        </w:tc>
      </w:tr>
    </w:tbl>
    <w:p w:rsidR="002626DB" w:rsidRDefault="002626DB" w:rsidP="002626DB"/>
    <w:p w:rsidR="002626DB" w:rsidRDefault="002626DB" w:rsidP="002626DB">
      <w:pPr>
        <w:spacing w:after="0"/>
        <w:jc w:val="left"/>
        <w:rPr>
          <w:rFonts w:ascii="Times New Roman" w:hAnsi="Times New Roman" w:cs="Times New Roman"/>
          <w:sz w:val="24"/>
          <w:szCs w:val="24"/>
          <w:lang w:val="de-DE" w:eastAsia="de-DE"/>
        </w:rPr>
      </w:pPr>
      <w:r>
        <w:tab/>
      </w:r>
      <w:r>
        <w:rPr>
          <w:rFonts w:ascii="Times New Roman" w:hAnsi="Times New Roman" w:cs="Times New Roman"/>
          <w:sz w:val="24"/>
          <w:szCs w:val="24"/>
          <w:lang w:val="de-DE" w:eastAsia="de-DE"/>
        </w:rPr>
        <w:t xml:space="preserve"> </w:t>
      </w:r>
    </w:p>
    <w:p w:rsidR="002626DB" w:rsidRDefault="002626DB" w:rsidP="002626DB"/>
    <w:p w:rsidR="002626DB" w:rsidRDefault="002626DB" w:rsidP="002626DB">
      <w:pPr>
        <w:spacing w:after="0"/>
        <w:jc w:val="left"/>
        <w:sectPr w:rsidR="002626DB" w:rsidSect="002626DB">
          <w:pgSz w:w="16838" w:h="11906" w:orient="landscape"/>
          <w:pgMar w:top="1440" w:right="851" w:bottom="1440" w:left="1418" w:header="708" w:footer="709" w:gutter="0"/>
          <w:pgNumType w:start="1"/>
          <w:cols w:space="720"/>
          <w:docGrid w:linePitch="299"/>
        </w:sectPr>
      </w:pPr>
    </w:p>
    <w:p w:rsidR="002626DB" w:rsidRDefault="002626DB" w:rsidP="002626DB">
      <w:pPr>
        <w:pStyle w:val="berschrift3"/>
        <w:rPr>
          <w:b/>
          <w:bCs/>
        </w:rPr>
      </w:pPr>
      <w:bookmarkStart w:id="6" w:name="_Toc470188626"/>
      <w:r>
        <w:rPr>
          <w:b/>
          <w:bCs/>
        </w:rPr>
        <w:lastRenderedPageBreak/>
        <w:t>Pharmaceuticals</w:t>
      </w:r>
      <w:bookmarkEnd w:id="6"/>
    </w:p>
    <w:p w:rsidR="002626DB" w:rsidRDefault="002626DB" w:rsidP="002626DB">
      <w:pPr>
        <w:pStyle w:val="berschrift4"/>
      </w:pPr>
      <w:r>
        <w:t>Range of applications</w:t>
      </w:r>
    </w:p>
    <w:p w:rsidR="002626DB" w:rsidRDefault="002626DB" w:rsidP="002626DB">
      <w:r>
        <w:t>TiO</w:t>
      </w:r>
      <w:r>
        <w:rPr>
          <w:vertAlign w:val="subscript"/>
        </w:rPr>
        <w:t>2</w:t>
      </w:r>
      <w:r>
        <w:t xml:space="preserve"> is presented in </w:t>
      </w:r>
      <w:proofErr w:type="spellStart"/>
      <w:r>
        <w:t>Ph</w:t>
      </w:r>
      <w:proofErr w:type="spellEnd"/>
      <w:r>
        <w:t xml:space="preserve"> </w:t>
      </w:r>
      <w:proofErr w:type="spellStart"/>
      <w:r>
        <w:t>Eur</w:t>
      </w:r>
      <w:proofErr w:type="spellEnd"/>
      <w:r>
        <w:t xml:space="preserve"> monograph 0150</w:t>
      </w:r>
      <w:r>
        <w:rPr>
          <w:rStyle w:val="Funotenzeichen"/>
        </w:rPr>
        <w:footnoteReference w:id="3"/>
      </w:r>
      <w:r>
        <w:t>.  TiO</w:t>
      </w:r>
      <w:r>
        <w:rPr>
          <w:vertAlign w:val="subscript"/>
        </w:rPr>
        <w:t>2</w:t>
      </w:r>
      <w:r>
        <w:t xml:space="preserve">’s chemical purity meets the requirements of important official pharmaceuticals standards, such as the European pharmacopoeia (Ph. </w:t>
      </w:r>
      <w:proofErr w:type="spellStart"/>
      <w:r>
        <w:t>Eur</w:t>
      </w:r>
      <w:proofErr w:type="spellEnd"/>
      <w:r>
        <w:t xml:space="preserve">/EP), the Japanese pharmacopoeia (JP) and the US pharmacopoeia (USP) </w:t>
      </w:r>
      <w:sdt>
        <w:sdtPr>
          <w:id w:val="-504976103"/>
          <w:citation/>
        </w:sdtPr>
        <w:sdtContent>
          <w:r>
            <w:fldChar w:fldCharType="begin"/>
          </w:r>
          <w:r>
            <w:instrText xml:space="preserve">CITATION Hun6l \l 2057 </w:instrText>
          </w:r>
          <w:r>
            <w:fldChar w:fldCharType="separate"/>
          </w:r>
          <w:r>
            <w:rPr>
              <w:noProof/>
            </w:rPr>
            <w:t>(Huntsman, 2016k)</w:t>
          </w:r>
          <w:r>
            <w:fldChar w:fldCharType="end"/>
          </w:r>
        </w:sdtContent>
      </w:sdt>
      <w:r>
        <w:t>.  In addition, TiO</w:t>
      </w:r>
      <w:r>
        <w:rPr>
          <w:vertAlign w:val="subscript"/>
        </w:rPr>
        <w:t>2</w:t>
      </w:r>
      <w:r>
        <w:t xml:space="preserve"> is the only </w:t>
      </w:r>
      <w:proofErr w:type="spellStart"/>
      <w:r>
        <w:t>opacifying</w:t>
      </w:r>
      <w:proofErr w:type="spellEnd"/>
      <w:r>
        <w:t xml:space="preserve"> agent for materials used for containers that is named in the European Pharmacopoeia’s Section 3.1.</w:t>
      </w:r>
    </w:p>
    <w:p w:rsidR="002626DB" w:rsidRDefault="002626DB" w:rsidP="002626DB">
      <w:r>
        <w:t>Similar to food applications, TiO</w:t>
      </w:r>
      <w:r>
        <w:rPr>
          <w:vertAlign w:val="subscript"/>
        </w:rPr>
        <w:t>2</w:t>
      </w:r>
      <w:r>
        <w:t xml:space="preserve"> applications in pharmaceuticals can be both as an additive to medication and as an additive to packaging:</w:t>
      </w:r>
    </w:p>
    <w:p w:rsidR="002626DB" w:rsidRDefault="002626DB" w:rsidP="002626DB">
      <w:pPr>
        <w:pStyle w:val="Bulletlist"/>
        <w:numPr>
          <w:ilvl w:val="0"/>
          <w:numId w:val="3"/>
        </w:numPr>
      </w:pPr>
      <w:proofErr w:type="spellStart"/>
      <w:r>
        <w:rPr>
          <w:b/>
        </w:rPr>
        <w:t>Medicine</w:t>
      </w:r>
      <w:proofErr w:type="spellEnd"/>
      <w:r>
        <w:rPr>
          <w:b/>
        </w:rPr>
        <w:t xml:space="preserve"> </w:t>
      </w:r>
      <w:proofErr w:type="spellStart"/>
      <w:r>
        <w:rPr>
          <w:b/>
        </w:rPr>
        <w:t>component</w:t>
      </w:r>
      <w:proofErr w:type="spellEnd"/>
      <w:r>
        <w:t xml:space="preserve">:  </w:t>
      </w:r>
    </w:p>
    <w:p w:rsidR="002626DB" w:rsidRPr="002626DB" w:rsidRDefault="002626DB" w:rsidP="002626DB">
      <w:pPr>
        <w:pStyle w:val="Bulletlist2"/>
        <w:rPr>
          <w:lang w:val="en-US"/>
        </w:rPr>
      </w:pPr>
      <w:r w:rsidRPr="002626DB">
        <w:rPr>
          <w:i/>
          <w:lang w:val="en-US"/>
        </w:rPr>
        <w:t>Excipient (</w:t>
      </w:r>
      <w:proofErr w:type="spellStart"/>
      <w:r w:rsidRPr="002626DB">
        <w:rPr>
          <w:i/>
          <w:lang w:val="en-US"/>
        </w:rPr>
        <w:t>colourant</w:t>
      </w:r>
      <w:proofErr w:type="spellEnd"/>
      <w:r w:rsidRPr="002626DB">
        <w:rPr>
          <w:i/>
          <w:lang w:val="en-US"/>
        </w:rPr>
        <w:t>)</w:t>
      </w:r>
      <w:r w:rsidRPr="002626DB">
        <w:rPr>
          <w:lang w:val="en-US"/>
        </w:rPr>
        <w:t>: ultra-high purity TiO</w:t>
      </w:r>
      <w:r w:rsidRPr="002626DB">
        <w:rPr>
          <w:vertAlign w:val="subscript"/>
          <w:lang w:val="en-US"/>
        </w:rPr>
        <w:t>2</w:t>
      </w:r>
      <w:r w:rsidRPr="002626DB">
        <w:rPr>
          <w:lang w:val="en-US"/>
        </w:rPr>
        <w:t xml:space="preserve"> as per </w:t>
      </w:r>
      <w:proofErr w:type="spellStart"/>
      <w:r w:rsidRPr="002626DB">
        <w:rPr>
          <w:lang w:val="en-US"/>
        </w:rPr>
        <w:t>Ph</w:t>
      </w:r>
      <w:proofErr w:type="spellEnd"/>
      <w:r w:rsidRPr="002626DB">
        <w:rPr>
          <w:lang w:val="en-US"/>
        </w:rPr>
        <w:t xml:space="preserve"> </w:t>
      </w:r>
      <w:proofErr w:type="spellStart"/>
      <w:r w:rsidRPr="002626DB">
        <w:rPr>
          <w:lang w:val="en-US"/>
        </w:rPr>
        <w:t>Eur</w:t>
      </w:r>
      <w:proofErr w:type="spellEnd"/>
      <w:r w:rsidRPr="002626DB">
        <w:rPr>
          <w:lang w:val="en-US"/>
        </w:rPr>
        <w:t xml:space="preserve"> is used in many medicinal products as excipient, mainly as the </w:t>
      </w:r>
      <w:proofErr w:type="spellStart"/>
      <w:r w:rsidRPr="002626DB">
        <w:rPr>
          <w:lang w:val="en-US"/>
        </w:rPr>
        <w:t>colourant</w:t>
      </w:r>
      <w:proofErr w:type="spellEnd"/>
      <w:r w:rsidRPr="002626DB">
        <w:rPr>
          <w:lang w:val="en-US"/>
        </w:rPr>
        <w:t xml:space="preserve"> E171.  Its toxicological safety for dermal or oral applications makes titanium dioxide an ideal and safe excipient.  It can be found in liquid medicines where it provides uniformity of </w:t>
      </w:r>
      <w:proofErr w:type="spellStart"/>
      <w:r w:rsidRPr="002626DB">
        <w:rPr>
          <w:lang w:val="en-US"/>
        </w:rPr>
        <w:t>colour</w:t>
      </w:r>
      <w:proofErr w:type="spellEnd"/>
      <w:r w:rsidRPr="002626DB">
        <w:rPr>
          <w:lang w:val="en-US"/>
        </w:rPr>
        <w:t>.  The use of TiO</w:t>
      </w:r>
      <w:r w:rsidRPr="002626DB">
        <w:rPr>
          <w:vertAlign w:val="subscript"/>
          <w:lang w:val="en-US"/>
        </w:rPr>
        <w:t>2</w:t>
      </w:r>
      <w:r w:rsidRPr="002626DB">
        <w:rPr>
          <w:lang w:val="en-US"/>
        </w:rPr>
        <w:t xml:space="preserve"> along with other </w:t>
      </w:r>
      <w:proofErr w:type="spellStart"/>
      <w:r w:rsidRPr="002626DB">
        <w:rPr>
          <w:lang w:val="en-US"/>
        </w:rPr>
        <w:t>colourants</w:t>
      </w:r>
      <w:proofErr w:type="spellEnd"/>
      <w:r w:rsidRPr="002626DB">
        <w:rPr>
          <w:lang w:val="en-US"/>
        </w:rPr>
        <w:t xml:space="preserve"> enables pharmaceuticals manufacturers to produce products with a great variety of </w:t>
      </w:r>
      <w:proofErr w:type="spellStart"/>
      <w:r w:rsidRPr="002626DB">
        <w:rPr>
          <w:lang w:val="en-US"/>
        </w:rPr>
        <w:t>colours</w:t>
      </w:r>
      <w:proofErr w:type="spellEnd"/>
      <w:r w:rsidRPr="002626DB">
        <w:rPr>
          <w:lang w:val="en-US"/>
        </w:rPr>
        <w:t xml:space="preserve">.  Such </w:t>
      </w:r>
      <w:proofErr w:type="spellStart"/>
      <w:r w:rsidRPr="002626DB">
        <w:rPr>
          <w:lang w:val="en-US"/>
        </w:rPr>
        <w:t>colour</w:t>
      </w:r>
      <w:proofErr w:type="spellEnd"/>
      <w:r w:rsidRPr="002626DB">
        <w:rPr>
          <w:lang w:val="en-US"/>
        </w:rPr>
        <w:t xml:space="preserve"> variety is extremely important to avoid medication errors.  Without TiO</w:t>
      </w:r>
      <w:r w:rsidRPr="002626DB">
        <w:rPr>
          <w:vertAlign w:val="subscript"/>
          <w:lang w:val="en-US"/>
        </w:rPr>
        <w:t>2</w:t>
      </w:r>
      <w:r w:rsidRPr="002626DB">
        <w:rPr>
          <w:lang w:val="en-US"/>
        </w:rPr>
        <w:t xml:space="preserve">, the available </w:t>
      </w:r>
      <w:proofErr w:type="spellStart"/>
      <w:r w:rsidRPr="002626DB">
        <w:rPr>
          <w:lang w:val="en-US"/>
        </w:rPr>
        <w:t>colour</w:t>
      </w:r>
      <w:proofErr w:type="spellEnd"/>
      <w:r w:rsidRPr="002626DB">
        <w:rPr>
          <w:lang w:val="en-US"/>
        </w:rPr>
        <w:t xml:space="preserve"> palette would be much more limited.</w:t>
      </w:r>
    </w:p>
    <w:p w:rsidR="002626DB" w:rsidRPr="002626DB" w:rsidRDefault="002626DB" w:rsidP="002626DB">
      <w:pPr>
        <w:pStyle w:val="Bulletlist2"/>
        <w:rPr>
          <w:lang w:val="en-US"/>
        </w:rPr>
      </w:pPr>
      <w:r w:rsidRPr="002626DB">
        <w:rPr>
          <w:i/>
          <w:lang w:val="en-US"/>
        </w:rPr>
        <w:t>Film coating</w:t>
      </w:r>
      <w:r w:rsidRPr="002626DB">
        <w:rPr>
          <w:lang w:val="en-US"/>
        </w:rPr>
        <w:t>:  TiO</w:t>
      </w:r>
      <w:r w:rsidRPr="002626DB">
        <w:rPr>
          <w:vertAlign w:val="subscript"/>
          <w:lang w:val="en-US"/>
        </w:rPr>
        <w:t>2</w:t>
      </w:r>
      <w:r w:rsidRPr="002626DB">
        <w:rPr>
          <w:lang w:val="en-US"/>
        </w:rPr>
        <w:t xml:space="preserve"> is used in the film-coating of tablets and (</w:t>
      </w:r>
      <w:proofErr w:type="spellStart"/>
      <w:r w:rsidRPr="002626DB">
        <w:rPr>
          <w:lang w:val="en-US"/>
        </w:rPr>
        <w:t>gelatine</w:t>
      </w:r>
      <w:proofErr w:type="spellEnd"/>
      <w:r w:rsidRPr="002626DB">
        <w:rPr>
          <w:lang w:val="en-US"/>
        </w:rPr>
        <w:t>) capsules (both pharmaceuticals and nutraceuticals).  The pigment is added because this adheres to and covers the tablet core best.  Without the use of TiO</w:t>
      </w:r>
      <w:r w:rsidRPr="002626DB">
        <w:rPr>
          <w:vertAlign w:val="subscript"/>
          <w:lang w:val="en-US"/>
        </w:rPr>
        <w:t>2</w:t>
      </w:r>
      <w:r w:rsidRPr="002626DB">
        <w:rPr>
          <w:lang w:val="en-US"/>
        </w:rPr>
        <w:t xml:space="preserve"> the </w:t>
      </w:r>
      <w:proofErr w:type="spellStart"/>
      <w:r w:rsidRPr="002626DB">
        <w:rPr>
          <w:lang w:val="en-US"/>
        </w:rPr>
        <w:t>colour</w:t>
      </w:r>
      <w:proofErr w:type="spellEnd"/>
      <w:r w:rsidRPr="002626DB">
        <w:rPr>
          <w:lang w:val="en-US"/>
        </w:rPr>
        <w:t xml:space="preserve"> is not as smooth and the </w:t>
      </w:r>
      <w:proofErr w:type="spellStart"/>
      <w:r w:rsidRPr="002626DB">
        <w:rPr>
          <w:lang w:val="en-US"/>
        </w:rPr>
        <w:t>colour</w:t>
      </w:r>
      <w:proofErr w:type="spellEnd"/>
      <w:r w:rsidRPr="002626DB">
        <w:rPr>
          <w:lang w:val="en-US"/>
        </w:rPr>
        <w:t xml:space="preserve">, spots or different </w:t>
      </w:r>
      <w:proofErr w:type="spellStart"/>
      <w:r w:rsidRPr="002626DB">
        <w:rPr>
          <w:lang w:val="en-US"/>
        </w:rPr>
        <w:t>coloured</w:t>
      </w:r>
      <w:proofErr w:type="spellEnd"/>
      <w:r w:rsidRPr="002626DB">
        <w:rPr>
          <w:lang w:val="en-US"/>
        </w:rPr>
        <w:t xml:space="preserve"> powder particles would come through and the surface would not be smooth and homogeneous;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621"/>
        <w:gridCol w:w="4621"/>
      </w:tblGrid>
      <w:tr w:rsidR="002626DB" w:rsidTr="002626DB">
        <w:trPr>
          <w:trHeight w:val="2615"/>
        </w:trPr>
        <w:tc>
          <w:tcPr>
            <w:tcW w:w="4621" w:type="dxa"/>
            <w:tcBorders>
              <w:top w:val="single" w:sz="4" w:space="0" w:color="auto"/>
              <w:left w:val="single" w:sz="4" w:space="0" w:color="auto"/>
              <w:bottom w:val="single" w:sz="4" w:space="0" w:color="auto"/>
              <w:right w:val="nil"/>
            </w:tcBorders>
            <w:hideMark/>
          </w:tcPr>
          <w:p w:rsidR="002626DB" w:rsidRDefault="002626DB">
            <w:pPr>
              <w:spacing w:after="0" w:line="276" w:lineRule="auto"/>
              <w:rPr>
                <w:sz w:val="20"/>
              </w:rPr>
            </w:pPr>
            <w:r>
              <w:rPr>
                <w:noProof/>
                <w:sz w:val="20"/>
                <w:lang w:val="de-DE" w:eastAsia="de-DE"/>
              </w:rPr>
              <w:drawing>
                <wp:inline distT="0" distB="0" distL="0" distR="0">
                  <wp:extent cx="2857500" cy="2200275"/>
                  <wp:effectExtent l="0" t="0" r="0" b="9525"/>
                  <wp:docPr id="3" name="Grafik 3" descr="Med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dications"/>
                          <pic:cNvPicPr>
                            <a:picLocks noChangeAspect="1" noChangeArrowheads="1"/>
                          </pic:cNvPicPr>
                        </pic:nvPicPr>
                        <pic:blipFill>
                          <a:blip r:embed="rId8">
                            <a:extLst>
                              <a:ext uri="{28A0092B-C50C-407E-A947-70E740481C1C}">
                                <a14:useLocalDpi xmlns:a14="http://schemas.microsoft.com/office/drawing/2010/main" val="0"/>
                              </a:ext>
                            </a:extLst>
                          </a:blip>
                          <a:srcRect l="3979" r="20422"/>
                          <a:stretch>
                            <a:fillRect/>
                          </a:stretch>
                        </pic:blipFill>
                        <pic:spPr bwMode="auto">
                          <a:xfrm>
                            <a:off x="0" y="0"/>
                            <a:ext cx="2857500" cy="2200275"/>
                          </a:xfrm>
                          <a:prstGeom prst="rect">
                            <a:avLst/>
                          </a:prstGeom>
                          <a:noFill/>
                          <a:ln>
                            <a:noFill/>
                          </a:ln>
                        </pic:spPr>
                      </pic:pic>
                    </a:graphicData>
                  </a:graphic>
                </wp:inline>
              </w:drawing>
            </w:r>
          </w:p>
        </w:tc>
        <w:tc>
          <w:tcPr>
            <w:tcW w:w="4621" w:type="dxa"/>
            <w:tcBorders>
              <w:top w:val="single" w:sz="4" w:space="0" w:color="auto"/>
              <w:left w:val="nil"/>
              <w:bottom w:val="single" w:sz="4" w:space="0" w:color="auto"/>
              <w:right w:val="single" w:sz="4" w:space="0" w:color="auto"/>
            </w:tcBorders>
            <w:hideMark/>
          </w:tcPr>
          <w:p w:rsidR="002626DB" w:rsidRDefault="002626DB">
            <w:pPr>
              <w:spacing w:after="0" w:line="276" w:lineRule="auto"/>
              <w:rPr>
                <w:noProof/>
                <w:sz w:val="20"/>
                <w:lang w:eastAsia="en-GB"/>
              </w:rPr>
            </w:pPr>
            <w:r>
              <w:rPr>
                <w:noProof/>
                <w:sz w:val="20"/>
                <w:lang w:val="de-DE" w:eastAsia="de-DE"/>
              </w:rPr>
              <w:drawing>
                <wp:inline distT="0" distB="0" distL="0" distR="0">
                  <wp:extent cx="2714625" cy="2152650"/>
                  <wp:effectExtent l="0" t="0" r="9525" b="0"/>
                  <wp:docPr id="2" name="Grafik 2" descr="Dr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rugs"/>
                          <pic:cNvPicPr>
                            <a:picLocks noChangeAspect="1" noChangeArrowheads="1"/>
                          </pic:cNvPicPr>
                        </pic:nvPicPr>
                        <pic:blipFill>
                          <a:blip r:embed="rId9" cstate="print">
                            <a:extLst>
                              <a:ext uri="{28A0092B-C50C-407E-A947-70E740481C1C}">
                                <a14:useLocalDpi xmlns:a14="http://schemas.microsoft.com/office/drawing/2010/main" val="0"/>
                              </a:ext>
                            </a:extLst>
                          </a:blip>
                          <a:srcRect l="7391" r="9447"/>
                          <a:stretch>
                            <a:fillRect/>
                          </a:stretch>
                        </pic:blipFill>
                        <pic:spPr bwMode="auto">
                          <a:xfrm>
                            <a:off x="0" y="0"/>
                            <a:ext cx="2714625" cy="2152650"/>
                          </a:xfrm>
                          <a:prstGeom prst="rect">
                            <a:avLst/>
                          </a:prstGeom>
                          <a:noFill/>
                          <a:ln>
                            <a:noFill/>
                          </a:ln>
                        </pic:spPr>
                      </pic:pic>
                    </a:graphicData>
                  </a:graphic>
                </wp:inline>
              </w:drawing>
            </w:r>
          </w:p>
        </w:tc>
      </w:tr>
      <w:tr w:rsidR="002626DB" w:rsidTr="002626DB">
        <w:tc>
          <w:tcPr>
            <w:tcW w:w="9242" w:type="dxa"/>
            <w:gridSpan w:val="2"/>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pStyle w:val="Beschriftung"/>
              <w:spacing w:line="276" w:lineRule="auto"/>
              <w:jc w:val="both"/>
              <w:rPr>
                <w:color w:val="FFFFFF" w:themeColor="background1"/>
                <w:vertAlign w:val="subscript"/>
              </w:rPr>
            </w:pPr>
            <w:r>
              <w:rPr>
                <w:color w:val="FFFFFF" w:themeColor="background1"/>
              </w:rPr>
              <w:t xml:space="preserve">Figure </w:t>
            </w:r>
            <w:r>
              <w:rPr>
                <w:color w:val="FFFFFF" w:themeColor="background1"/>
              </w:rPr>
              <w:fldChar w:fldCharType="begin"/>
            </w:r>
            <w:r>
              <w:rPr>
                <w:color w:val="FFFFFF" w:themeColor="background1"/>
              </w:rPr>
              <w:instrText xml:space="preserve"> STYLEREF 1 \s </w:instrText>
            </w:r>
            <w:r>
              <w:rPr>
                <w:color w:val="FFFFFF" w:themeColor="background1"/>
              </w:rPr>
              <w:fldChar w:fldCharType="separate"/>
            </w:r>
            <w:r>
              <w:rPr>
                <w:noProof/>
                <w:color w:val="FFFFFF" w:themeColor="background1"/>
              </w:rPr>
              <w:t>3</w:t>
            </w:r>
            <w:r>
              <w:rPr>
                <w:color w:val="FFFFFF" w:themeColor="background1"/>
              </w:rPr>
              <w:fldChar w:fldCharType="end"/>
            </w:r>
            <w:r>
              <w:rPr>
                <w:color w:val="FFFFFF" w:themeColor="background1"/>
              </w:rPr>
              <w:t>–</w:t>
            </w:r>
            <w:r>
              <w:rPr>
                <w:color w:val="FFFFFF" w:themeColor="background1"/>
              </w:rPr>
              <w:fldChar w:fldCharType="begin"/>
            </w:r>
            <w:r>
              <w:rPr>
                <w:color w:val="FFFFFF" w:themeColor="background1"/>
              </w:rPr>
              <w:instrText xml:space="preserve"> SEQ Figure \* ARABIC \s 1 </w:instrText>
            </w:r>
            <w:r>
              <w:rPr>
                <w:color w:val="FFFFFF" w:themeColor="background1"/>
              </w:rPr>
              <w:fldChar w:fldCharType="separate"/>
            </w:r>
            <w:r>
              <w:rPr>
                <w:noProof/>
                <w:color w:val="FFFFFF" w:themeColor="background1"/>
              </w:rPr>
              <w:t>13</w:t>
            </w:r>
            <w:r>
              <w:rPr>
                <w:color w:val="FFFFFF" w:themeColor="background1"/>
              </w:rPr>
              <w:fldChar w:fldCharType="end"/>
            </w:r>
            <w:r>
              <w:rPr>
                <w:color w:val="FFFFFF" w:themeColor="background1"/>
              </w:rPr>
              <w:t>:  Nutraceutical tablets and pharmaceutical capsules that contain TiO</w:t>
            </w:r>
            <w:r>
              <w:rPr>
                <w:color w:val="FFFFFF" w:themeColor="background1"/>
                <w:vertAlign w:val="subscript"/>
              </w:rPr>
              <w:t>2</w:t>
            </w:r>
          </w:p>
          <w:p w:rsidR="002626DB" w:rsidRDefault="002626DB">
            <w:pPr>
              <w:spacing w:after="0" w:line="276" w:lineRule="auto"/>
            </w:pPr>
            <w:r>
              <w:rPr>
                <w:i/>
                <w:color w:val="FFFFFF" w:themeColor="background1"/>
                <w:sz w:val="20"/>
              </w:rPr>
              <w:t>Source:  royalty-free photos</w:t>
            </w:r>
          </w:p>
        </w:tc>
      </w:tr>
    </w:tbl>
    <w:p w:rsidR="002626DB" w:rsidRDefault="002626DB" w:rsidP="002626DB">
      <w:pPr>
        <w:pStyle w:val="Bulletlist2"/>
        <w:numPr>
          <w:ilvl w:val="0"/>
          <w:numId w:val="0"/>
        </w:numPr>
        <w:rPr>
          <w:lang w:val="en-GB"/>
        </w:rPr>
      </w:pPr>
    </w:p>
    <w:p w:rsidR="002626DB" w:rsidRPr="002626DB" w:rsidRDefault="002626DB" w:rsidP="002626DB">
      <w:pPr>
        <w:pStyle w:val="Bulletlist"/>
        <w:numPr>
          <w:ilvl w:val="0"/>
          <w:numId w:val="3"/>
        </w:numPr>
        <w:rPr>
          <w:lang w:val="en-US"/>
        </w:rPr>
      </w:pPr>
      <w:r w:rsidRPr="002626DB">
        <w:rPr>
          <w:b/>
          <w:lang w:val="en-US"/>
        </w:rPr>
        <w:t>Packaging</w:t>
      </w:r>
      <w:r w:rsidRPr="002626DB">
        <w:rPr>
          <w:lang w:val="en-US"/>
        </w:rPr>
        <w:t>:  TiO</w:t>
      </w:r>
      <w:r w:rsidRPr="002626DB">
        <w:rPr>
          <w:vertAlign w:val="subscript"/>
          <w:lang w:val="en-US"/>
        </w:rPr>
        <w:t>2</w:t>
      </w:r>
      <w:r w:rsidRPr="002626DB">
        <w:rPr>
          <w:lang w:val="en-US"/>
        </w:rPr>
        <w:t xml:space="preserve"> is used in the manufacture of glass containers, opaque child-resistant pharma blister packages and medical container closures as it offers a guarantee of chemical inertness for pharmaceutical applications.  TiO</w:t>
      </w:r>
      <w:r w:rsidRPr="002626DB">
        <w:rPr>
          <w:vertAlign w:val="subscript"/>
          <w:lang w:val="en-US"/>
        </w:rPr>
        <w:t>2</w:t>
      </w:r>
      <w:r w:rsidRPr="002626DB">
        <w:rPr>
          <w:lang w:val="en-US"/>
        </w:rPr>
        <w:t xml:space="preserve"> achieves the </w:t>
      </w:r>
      <w:proofErr w:type="spellStart"/>
      <w:r w:rsidRPr="002626DB">
        <w:rPr>
          <w:lang w:val="en-US"/>
        </w:rPr>
        <w:t>colour</w:t>
      </w:r>
      <w:proofErr w:type="spellEnd"/>
      <w:r w:rsidRPr="002626DB">
        <w:rPr>
          <w:lang w:val="en-US"/>
        </w:rPr>
        <w:t xml:space="preserve"> and spectral characteristics required by the current regulations and physicochemical characteristics required by current standards for pharmaceutical vessels.  It also offers protection from UV radiation in certain bandwidth, which is </w:t>
      </w:r>
      <w:r w:rsidRPr="002626DB">
        <w:rPr>
          <w:lang w:val="en-US"/>
        </w:rPr>
        <w:lastRenderedPageBreak/>
        <w:t xml:space="preserve">important when protecting medication in its containers from the damaging effects of light, helping extend product shelf life </w:t>
      </w:r>
      <w:sdt>
        <w:sdtPr>
          <w:id w:val="-13316890"/>
          <w:citation/>
        </w:sdtPr>
        <w:sdtContent>
          <w:r>
            <w:fldChar w:fldCharType="begin"/>
          </w:r>
          <w:r w:rsidRPr="002626DB">
            <w:rPr>
              <w:lang w:val="en-US"/>
            </w:rPr>
            <w:instrText xml:space="preserve">CITATION Kro16 \m Hun6l \l 2057 </w:instrText>
          </w:r>
          <w:r>
            <w:fldChar w:fldCharType="separate"/>
          </w:r>
          <w:r w:rsidRPr="002626DB">
            <w:rPr>
              <w:noProof/>
              <w:lang w:val="en-US"/>
            </w:rPr>
            <w:t>(Kronos Worldwide, 2016; Huntsman, 2016k)</w:t>
          </w:r>
          <w:r>
            <w:fldChar w:fldCharType="end"/>
          </w:r>
        </w:sdtContent>
      </w:sdt>
      <w:r w:rsidRPr="002626DB">
        <w:rPr>
          <w:lang w:val="en-US"/>
        </w:rPr>
        <w:t xml:space="preserve">.  According to </w:t>
      </w:r>
      <w:proofErr w:type="spellStart"/>
      <w:r w:rsidRPr="002626DB">
        <w:rPr>
          <w:lang w:val="en-US"/>
        </w:rPr>
        <w:t>MedPharmPlast</w:t>
      </w:r>
      <w:proofErr w:type="spellEnd"/>
      <w:r w:rsidRPr="002626DB">
        <w:rPr>
          <w:lang w:val="en-US"/>
        </w:rPr>
        <w:t xml:space="preserve"> </w:t>
      </w:r>
      <w:sdt>
        <w:sdtPr>
          <w:id w:val="-30108859"/>
          <w:citation/>
        </w:sdtPr>
        <w:sdtContent>
          <w:r>
            <w:fldChar w:fldCharType="begin"/>
          </w:r>
          <w:r w:rsidRPr="002626DB">
            <w:rPr>
              <w:lang w:val="en-US"/>
            </w:rPr>
            <w:instrText xml:space="preserve">CITATION Med16 \n  \t  \l 2057 </w:instrText>
          </w:r>
          <w:r>
            <w:fldChar w:fldCharType="separate"/>
          </w:r>
          <w:r w:rsidRPr="002626DB">
            <w:rPr>
              <w:noProof/>
              <w:lang w:val="en-US"/>
            </w:rPr>
            <w:t>(2016)</w:t>
          </w:r>
          <w:r>
            <w:fldChar w:fldCharType="end"/>
          </w:r>
        </w:sdtContent>
      </w:sdt>
      <w:r w:rsidRPr="002626DB">
        <w:rPr>
          <w:lang w:val="en-US"/>
        </w:rPr>
        <w:t xml:space="preserve">, there are currently at least 275 light-sensitive oral prescription drugs </w:t>
      </w:r>
      <w:sdt>
        <w:sdtPr>
          <w:id w:val="255178514"/>
          <w:citation/>
        </w:sdtPr>
        <w:sdtContent>
          <w:r>
            <w:fldChar w:fldCharType="begin"/>
          </w:r>
          <w:r w:rsidRPr="002626DB">
            <w:rPr>
              <w:lang w:val="en-US"/>
            </w:rPr>
            <w:instrText xml:space="preserve"> CITATION Kin09 \l 2057 </w:instrText>
          </w:r>
          <w:r>
            <w:fldChar w:fldCharType="separate"/>
          </w:r>
          <w:r w:rsidRPr="002626DB">
            <w:rPr>
              <w:noProof/>
              <w:lang w:val="en-US"/>
            </w:rPr>
            <w:t>(King, 2009)</w:t>
          </w:r>
          <w:r>
            <w:fldChar w:fldCharType="end"/>
          </w:r>
        </w:sdtContent>
      </w:sdt>
      <w:r w:rsidRPr="002626DB">
        <w:rPr>
          <w:lang w:val="en-US"/>
        </w:rPr>
        <w:t xml:space="preserve"> and over 300 light-sensitive injectable medicinal products </w:t>
      </w:r>
      <w:sdt>
        <w:sdtPr>
          <w:id w:val="-1919155845"/>
          <w:citation/>
        </w:sdtPr>
        <w:sdtContent>
          <w:r>
            <w:fldChar w:fldCharType="begin"/>
          </w:r>
          <w:r w:rsidRPr="002626DB">
            <w:rPr>
              <w:lang w:val="en-US"/>
            </w:rPr>
            <w:instrText xml:space="preserve"> CITATION Uni14 \l 2057 </w:instrText>
          </w:r>
          <w:r>
            <w:fldChar w:fldCharType="separate"/>
          </w:r>
          <w:r w:rsidRPr="002626DB">
            <w:rPr>
              <w:noProof/>
              <w:lang w:val="en-US"/>
            </w:rPr>
            <w:t>(University of Illinois at Chicago College of Pharmacy, 2014)</w:t>
          </w:r>
          <w:r>
            <w:fldChar w:fldCharType="end"/>
          </w:r>
        </w:sdtContent>
      </w:sdt>
      <w:r w:rsidRPr="002626DB">
        <w:rPr>
          <w:lang w:val="en-US"/>
        </w:rPr>
        <w:t xml:space="preserve">.  These drugs thus require pharmaceutical packaging that is able to prevent the passage of light, particularly in the spectrum 290 to 450nm to prevent degradation of the pharmaceuticals.  This requirement is defined in US Pharmacopeia &lt;671&gt; and is critical for obtaining marketing </w:t>
      </w:r>
      <w:proofErr w:type="spellStart"/>
      <w:r w:rsidRPr="002626DB">
        <w:rPr>
          <w:lang w:val="en-US"/>
        </w:rPr>
        <w:t>authorisation</w:t>
      </w:r>
      <w:proofErr w:type="spellEnd"/>
      <w:r w:rsidRPr="002626DB">
        <w:rPr>
          <w:lang w:val="en-US"/>
        </w:rPr>
        <w:t xml:space="preserve"> for light-sensitive pharmaceuticals.  To reduce transmission, </w:t>
      </w:r>
      <w:proofErr w:type="spellStart"/>
      <w:r w:rsidRPr="002626DB">
        <w:rPr>
          <w:lang w:val="en-US"/>
        </w:rPr>
        <w:t>colours</w:t>
      </w:r>
      <w:proofErr w:type="spellEnd"/>
      <w:r w:rsidRPr="002626DB">
        <w:rPr>
          <w:lang w:val="en-US"/>
        </w:rPr>
        <w:t xml:space="preserve"> that filter (e.g. amber) need to be added.  In the case of transparent packaging or in other cases an </w:t>
      </w:r>
      <w:proofErr w:type="spellStart"/>
      <w:r w:rsidRPr="002626DB">
        <w:rPr>
          <w:lang w:val="en-US"/>
        </w:rPr>
        <w:t>opacifying</w:t>
      </w:r>
      <w:proofErr w:type="spellEnd"/>
      <w:r w:rsidRPr="002626DB">
        <w:rPr>
          <w:lang w:val="en-US"/>
        </w:rPr>
        <w:t xml:space="preserve"> agent needs to be added to the polymer.</w:t>
      </w:r>
    </w:p>
    <w:p w:rsidR="002626DB" w:rsidRDefault="002626DB" w:rsidP="002626DB">
      <w:pPr>
        <w:pStyle w:val="berschrift4"/>
      </w:pPr>
      <w:r>
        <w:t>Typical concentrations of titanium dioxide</w:t>
      </w:r>
    </w:p>
    <w:p w:rsidR="002626DB" w:rsidRDefault="002626DB" w:rsidP="002626DB">
      <w:r>
        <w:t>Typically, TiO</w:t>
      </w:r>
      <w:r>
        <w:rPr>
          <w:vertAlign w:val="subscript"/>
        </w:rPr>
        <w:t>2</w:t>
      </w:r>
      <w:r>
        <w:t xml:space="preserve"> is present at concentrations of up to 3%.  </w:t>
      </w:r>
    </w:p>
    <w:p w:rsidR="002626DB" w:rsidRDefault="002626DB" w:rsidP="002626DB">
      <w:pPr>
        <w:pStyle w:val="berschrift4"/>
      </w:pPr>
      <w:r>
        <w:t>Technical characteristics and advantages</w:t>
      </w:r>
    </w:p>
    <w:p w:rsidR="002626DB" w:rsidRDefault="002626DB" w:rsidP="002626DB">
      <w:r>
        <w:fldChar w:fldCharType="begin"/>
      </w:r>
      <w:r>
        <w:instrText xml:space="preserve"> REF _Ref469404957 \h  \* MERGEFORMAT </w:instrText>
      </w:r>
      <w:r>
        <w:fldChar w:fldCharType="separate"/>
      </w:r>
      <w:r>
        <w:rPr>
          <w:b/>
        </w:rPr>
        <w:t xml:space="preserve">Table </w:t>
      </w:r>
      <w:r>
        <w:rPr>
          <w:b/>
          <w:noProof/>
        </w:rPr>
        <w:t>3</w:t>
      </w:r>
      <w:r>
        <w:rPr>
          <w:b/>
        </w:rPr>
        <w:t>–</w:t>
      </w:r>
      <w:r>
        <w:rPr>
          <w:b/>
          <w:noProof/>
        </w:rPr>
        <w:t>15</w:t>
      </w:r>
      <w:r>
        <w:fldChar w:fldCharType="end"/>
      </w:r>
      <w:r>
        <w:t xml:space="preserve"> summarises the technical advantages of TiO</w:t>
      </w:r>
      <w:r>
        <w:rPr>
          <w:vertAlign w:val="subscript"/>
        </w:rPr>
        <w:t>2</w:t>
      </w:r>
      <w:r>
        <w:t xml:space="preserve"> in pharmaceutical applications.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99"/>
        <w:gridCol w:w="1406"/>
        <w:gridCol w:w="5411"/>
      </w:tblGrid>
      <w:tr w:rsidR="002626DB" w:rsidRPr="002626DB" w:rsidTr="002626DB">
        <w:trPr>
          <w:cantSplit/>
          <w:tblHeader/>
        </w:trPr>
        <w:tc>
          <w:tcPr>
            <w:tcW w:w="9242" w:type="dxa"/>
            <w:gridSpan w:val="3"/>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spacing w:after="0" w:line="276" w:lineRule="auto"/>
              <w:rPr>
                <w:b/>
                <w:color w:val="FFFFFF" w:themeColor="background1"/>
                <w:sz w:val="20"/>
              </w:rPr>
            </w:pPr>
            <w:bookmarkStart w:id="7" w:name="_Ref469404957"/>
            <w:r>
              <w:rPr>
                <w:b/>
                <w:color w:val="FFFFFF" w:themeColor="background1"/>
                <w:sz w:val="20"/>
              </w:rPr>
              <w:t xml:space="preserve">Table </w:t>
            </w:r>
            <w:r>
              <w:fldChar w:fldCharType="begin"/>
            </w:r>
            <w:r>
              <w:rPr>
                <w:b/>
                <w:color w:val="FFFFFF" w:themeColor="background1"/>
                <w:sz w:val="20"/>
              </w:rPr>
              <w:instrText xml:space="preserve"> STYLEREF 1 \s </w:instrText>
            </w:r>
            <w:r>
              <w:fldChar w:fldCharType="separate"/>
            </w:r>
            <w:r>
              <w:rPr>
                <w:b/>
                <w:noProof/>
                <w:color w:val="FFFFFF" w:themeColor="background1"/>
                <w:sz w:val="20"/>
              </w:rPr>
              <w:t>3</w:t>
            </w:r>
            <w:r>
              <w:fldChar w:fldCharType="end"/>
            </w:r>
            <w:r>
              <w:rPr>
                <w:b/>
                <w:color w:val="FFFFFF" w:themeColor="background1"/>
                <w:sz w:val="20"/>
              </w:rPr>
              <w:t>–</w:t>
            </w:r>
            <w:r>
              <w:fldChar w:fldCharType="begin"/>
            </w:r>
            <w:r>
              <w:rPr>
                <w:b/>
                <w:color w:val="FFFFFF" w:themeColor="background1"/>
                <w:sz w:val="20"/>
              </w:rPr>
              <w:instrText xml:space="preserve"> SEQ Table \* ARABIC \s 1 </w:instrText>
            </w:r>
            <w:r>
              <w:fldChar w:fldCharType="separate"/>
            </w:r>
            <w:r>
              <w:rPr>
                <w:b/>
                <w:noProof/>
                <w:color w:val="FFFFFF" w:themeColor="background1"/>
                <w:sz w:val="20"/>
              </w:rPr>
              <w:t>15</w:t>
            </w:r>
            <w:r>
              <w:fldChar w:fldCharType="end"/>
            </w:r>
            <w:bookmarkEnd w:id="7"/>
            <w:r>
              <w:rPr>
                <w:b/>
                <w:color w:val="FFFFFF" w:themeColor="background1"/>
                <w:sz w:val="20"/>
              </w:rPr>
              <w:t>:  Advantages of TiO</w:t>
            </w:r>
            <w:r>
              <w:rPr>
                <w:b/>
                <w:color w:val="FFFFFF" w:themeColor="background1"/>
                <w:sz w:val="20"/>
                <w:vertAlign w:val="subscript"/>
              </w:rPr>
              <w:t>2</w:t>
            </w:r>
            <w:r>
              <w:rPr>
                <w:b/>
                <w:color w:val="FFFFFF" w:themeColor="background1"/>
                <w:sz w:val="20"/>
              </w:rPr>
              <w:t xml:space="preserve"> use in pharmaceuticals</w:t>
            </w:r>
          </w:p>
        </w:tc>
      </w:tr>
      <w:tr w:rsidR="002626DB" w:rsidTr="002626DB">
        <w:trPr>
          <w:cantSplit/>
          <w:tblHeader/>
        </w:trPr>
        <w:tc>
          <w:tcPr>
            <w:tcW w:w="2235" w:type="dxa"/>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spacing w:after="0" w:line="276" w:lineRule="auto"/>
              <w:jc w:val="left"/>
              <w:rPr>
                <w:b/>
                <w:color w:val="FFFFFF" w:themeColor="background1"/>
                <w:sz w:val="20"/>
                <w:szCs w:val="20"/>
              </w:rPr>
            </w:pPr>
            <w:r>
              <w:rPr>
                <w:b/>
                <w:color w:val="FFFFFF" w:themeColor="background1"/>
                <w:sz w:val="20"/>
                <w:szCs w:val="20"/>
              </w:rPr>
              <w:t>Properties</w:t>
            </w:r>
          </w:p>
        </w:tc>
        <w:tc>
          <w:tcPr>
            <w:tcW w:w="1417" w:type="dxa"/>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spacing w:after="0" w:line="276" w:lineRule="auto"/>
              <w:jc w:val="center"/>
              <w:rPr>
                <w:b/>
                <w:color w:val="FFFFFF" w:themeColor="background1"/>
                <w:sz w:val="20"/>
                <w:szCs w:val="20"/>
              </w:rPr>
            </w:pPr>
            <w:r>
              <w:rPr>
                <w:b/>
                <w:color w:val="FFFFFF" w:themeColor="background1"/>
                <w:sz w:val="20"/>
                <w:szCs w:val="20"/>
              </w:rPr>
              <w:t>Relevant key advantages</w:t>
            </w:r>
          </w:p>
        </w:tc>
        <w:tc>
          <w:tcPr>
            <w:tcW w:w="5590" w:type="dxa"/>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spacing w:after="0" w:line="276" w:lineRule="auto"/>
              <w:jc w:val="left"/>
              <w:rPr>
                <w:b/>
                <w:color w:val="FFFFFF" w:themeColor="background1"/>
                <w:sz w:val="20"/>
                <w:szCs w:val="20"/>
              </w:rPr>
            </w:pPr>
            <w:r>
              <w:rPr>
                <w:b/>
                <w:color w:val="FFFFFF" w:themeColor="background1"/>
                <w:sz w:val="20"/>
                <w:szCs w:val="20"/>
              </w:rPr>
              <w:t>Notes, comments and sources</w:t>
            </w:r>
          </w:p>
        </w:tc>
      </w:tr>
      <w:tr w:rsidR="002626DB" w:rsidTr="002626DB">
        <w:trPr>
          <w:cantSplit/>
        </w:trPr>
        <w:tc>
          <w:tcPr>
            <w:tcW w:w="2235"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left"/>
              <w:rPr>
                <w:sz w:val="20"/>
                <w:szCs w:val="20"/>
              </w:rPr>
            </w:pPr>
            <w:r>
              <w:rPr>
                <w:sz w:val="20"/>
                <w:szCs w:val="20"/>
              </w:rPr>
              <w:t>Good hiding power/opacity</w:t>
            </w:r>
          </w:p>
        </w:tc>
        <w:tc>
          <w:tcPr>
            <w:tcW w:w="1417"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rPr>
            </w:pPr>
            <w:r>
              <w:rPr>
                <w:sz w:val="20"/>
                <w:szCs w:val="20"/>
              </w:rPr>
              <w:sym w:font="Wingdings" w:char="F0FC"/>
            </w:r>
          </w:p>
        </w:tc>
        <w:tc>
          <w:tcPr>
            <w:tcW w:w="5590" w:type="dxa"/>
            <w:tcBorders>
              <w:top w:val="single" w:sz="4" w:space="0" w:color="auto"/>
              <w:left w:val="single" w:sz="4" w:space="0" w:color="auto"/>
              <w:bottom w:val="single" w:sz="4" w:space="0" w:color="auto"/>
              <w:right w:val="single" w:sz="4" w:space="0" w:color="auto"/>
            </w:tcBorders>
          </w:tcPr>
          <w:p w:rsidR="002626DB" w:rsidRDefault="002626DB">
            <w:pPr>
              <w:spacing w:after="0" w:line="276" w:lineRule="auto"/>
              <w:jc w:val="left"/>
              <w:rPr>
                <w:sz w:val="20"/>
                <w:szCs w:val="20"/>
              </w:rPr>
            </w:pPr>
          </w:p>
        </w:tc>
      </w:tr>
      <w:tr w:rsidR="002626DB" w:rsidTr="002626DB">
        <w:trPr>
          <w:cantSplit/>
        </w:trPr>
        <w:tc>
          <w:tcPr>
            <w:tcW w:w="2235"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left"/>
              <w:rPr>
                <w:sz w:val="20"/>
                <w:szCs w:val="20"/>
              </w:rPr>
            </w:pPr>
            <w:r>
              <w:rPr>
                <w:sz w:val="20"/>
                <w:szCs w:val="20"/>
              </w:rPr>
              <w:t>Base for colour development</w:t>
            </w:r>
          </w:p>
        </w:tc>
        <w:tc>
          <w:tcPr>
            <w:tcW w:w="1417"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rPr>
            </w:pPr>
            <w:r>
              <w:rPr>
                <w:sz w:val="20"/>
                <w:szCs w:val="20"/>
              </w:rPr>
              <w:sym w:font="Wingdings" w:char="F0FC"/>
            </w:r>
          </w:p>
        </w:tc>
        <w:tc>
          <w:tcPr>
            <w:tcW w:w="5590" w:type="dxa"/>
            <w:tcBorders>
              <w:top w:val="single" w:sz="4" w:space="0" w:color="auto"/>
              <w:left w:val="single" w:sz="4" w:space="0" w:color="auto"/>
              <w:bottom w:val="single" w:sz="4" w:space="0" w:color="auto"/>
              <w:right w:val="single" w:sz="4" w:space="0" w:color="auto"/>
            </w:tcBorders>
          </w:tcPr>
          <w:p w:rsidR="002626DB" w:rsidRDefault="002626DB">
            <w:pPr>
              <w:spacing w:after="0" w:line="276" w:lineRule="auto"/>
              <w:jc w:val="left"/>
              <w:rPr>
                <w:sz w:val="20"/>
                <w:szCs w:val="20"/>
              </w:rPr>
            </w:pPr>
          </w:p>
        </w:tc>
      </w:tr>
      <w:tr w:rsidR="002626DB" w:rsidRPr="002626DB" w:rsidTr="002626DB">
        <w:trPr>
          <w:cantSplit/>
        </w:trPr>
        <w:tc>
          <w:tcPr>
            <w:tcW w:w="2235"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left"/>
              <w:rPr>
                <w:sz w:val="20"/>
                <w:szCs w:val="20"/>
              </w:rPr>
            </w:pPr>
            <w:r>
              <w:rPr>
                <w:sz w:val="20"/>
                <w:szCs w:val="20"/>
              </w:rPr>
              <w:t>UV absorbance</w:t>
            </w:r>
          </w:p>
        </w:tc>
        <w:tc>
          <w:tcPr>
            <w:tcW w:w="1417"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rPr>
            </w:pPr>
            <w:r>
              <w:rPr>
                <w:sz w:val="20"/>
                <w:szCs w:val="20"/>
              </w:rPr>
              <w:sym w:font="Wingdings" w:char="F0FC"/>
            </w:r>
          </w:p>
        </w:tc>
        <w:tc>
          <w:tcPr>
            <w:tcW w:w="5590"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left"/>
              <w:rPr>
                <w:sz w:val="20"/>
                <w:szCs w:val="20"/>
              </w:rPr>
            </w:pPr>
            <w:r>
              <w:rPr>
                <w:sz w:val="20"/>
                <w:szCs w:val="20"/>
              </w:rPr>
              <w:t>Offers protection to the active pharmaceutical ingredients (APIs) of medicinal products</w:t>
            </w:r>
          </w:p>
        </w:tc>
      </w:tr>
      <w:tr w:rsidR="002626DB" w:rsidRPr="002626DB" w:rsidTr="002626DB">
        <w:trPr>
          <w:cantSplit/>
        </w:trPr>
        <w:tc>
          <w:tcPr>
            <w:tcW w:w="2235"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left"/>
              <w:rPr>
                <w:sz w:val="20"/>
                <w:szCs w:val="20"/>
              </w:rPr>
            </w:pPr>
            <w:r>
              <w:rPr>
                <w:sz w:val="20"/>
                <w:szCs w:val="20"/>
              </w:rPr>
              <w:t>Approved for use in specific areas</w:t>
            </w:r>
          </w:p>
        </w:tc>
        <w:tc>
          <w:tcPr>
            <w:tcW w:w="1417"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rPr>
            </w:pPr>
            <w:r>
              <w:rPr>
                <w:sz w:val="20"/>
                <w:szCs w:val="20"/>
              </w:rPr>
              <w:sym w:font="Wingdings" w:char="F0FC"/>
            </w:r>
          </w:p>
        </w:tc>
        <w:tc>
          <w:tcPr>
            <w:tcW w:w="5590"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left"/>
              <w:rPr>
                <w:sz w:val="20"/>
                <w:szCs w:val="20"/>
              </w:rPr>
            </w:pPr>
            <w:r>
              <w:t>Established to be safe (being recognised as the E171 food additive)</w:t>
            </w:r>
          </w:p>
        </w:tc>
      </w:tr>
      <w:tr w:rsidR="002626DB" w:rsidTr="002626DB">
        <w:trPr>
          <w:cantSplit/>
        </w:trPr>
        <w:tc>
          <w:tcPr>
            <w:tcW w:w="2235"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left"/>
              <w:rPr>
                <w:sz w:val="20"/>
                <w:szCs w:val="20"/>
              </w:rPr>
            </w:pPr>
            <w:r>
              <w:rPr>
                <w:sz w:val="20"/>
                <w:szCs w:val="20"/>
              </w:rPr>
              <w:t>High efficiency</w:t>
            </w:r>
          </w:p>
        </w:tc>
        <w:tc>
          <w:tcPr>
            <w:tcW w:w="1417"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rPr>
            </w:pPr>
            <w:r>
              <w:rPr>
                <w:sz w:val="20"/>
                <w:szCs w:val="20"/>
              </w:rPr>
              <w:sym w:font="Wingdings" w:char="F0FC"/>
            </w:r>
          </w:p>
        </w:tc>
        <w:tc>
          <w:tcPr>
            <w:tcW w:w="5590" w:type="dxa"/>
            <w:tcBorders>
              <w:top w:val="single" w:sz="4" w:space="0" w:color="auto"/>
              <w:left w:val="single" w:sz="4" w:space="0" w:color="auto"/>
              <w:bottom w:val="single" w:sz="4" w:space="0" w:color="auto"/>
              <w:right w:val="single" w:sz="4" w:space="0" w:color="auto"/>
            </w:tcBorders>
          </w:tcPr>
          <w:p w:rsidR="002626DB" w:rsidRDefault="002626DB">
            <w:pPr>
              <w:spacing w:after="0" w:line="276" w:lineRule="auto"/>
              <w:jc w:val="left"/>
              <w:rPr>
                <w:sz w:val="20"/>
                <w:szCs w:val="20"/>
              </w:rPr>
            </w:pPr>
          </w:p>
        </w:tc>
      </w:tr>
      <w:tr w:rsidR="002626DB" w:rsidTr="002626DB">
        <w:trPr>
          <w:cantSplit/>
        </w:trPr>
        <w:tc>
          <w:tcPr>
            <w:tcW w:w="2235"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left"/>
              <w:rPr>
                <w:sz w:val="20"/>
                <w:szCs w:val="20"/>
              </w:rPr>
            </w:pPr>
            <w:r>
              <w:rPr>
                <w:sz w:val="20"/>
                <w:szCs w:val="20"/>
              </w:rPr>
              <w:t>Purity</w:t>
            </w:r>
          </w:p>
        </w:tc>
        <w:tc>
          <w:tcPr>
            <w:tcW w:w="1417"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szCs w:val="20"/>
              </w:rPr>
            </w:pPr>
            <w:r>
              <w:rPr>
                <w:sz w:val="20"/>
                <w:szCs w:val="20"/>
              </w:rPr>
              <w:sym w:font="Wingdings" w:char="F0FC"/>
            </w:r>
          </w:p>
        </w:tc>
        <w:tc>
          <w:tcPr>
            <w:tcW w:w="5590" w:type="dxa"/>
            <w:tcBorders>
              <w:top w:val="single" w:sz="4" w:space="0" w:color="auto"/>
              <w:left w:val="single" w:sz="4" w:space="0" w:color="auto"/>
              <w:bottom w:val="single" w:sz="4" w:space="0" w:color="auto"/>
              <w:right w:val="single" w:sz="4" w:space="0" w:color="auto"/>
            </w:tcBorders>
          </w:tcPr>
          <w:p w:rsidR="002626DB" w:rsidRDefault="002626DB">
            <w:pPr>
              <w:spacing w:after="0" w:line="276" w:lineRule="auto"/>
              <w:jc w:val="left"/>
              <w:rPr>
                <w:sz w:val="20"/>
              </w:rPr>
            </w:pPr>
          </w:p>
        </w:tc>
      </w:tr>
    </w:tbl>
    <w:p w:rsidR="0088066F" w:rsidRDefault="0088066F">
      <w:pPr>
        <w:rPr>
          <w:lang w:val="en-US"/>
        </w:rPr>
      </w:pPr>
    </w:p>
    <w:p w:rsidR="002626DB" w:rsidRDefault="002626DB" w:rsidP="002626DB">
      <w:pPr>
        <w:pStyle w:val="berschrift3"/>
        <w:rPr>
          <w:b/>
          <w:bCs/>
        </w:rPr>
      </w:pPr>
      <w:bookmarkStart w:id="8" w:name="_Toc470188632"/>
      <w:r>
        <w:rPr>
          <w:b/>
          <w:bCs/>
        </w:rPr>
        <w:t>Medical devices</w:t>
      </w:r>
      <w:bookmarkEnd w:id="8"/>
    </w:p>
    <w:p w:rsidR="002626DB" w:rsidRDefault="002626DB" w:rsidP="002626DB">
      <w:pPr>
        <w:pStyle w:val="berschrift4"/>
        <w:rPr>
          <w:lang w:eastAsia="en-GB"/>
        </w:rPr>
      </w:pPr>
      <w:r>
        <w:rPr>
          <w:lang w:eastAsia="en-GB"/>
        </w:rPr>
        <w:t>Range of applications</w:t>
      </w:r>
    </w:p>
    <w:p w:rsidR="002626DB" w:rsidRDefault="002626DB" w:rsidP="002626DB">
      <w:pPr>
        <w:rPr>
          <w:lang w:eastAsia="en-GB"/>
        </w:rPr>
      </w:pPr>
      <w:r>
        <w:rPr>
          <w:lang w:eastAsia="en-GB"/>
        </w:rPr>
        <w:t>Various medical devices contain TiO</w:t>
      </w:r>
      <w:r>
        <w:rPr>
          <w:vertAlign w:val="subscript"/>
          <w:lang w:eastAsia="en-GB"/>
        </w:rPr>
        <w:t>2</w:t>
      </w:r>
      <w:r>
        <w:rPr>
          <w:lang w:eastAsia="en-GB"/>
        </w:rPr>
        <w:t xml:space="preserve"> as a pigment in bound form, e.g. as dental impression or dental filling or dental temporary or dental lab materials and luting cements. Products include:</w:t>
      </w:r>
    </w:p>
    <w:p w:rsidR="002626DB" w:rsidRPr="002626DB" w:rsidRDefault="002626DB" w:rsidP="002626DB">
      <w:pPr>
        <w:pStyle w:val="Bulletlist"/>
        <w:numPr>
          <w:ilvl w:val="0"/>
          <w:numId w:val="3"/>
        </w:numPr>
        <w:rPr>
          <w:lang w:val="en-US" w:eastAsia="en-GB"/>
        </w:rPr>
      </w:pPr>
      <w:r w:rsidRPr="002626DB">
        <w:rPr>
          <w:lang w:val="en-US" w:eastAsia="en-GB"/>
        </w:rPr>
        <w:t>Dental impression materials: these are used by dentists to perform impressions on teeth;</w:t>
      </w:r>
    </w:p>
    <w:p w:rsidR="002626DB" w:rsidRPr="002626DB" w:rsidRDefault="002626DB" w:rsidP="002626DB">
      <w:pPr>
        <w:pStyle w:val="Bulletlist"/>
        <w:numPr>
          <w:ilvl w:val="0"/>
          <w:numId w:val="3"/>
        </w:numPr>
        <w:rPr>
          <w:lang w:val="en-US" w:eastAsia="en-GB"/>
        </w:rPr>
      </w:pPr>
      <w:r w:rsidRPr="002626DB">
        <w:rPr>
          <w:lang w:val="en-US" w:eastAsia="en-GB"/>
        </w:rPr>
        <w:t>Dental filling materials: these are used by dentists to fill cavities (instead of silver-mercury amalgam);</w:t>
      </w:r>
    </w:p>
    <w:p w:rsidR="002626DB" w:rsidRPr="002626DB" w:rsidRDefault="002626DB" w:rsidP="002626DB">
      <w:pPr>
        <w:pStyle w:val="Bulletlist"/>
        <w:numPr>
          <w:ilvl w:val="0"/>
          <w:numId w:val="3"/>
        </w:numPr>
        <w:rPr>
          <w:lang w:val="en-US" w:eastAsia="en-GB"/>
        </w:rPr>
      </w:pPr>
      <w:r w:rsidRPr="002626DB">
        <w:rPr>
          <w:lang w:val="en-US" w:eastAsia="en-GB"/>
        </w:rPr>
        <w:t xml:space="preserve">Dental luting cements: these are used by dentists to lute indirect restorations (crowns, bridges, inlays, </w:t>
      </w:r>
      <w:proofErr w:type="spellStart"/>
      <w:r w:rsidRPr="002626DB">
        <w:rPr>
          <w:lang w:val="en-US" w:eastAsia="en-GB"/>
        </w:rPr>
        <w:t>onlays</w:t>
      </w:r>
      <w:proofErr w:type="spellEnd"/>
      <w:r w:rsidRPr="002626DB">
        <w:rPr>
          <w:lang w:val="en-US" w:eastAsia="en-GB"/>
        </w:rPr>
        <w:t xml:space="preserve">) to the tooth structure; </w:t>
      </w:r>
    </w:p>
    <w:p w:rsidR="002626DB" w:rsidRPr="002626DB" w:rsidRDefault="002626DB" w:rsidP="002626DB">
      <w:pPr>
        <w:pStyle w:val="Bulletlist"/>
        <w:numPr>
          <w:ilvl w:val="0"/>
          <w:numId w:val="3"/>
        </w:numPr>
        <w:rPr>
          <w:lang w:val="en-US" w:eastAsia="en-GB"/>
        </w:rPr>
      </w:pPr>
      <w:r w:rsidRPr="002626DB">
        <w:rPr>
          <w:lang w:val="en-US" w:eastAsia="en-GB"/>
        </w:rPr>
        <w:t>Dental temporary materials (cements, crown and bridge materials): these are used by dentists to prepare temporary crowns or bridges or to lute such temporary restorations to the tooth; and</w:t>
      </w:r>
    </w:p>
    <w:p w:rsidR="002626DB" w:rsidRPr="002626DB" w:rsidRDefault="002626DB" w:rsidP="002626DB">
      <w:pPr>
        <w:pStyle w:val="Bulletlist"/>
        <w:numPr>
          <w:ilvl w:val="0"/>
          <w:numId w:val="3"/>
        </w:numPr>
        <w:rPr>
          <w:lang w:val="en-US" w:eastAsia="en-GB"/>
        </w:rPr>
      </w:pPr>
      <w:r w:rsidRPr="002626DB">
        <w:rPr>
          <w:lang w:val="en-US" w:eastAsia="en-GB"/>
        </w:rPr>
        <w:t>Dental lab materials: these are used by dental technicians for a variety of uses.</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tblGrid>
      <w:tr w:rsidR="002626DB" w:rsidTr="002626DB">
        <w:tc>
          <w:tcPr>
            <w:tcW w:w="4574" w:type="dxa"/>
            <w:tcBorders>
              <w:top w:val="single" w:sz="4" w:space="0" w:color="auto"/>
              <w:left w:val="single" w:sz="4" w:space="0" w:color="auto"/>
              <w:bottom w:val="single" w:sz="4" w:space="0" w:color="auto"/>
              <w:right w:val="single" w:sz="4" w:space="0" w:color="auto"/>
            </w:tcBorders>
            <w:hideMark/>
          </w:tcPr>
          <w:p w:rsidR="002626DB" w:rsidRDefault="002626DB">
            <w:pPr>
              <w:spacing w:after="0" w:line="276" w:lineRule="auto"/>
              <w:jc w:val="center"/>
              <w:rPr>
                <w:sz w:val="20"/>
              </w:rPr>
            </w:pPr>
            <w:r>
              <w:rPr>
                <w:noProof/>
                <w:sz w:val="20"/>
                <w:lang w:val="de-DE" w:eastAsia="de-DE"/>
              </w:rPr>
              <w:lastRenderedPageBreak/>
              <w:drawing>
                <wp:inline distT="0" distB="0" distL="0" distR="0">
                  <wp:extent cx="2771775" cy="2076450"/>
                  <wp:effectExtent l="0" t="0" r="9525" b="0"/>
                  <wp:docPr id="4" name="Grafik 4" descr="Denta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4" descr="Dental Mod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2076450"/>
                          </a:xfrm>
                          <a:prstGeom prst="rect">
                            <a:avLst/>
                          </a:prstGeom>
                          <a:noFill/>
                          <a:ln>
                            <a:noFill/>
                          </a:ln>
                        </pic:spPr>
                      </pic:pic>
                    </a:graphicData>
                  </a:graphic>
                </wp:inline>
              </w:drawing>
            </w:r>
          </w:p>
        </w:tc>
      </w:tr>
      <w:tr w:rsidR="002626DB" w:rsidTr="002626DB">
        <w:tc>
          <w:tcPr>
            <w:tcW w:w="4574" w:type="dxa"/>
            <w:tcBorders>
              <w:top w:val="single" w:sz="4" w:space="0" w:color="auto"/>
              <w:left w:val="single" w:sz="4" w:space="0" w:color="auto"/>
              <w:bottom w:val="single" w:sz="4" w:space="0" w:color="auto"/>
              <w:right w:val="single" w:sz="4" w:space="0" w:color="auto"/>
            </w:tcBorders>
            <w:shd w:val="clear" w:color="auto" w:fill="569BBE"/>
            <w:hideMark/>
          </w:tcPr>
          <w:p w:rsidR="002626DB" w:rsidRDefault="002626DB">
            <w:pPr>
              <w:pStyle w:val="Beschriftung"/>
              <w:keepNext w:val="0"/>
              <w:spacing w:line="276" w:lineRule="auto"/>
              <w:jc w:val="both"/>
              <w:rPr>
                <w:color w:val="FFFFFF" w:themeColor="background1"/>
                <w:vertAlign w:val="subscript"/>
              </w:rPr>
            </w:pPr>
            <w:r>
              <w:rPr>
                <w:color w:val="FFFFFF" w:themeColor="background1"/>
              </w:rPr>
              <w:t xml:space="preserve">Figure </w:t>
            </w:r>
            <w:r>
              <w:rPr>
                <w:b w:val="0"/>
                <w:color w:val="FFFFFF" w:themeColor="background1"/>
              </w:rPr>
              <w:fldChar w:fldCharType="begin"/>
            </w:r>
            <w:r>
              <w:rPr>
                <w:color w:val="FFFFFF" w:themeColor="background1"/>
              </w:rPr>
              <w:instrText xml:space="preserve"> STYLEREF 1 \s </w:instrText>
            </w:r>
            <w:r>
              <w:rPr>
                <w:b w:val="0"/>
                <w:color w:val="FFFFFF" w:themeColor="background1"/>
              </w:rPr>
              <w:fldChar w:fldCharType="separate"/>
            </w:r>
            <w:r>
              <w:rPr>
                <w:noProof/>
                <w:color w:val="FFFFFF" w:themeColor="background1"/>
              </w:rPr>
              <w:t>3</w:t>
            </w:r>
            <w:r>
              <w:rPr>
                <w:b w:val="0"/>
                <w:color w:val="FFFFFF" w:themeColor="background1"/>
              </w:rPr>
              <w:fldChar w:fldCharType="end"/>
            </w:r>
            <w:r>
              <w:rPr>
                <w:color w:val="FFFFFF" w:themeColor="background1"/>
              </w:rPr>
              <w:t>–</w:t>
            </w:r>
            <w:r>
              <w:rPr>
                <w:b w:val="0"/>
                <w:color w:val="FFFFFF" w:themeColor="background1"/>
              </w:rPr>
              <w:fldChar w:fldCharType="begin"/>
            </w:r>
            <w:r>
              <w:rPr>
                <w:color w:val="FFFFFF" w:themeColor="background1"/>
              </w:rPr>
              <w:instrText xml:space="preserve"> SEQ Figure \* ARABIC \s 1 </w:instrText>
            </w:r>
            <w:r>
              <w:rPr>
                <w:b w:val="0"/>
                <w:color w:val="FFFFFF" w:themeColor="background1"/>
              </w:rPr>
              <w:fldChar w:fldCharType="separate"/>
            </w:r>
            <w:r>
              <w:rPr>
                <w:noProof/>
                <w:color w:val="FFFFFF" w:themeColor="background1"/>
              </w:rPr>
              <w:t>17</w:t>
            </w:r>
            <w:r>
              <w:rPr>
                <w:b w:val="0"/>
                <w:color w:val="FFFFFF" w:themeColor="background1"/>
              </w:rPr>
              <w:fldChar w:fldCharType="end"/>
            </w:r>
            <w:r>
              <w:rPr>
                <w:color w:val="FFFFFF" w:themeColor="background1"/>
              </w:rPr>
              <w:t>:  Example of dental impression materials that contain TiO</w:t>
            </w:r>
            <w:r>
              <w:rPr>
                <w:color w:val="FFFFFF" w:themeColor="background1"/>
                <w:vertAlign w:val="subscript"/>
              </w:rPr>
              <w:t>2</w:t>
            </w:r>
          </w:p>
          <w:p w:rsidR="002626DB" w:rsidRDefault="002626DB">
            <w:pPr>
              <w:spacing w:after="0" w:line="276" w:lineRule="auto"/>
            </w:pPr>
            <w:r>
              <w:rPr>
                <w:i/>
                <w:color w:val="FFFFFF" w:themeColor="background1"/>
                <w:sz w:val="20"/>
              </w:rPr>
              <w:t>Source:  royalty-free photo</w:t>
            </w:r>
          </w:p>
        </w:tc>
      </w:tr>
    </w:tbl>
    <w:p w:rsidR="002626DB" w:rsidRDefault="002626DB" w:rsidP="002626DB">
      <w:pPr>
        <w:rPr>
          <w:lang w:eastAsia="en-GB"/>
        </w:rPr>
      </w:pPr>
      <w:r>
        <w:rPr>
          <w:lang w:val="en"/>
        </w:rPr>
        <w:t>Furthermore, TiO</w:t>
      </w:r>
      <w:r>
        <w:rPr>
          <w:vertAlign w:val="subscript"/>
          <w:lang w:val="en"/>
        </w:rPr>
        <w:t>2</w:t>
      </w:r>
      <w:r>
        <w:rPr>
          <w:lang w:val="en"/>
        </w:rPr>
        <w:t xml:space="preserve"> is present in various plastic parts in medical equipment/medical devices where it provides two main benefits: firstly, its light resistance provides UV-protection which, in turn, improves the stability of the product; and secondly the white</w:t>
      </w:r>
      <w:r>
        <w:t xml:space="preserve"> colouration</w:t>
      </w:r>
      <w:r>
        <w:rPr>
          <w:lang w:val="en"/>
        </w:rPr>
        <w:t xml:space="preserve"> enables dirt and other soiling to be instantly seen, which is beneficial in terms of hygiene </w:t>
      </w:r>
      <w:sdt>
        <w:sdtPr>
          <w:rPr>
            <w:lang w:val="en"/>
          </w:rPr>
          <w:id w:val="899176542"/>
          <w:citation/>
        </w:sdtPr>
        <w:sdtContent>
          <w:r>
            <w:rPr>
              <w:lang w:val="en"/>
            </w:rPr>
            <w:fldChar w:fldCharType="begin"/>
          </w:r>
          <w:r>
            <w:instrText xml:space="preserve">CITATION Ger16 \l 2057 </w:instrText>
          </w:r>
          <w:r>
            <w:rPr>
              <w:lang w:val="en"/>
            </w:rPr>
            <w:fldChar w:fldCharType="separate"/>
          </w:r>
          <w:r>
            <w:rPr>
              <w:noProof/>
            </w:rPr>
            <w:t>(German Medicines Manufacturers Association, 2016)</w:t>
          </w:r>
          <w:r>
            <w:rPr>
              <w:lang w:val="en"/>
            </w:rPr>
            <w:fldChar w:fldCharType="end"/>
          </w:r>
        </w:sdtContent>
      </w:sdt>
      <w:r>
        <w:rPr>
          <w:lang w:val="en"/>
        </w:rPr>
        <w:t xml:space="preserve">.  </w:t>
      </w:r>
      <w:r>
        <w:rPr>
          <w:lang w:eastAsia="en-GB"/>
        </w:rPr>
        <w:t>TiO</w:t>
      </w:r>
      <w:r>
        <w:rPr>
          <w:vertAlign w:val="subscript"/>
          <w:lang w:eastAsia="en-GB"/>
        </w:rPr>
        <w:t>2</w:t>
      </w:r>
      <w:r>
        <w:rPr>
          <w:lang w:eastAsia="en-GB"/>
        </w:rPr>
        <w:t xml:space="preserve"> may also be used in surgical medical tapes, wound dressings and bandages.  Also, as noted earlier, TiO</w:t>
      </w:r>
      <w:r>
        <w:rPr>
          <w:vertAlign w:val="subscript"/>
          <w:lang w:eastAsia="en-GB"/>
        </w:rPr>
        <w:t>2</w:t>
      </w:r>
      <w:r>
        <w:rPr>
          <w:lang w:eastAsia="en-GB"/>
        </w:rPr>
        <w:t xml:space="preserve"> is extensively used in the medical plastics industry to protect light sensitive pharmaceutical compounds from photolysis.</w:t>
      </w:r>
    </w:p>
    <w:p w:rsidR="002626DB" w:rsidRDefault="002626DB" w:rsidP="002626DB">
      <w:pPr>
        <w:rPr>
          <w:lang w:val="en"/>
        </w:rPr>
      </w:pPr>
      <w:r>
        <w:rPr>
          <w:lang w:val="en-US"/>
        </w:rPr>
        <w:t xml:space="preserve">Although </w:t>
      </w:r>
      <w:r>
        <w:rPr>
          <w:lang w:val="en"/>
        </w:rPr>
        <w:t>TiO</w:t>
      </w:r>
      <w:r>
        <w:rPr>
          <w:vertAlign w:val="subscript"/>
          <w:lang w:val="en"/>
        </w:rPr>
        <w:t>2</w:t>
      </w:r>
      <w:r>
        <w:rPr>
          <w:lang w:val="en"/>
        </w:rPr>
        <w:t xml:space="preserve"> has been used for decades in medicinal products and medical devices, as well as in other applications, there are no known examples of adverse reactions caused by the substance </w:t>
      </w:r>
      <w:sdt>
        <w:sdtPr>
          <w:rPr>
            <w:lang w:val="en"/>
          </w:rPr>
          <w:id w:val="1857536299"/>
          <w:citation/>
        </w:sdtPr>
        <w:sdtContent>
          <w:r>
            <w:rPr>
              <w:lang w:val="en"/>
            </w:rPr>
            <w:fldChar w:fldCharType="begin"/>
          </w:r>
          <w:r>
            <w:instrText xml:space="preserve"> CITATION Ger16 \l 2057 </w:instrText>
          </w:r>
          <w:r>
            <w:rPr>
              <w:lang w:val="en"/>
            </w:rPr>
            <w:fldChar w:fldCharType="separate"/>
          </w:r>
          <w:r>
            <w:rPr>
              <w:noProof/>
            </w:rPr>
            <w:t>(German Medicines Manufacturers Association, 2016)</w:t>
          </w:r>
          <w:r>
            <w:rPr>
              <w:lang w:val="en"/>
            </w:rPr>
            <w:fldChar w:fldCharType="end"/>
          </w:r>
        </w:sdtContent>
      </w:sdt>
      <w:r>
        <w:rPr>
          <w:lang w:val="en"/>
        </w:rPr>
        <w:t>.</w:t>
      </w:r>
    </w:p>
    <w:p w:rsidR="002626DB" w:rsidRDefault="002626DB" w:rsidP="002626DB">
      <w:pPr>
        <w:pStyle w:val="berschrift4"/>
        <w:rPr>
          <w:lang w:val="en"/>
        </w:rPr>
      </w:pPr>
      <w:r>
        <w:rPr>
          <w:lang w:val="en"/>
        </w:rPr>
        <w:t>Typical concentrations of titanium dioxide</w:t>
      </w:r>
    </w:p>
    <w:p w:rsidR="002626DB" w:rsidRDefault="002626DB" w:rsidP="002626DB">
      <w:pPr>
        <w:rPr>
          <w:lang w:val="en"/>
        </w:rPr>
      </w:pPr>
      <w:r>
        <w:rPr>
          <w:lang w:val="en"/>
        </w:rPr>
        <w:t>The following information is available for TiO</w:t>
      </w:r>
      <w:r>
        <w:rPr>
          <w:vertAlign w:val="subscript"/>
          <w:lang w:val="en"/>
        </w:rPr>
        <w:t>2</w:t>
      </w:r>
      <w:r>
        <w:rPr>
          <w:lang w:val="en"/>
        </w:rPr>
        <w:t xml:space="preserve"> in dental formulations:</w:t>
      </w:r>
    </w:p>
    <w:p w:rsidR="002626DB" w:rsidRDefault="002626DB" w:rsidP="002626DB">
      <w:pPr>
        <w:pStyle w:val="Bulletlist"/>
        <w:numPr>
          <w:ilvl w:val="0"/>
          <w:numId w:val="3"/>
        </w:numPr>
        <w:rPr>
          <w:lang w:val="en"/>
        </w:rPr>
      </w:pPr>
      <w:r>
        <w:rPr>
          <w:lang w:val="en"/>
        </w:rPr>
        <w:t xml:space="preserve">Dental impression materials:  </w:t>
      </w:r>
      <w:r>
        <w:rPr>
          <w:lang w:val="en"/>
        </w:rPr>
        <w:tab/>
        <w:t>0.01 to &lt;1%;</w:t>
      </w:r>
    </w:p>
    <w:p w:rsidR="002626DB" w:rsidRDefault="002626DB" w:rsidP="002626DB">
      <w:pPr>
        <w:pStyle w:val="Bulletlist"/>
        <w:numPr>
          <w:ilvl w:val="0"/>
          <w:numId w:val="3"/>
        </w:numPr>
        <w:rPr>
          <w:lang w:val="en"/>
        </w:rPr>
      </w:pPr>
      <w:r>
        <w:rPr>
          <w:lang w:val="en"/>
        </w:rPr>
        <w:t xml:space="preserve">Dental filling materials:  </w:t>
      </w:r>
      <w:r>
        <w:rPr>
          <w:lang w:val="en"/>
        </w:rPr>
        <w:tab/>
      </w:r>
      <w:r>
        <w:rPr>
          <w:lang w:val="en"/>
        </w:rPr>
        <w:tab/>
        <w:t>0.1-4%;</w:t>
      </w:r>
    </w:p>
    <w:p w:rsidR="002626DB" w:rsidRDefault="002626DB" w:rsidP="002626DB">
      <w:pPr>
        <w:pStyle w:val="Bulletlist"/>
        <w:numPr>
          <w:ilvl w:val="0"/>
          <w:numId w:val="3"/>
        </w:numPr>
        <w:rPr>
          <w:lang w:val="en"/>
        </w:rPr>
      </w:pPr>
      <w:r>
        <w:rPr>
          <w:lang w:val="en"/>
        </w:rPr>
        <w:t xml:space="preserve">Dental luting cements:  </w:t>
      </w:r>
      <w:r>
        <w:rPr>
          <w:lang w:val="en"/>
        </w:rPr>
        <w:tab/>
      </w:r>
      <w:r>
        <w:rPr>
          <w:lang w:val="en"/>
        </w:rPr>
        <w:tab/>
        <w:t>0.01-0.5%;</w:t>
      </w:r>
    </w:p>
    <w:p w:rsidR="002626DB" w:rsidRDefault="002626DB" w:rsidP="002626DB">
      <w:pPr>
        <w:pStyle w:val="Bulletlist"/>
        <w:numPr>
          <w:ilvl w:val="0"/>
          <w:numId w:val="3"/>
        </w:numPr>
        <w:rPr>
          <w:lang w:val="en"/>
        </w:rPr>
      </w:pPr>
      <w:r>
        <w:rPr>
          <w:lang w:val="en"/>
        </w:rPr>
        <w:t xml:space="preserve">Dental temporary materials:  </w:t>
      </w:r>
      <w:r>
        <w:rPr>
          <w:lang w:val="en"/>
        </w:rPr>
        <w:tab/>
        <w:t>0.01-0.1%; and</w:t>
      </w:r>
    </w:p>
    <w:p w:rsidR="002626DB" w:rsidRDefault="002626DB" w:rsidP="002626DB">
      <w:pPr>
        <w:pStyle w:val="Bulletlist"/>
        <w:numPr>
          <w:ilvl w:val="0"/>
          <w:numId w:val="3"/>
        </w:numPr>
        <w:spacing w:after="200" w:line="276" w:lineRule="auto"/>
        <w:jc w:val="left"/>
        <w:rPr>
          <w:rFonts w:ascii="Calibri" w:eastAsiaTheme="majorEastAsia" w:hAnsi="Calibri" w:cstheme="majorBidi"/>
          <w:b/>
          <w:bCs/>
          <w:i/>
          <w:iCs/>
          <w:lang w:val="en-GB" w:eastAsia="en-GB"/>
        </w:rPr>
      </w:pPr>
      <w:r>
        <w:rPr>
          <w:lang w:val="en"/>
        </w:rPr>
        <w:t xml:space="preserve">Dental lab materials:  </w:t>
      </w:r>
      <w:r>
        <w:rPr>
          <w:lang w:val="en"/>
        </w:rPr>
        <w:tab/>
      </w:r>
      <w:r>
        <w:rPr>
          <w:lang w:val="en"/>
        </w:rPr>
        <w:tab/>
        <w:t>0.01-0.8%.</w:t>
      </w:r>
    </w:p>
    <w:p w:rsidR="002626DB" w:rsidRDefault="002626DB" w:rsidP="002626DB">
      <w:pPr>
        <w:pStyle w:val="berschrift4"/>
        <w:rPr>
          <w:lang w:eastAsia="en-GB"/>
        </w:rPr>
      </w:pPr>
      <w:r>
        <w:rPr>
          <w:lang w:eastAsia="en-GB"/>
        </w:rPr>
        <w:t>Technical characteristics and advantages</w:t>
      </w:r>
    </w:p>
    <w:p w:rsidR="002626DB" w:rsidRDefault="002626DB" w:rsidP="002626DB">
      <w:pPr>
        <w:rPr>
          <w:lang w:eastAsia="en-GB"/>
        </w:rPr>
      </w:pPr>
      <w:r>
        <w:rPr>
          <w:lang w:eastAsia="en-GB"/>
        </w:rPr>
        <w:t>These TiO</w:t>
      </w:r>
      <w:r>
        <w:rPr>
          <w:vertAlign w:val="subscript"/>
          <w:lang w:eastAsia="en-GB"/>
        </w:rPr>
        <w:t>2</w:t>
      </w:r>
      <w:r>
        <w:rPr>
          <w:lang w:eastAsia="en-GB"/>
        </w:rPr>
        <w:t>-based products have the following advantages:</w:t>
      </w:r>
    </w:p>
    <w:p w:rsidR="002626DB" w:rsidRPr="002626DB" w:rsidRDefault="002626DB" w:rsidP="002626DB">
      <w:pPr>
        <w:pStyle w:val="Bulletlist"/>
        <w:numPr>
          <w:ilvl w:val="0"/>
          <w:numId w:val="3"/>
        </w:numPr>
        <w:rPr>
          <w:lang w:val="en-US" w:eastAsia="en-GB"/>
        </w:rPr>
      </w:pPr>
      <w:r w:rsidRPr="002626DB">
        <w:rPr>
          <w:lang w:val="en-US" w:eastAsia="en-GB"/>
        </w:rPr>
        <w:t>Highly improved readability of impressions by dentists.  Only materials containing TiO</w:t>
      </w:r>
      <w:r w:rsidRPr="002626DB">
        <w:rPr>
          <w:vertAlign w:val="subscript"/>
          <w:lang w:val="en-US" w:eastAsia="en-GB"/>
        </w:rPr>
        <w:t>2</w:t>
      </w:r>
      <w:r w:rsidRPr="002626DB">
        <w:rPr>
          <w:lang w:val="en-US" w:eastAsia="en-GB"/>
        </w:rPr>
        <w:t xml:space="preserve"> can be well read by optical scanners used in digital dentistry; and</w:t>
      </w:r>
    </w:p>
    <w:p w:rsidR="002626DB" w:rsidRPr="002626DB" w:rsidRDefault="002626DB" w:rsidP="002626DB">
      <w:pPr>
        <w:pStyle w:val="Bulletlist"/>
        <w:numPr>
          <w:ilvl w:val="0"/>
          <w:numId w:val="0"/>
        </w:numPr>
        <w:ind w:left="709"/>
        <w:rPr>
          <w:lang w:val="en-US" w:eastAsia="en-GB"/>
        </w:rPr>
      </w:pPr>
    </w:p>
    <w:p w:rsidR="002626DB" w:rsidRPr="002626DB" w:rsidRDefault="002626DB" w:rsidP="002626DB">
      <w:pPr>
        <w:pStyle w:val="Bulletlist"/>
        <w:numPr>
          <w:ilvl w:val="0"/>
          <w:numId w:val="3"/>
        </w:numPr>
        <w:rPr>
          <w:lang w:val="en-US" w:eastAsia="en-GB"/>
        </w:rPr>
      </w:pPr>
      <w:r w:rsidRPr="002626DB">
        <w:rPr>
          <w:lang w:val="en-US" w:eastAsia="en-GB"/>
        </w:rPr>
        <w:t>TiO</w:t>
      </w:r>
      <w:r w:rsidRPr="002626DB">
        <w:rPr>
          <w:vertAlign w:val="subscript"/>
          <w:lang w:val="en-US" w:eastAsia="en-GB"/>
        </w:rPr>
        <w:t>2</w:t>
      </w:r>
      <w:r w:rsidRPr="002626DB">
        <w:rPr>
          <w:lang w:val="en-US" w:eastAsia="en-GB"/>
        </w:rPr>
        <w:t xml:space="preserve"> is the white pigment giving best results to obtain aesthetic </w:t>
      </w:r>
      <w:proofErr w:type="spellStart"/>
      <w:r w:rsidRPr="002626DB">
        <w:rPr>
          <w:lang w:val="en-US" w:eastAsia="en-GB"/>
        </w:rPr>
        <w:t>colours</w:t>
      </w:r>
      <w:proofErr w:type="spellEnd"/>
      <w:r w:rsidRPr="002626DB">
        <w:rPr>
          <w:lang w:val="en-US" w:eastAsia="en-GB"/>
        </w:rPr>
        <w:t xml:space="preserve"> for dental materials. With the lowest pigment concentration possible, the most aesthetically pleasing dental products can be achieved.    </w:t>
      </w:r>
    </w:p>
    <w:p w:rsidR="0088066F" w:rsidRPr="0088066F" w:rsidRDefault="0088066F">
      <w:pPr>
        <w:rPr>
          <w:lang w:val="en-US"/>
        </w:rPr>
      </w:pPr>
    </w:p>
    <w:p w:rsidR="000B0009" w:rsidRDefault="000B0009" w:rsidP="000B0009">
      <w:pPr>
        <w:pStyle w:val="berschrift1"/>
        <w:rPr>
          <w:b/>
          <w:bCs/>
        </w:rPr>
      </w:pPr>
      <w:bookmarkStart w:id="9" w:name="_Toc470188636"/>
      <w:r>
        <w:rPr>
          <w:b/>
          <w:bCs/>
        </w:rPr>
        <w:lastRenderedPageBreak/>
        <w:t>Impact analysis</w:t>
      </w:r>
      <w:bookmarkEnd w:id="9"/>
    </w:p>
    <w:p w:rsidR="000B0009" w:rsidRDefault="000B0009" w:rsidP="000B0009">
      <w:pPr>
        <w:pStyle w:val="berschrift2"/>
        <w:rPr>
          <w:b/>
        </w:rPr>
      </w:pPr>
      <w:bookmarkStart w:id="10" w:name="_Toc470188637"/>
      <w:r>
        <w:rPr>
          <w:b/>
        </w:rPr>
        <w:t>Drivers behind the impacts from the proposed classification of titanium dioxide</w:t>
      </w:r>
      <w:bookmarkEnd w:id="10"/>
    </w:p>
    <w:p w:rsidR="000B0009" w:rsidRDefault="000B0009" w:rsidP="000B0009">
      <w:r>
        <w:t>There are four key drivers behind the impacts that would arise from the proposed classification of TiO</w:t>
      </w:r>
      <w:r>
        <w:rPr>
          <w:vertAlign w:val="subscript"/>
        </w:rPr>
        <w:t>2</w:t>
      </w:r>
      <w:r>
        <w:t xml:space="preserve"> and these are described below.</w:t>
      </w:r>
    </w:p>
    <w:p w:rsidR="000B0009" w:rsidRDefault="000B0009" w:rsidP="000B0009">
      <w:r>
        <w:t xml:space="preserve">The first driver is </w:t>
      </w:r>
      <w:r>
        <w:rPr>
          <w:b/>
        </w:rPr>
        <w:t>existing regulatory requirements</w:t>
      </w:r>
      <w:r>
        <w:t xml:space="preserve"> that accompany substances that are classified as </w:t>
      </w:r>
      <w:proofErr w:type="spellStart"/>
      <w:r>
        <w:t>Carc</w:t>
      </w:r>
      <w:proofErr w:type="spellEnd"/>
      <w:r>
        <w:t xml:space="preserve"> Cat 1B.  There is a wide range of legislative instruments at EU level that link to the CLP Regulation and which therefore would come into play if a harmonised classification of </w:t>
      </w:r>
      <w:proofErr w:type="spellStart"/>
      <w:r>
        <w:t>Carc</w:t>
      </w:r>
      <w:proofErr w:type="spellEnd"/>
      <w:r>
        <w:t xml:space="preserve"> Cat 1B for TiO</w:t>
      </w:r>
      <w:r>
        <w:rPr>
          <w:vertAlign w:val="subscript"/>
        </w:rPr>
        <w:t>2</w:t>
      </w:r>
      <w:r>
        <w:t xml:space="preserve"> were to be adopted.  Annex 1 (Section 8) includes a series of tables that summarise the relevant legislation and provide information on:</w:t>
      </w:r>
    </w:p>
    <w:p w:rsidR="000B0009" w:rsidRPr="000B0009" w:rsidRDefault="000B0009" w:rsidP="000B0009">
      <w:pPr>
        <w:pStyle w:val="Bulletlist"/>
        <w:numPr>
          <w:ilvl w:val="0"/>
          <w:numId w:val="3"/>
        </w:numPr>
        <w:rPr>
          <w:lang w:val="en-US"/>
        </w:rPr>
      </w:pPr>
      <w:r w:rsidRPr="000B0009">
        <w:rPr>
          <w:lang w:val="en-US"/>
        </w:rPr>
        <w:t xml:space="preserve">The key provisions of each piece of legislation in relation to </w:t>
      </w:r>
      <w:proofErr w:type="spellStart"/>
      <w:r w:rsidRPr="000B0009">
        <w:rPr>
          <w:lang w:val="en-US"/>
        </w:rPr>
        <w:t>Carc</w:t>
      </w:r>
      <w:proofErr w:type="spellEnd"/>
      <w:r w:rsidRPr="000B0009">
        <w:rPr>
          <w:lang w:val="en-US"/>
        </w:rPr>
        <w:t xml:space="preserve"> Cat 1B substances;</w:t>
      </w:r>
    </w:p>
    <w:p w:rsidR="000B0009" w:rsidRPr="000B0009" w:rsidRDefault="000B0009" w:rsidP="000B0009">
      <w:pPr>
        <w:pStyle w:val="Bulletlist"/>
        <w:numPr>
          <w:ilvl w:val="0"/>
          <w:numId w:val="3"/>
        </w:numPr>
        <w:rPr>
          <w:lang w:val="en-US"/>
        </w:rPr>
      </w:pPr>
      <w:r w:rsidRPr="000B0009">
        <w:rPr>
          <w:lang w:val="en-US"/>
        </w:rPr>
        <w:t>Whether each legislation applies to a single industrial sector/area of application (e.g. cosmetics) or several (e.g. REACH);</w:t>
      </w:r>
    </w:p>
    <w:p w:rsidR="000B0009" w:rsidRPr="000B0009" w:rsidRDefault="000B0009" w:rsidP="000B0009">
      <w:pPr>
        <w:pStyle w:val="Bulletlist"/>
        <w:numPr>
          <w:ilvl w:val="0"/>
          <w:numId w:val="3"/>
        </w:numPr>
        <w:rPr>
          <w:lang w:val="en-US"/>
        </w:rPr>
      </w:pPr>
      <w:r w:rsidRPr="000B0009">
        <w:rPr>
          <w:lang w:val="en-US"/>
        </w:rPr>
        <w:t>Whether the legislation and its implementation has implications primarily for industrial users (I), professional users (P) or consumers, i.e. the general public (C);</w:t>
      </w:r>
    </w:p>
    <w:p w:rsidR="000B0009" w:rsidRPr="000B0009" w:rsidRDefault="000B0009" w:rsidP="000B0009">
      <w:pPr>
        <w:pStyle w:val="Bulletlist"/>
        <w:numPr>
          <w:ilvl w:val="0"/>
          <w:numId w:val="3"/>
        </w:numPr>
        <w:rPr>
          <w:lang w:val="en-US"/>
        </w:rPr>
      </w:pPr>
      <w:r w:rsidRPr="000B0009">
        <w:rPr>
          <w:lang w:val="en-US"/>
        </w:rPr>
        <w:t>Importantly, whether the magnitude of the impact that legislation provisions would have on the current applications of TiO</w:t>
      </w:r>
      <w:r w:rsidRPr="000B0009">
        <w:rPr>
          <w:vertAlign w:val="subscript"/>
          <w:lang w:val="en-US"/>
        </w:rPr>
        <w:t>2</w:t>
      </w:r>
      <w:r w:rsidRPr="000B0009">
        <w:rPr>
          <w:lang w:val="en-US"/>
        </w:rPr>
        <w:t xml:space="preserve"> would be defined by hazard profile alone (i.e. the new hazard classification) or would take into account the risk of release and exposure, and in many situations the availability of alternatives for TiO</w:t>
      </w:r>
      <w:r w:rsidRPr="000B0009">
        <w:rPr>
          <w:vertAlign w:val="subscript"/>
          <w:lang w:val="en-US"/>
        </w:rPr>
        <w:t>2</w:t>
      </w:r>
      <w:r w:rsidRPr="000B0009">
        <w:rPr>
          <w:lang w:val="en-US"/>
        </w:rPr>
        <w:t xml:space="preserve"> as well; and</w:t>
      </w:r>
    </w:p>
    <w:p w:rsidR="000B0009" w:rsidRPr="000B0009" w:rsidRDefault="000B0009" w:rsidP="000B0009">
      <w:pPr>
        <w:pStyle w:val="Bulletlist"/>
        <w:numPr>
          <w:ilvl w:val="0"/>
          <w:numId w:val="3"/>
        </w:numPr>
        <w:rPr>
          <w:lang w:val="en-US"/>
        </w:rPr>
      </w:pPr>
      <w:r w:rsidRPr="000B0009">
        <w:rPr>
          <w:lang w:val="en-US"/>
        </w:rPr>
        <w:t>An indication of whether an impact on the use of TiO</w:t>
      </w:r>
      <w:r w:rsidRPr="000B0009">
        <w:rPr>
          <w:vertAlign w:val="subscript"/>
          <w:lang w:val="en-US"/>
        </w:rPr>
        <w:t>2</w:t>
      </w:r>
      <w:r w:rsidRPr="000B0009">
        <w:rPr>
          <w:lang w:val="en-US"/>
        </w:rPr>
        <w:t xml:space="preserve"> would be ‘automatic’ or perhaps due process </w:t>
      </w:r>
      <w:proofErr w:type="gramStart"/>
      <w:r w:rsidRPr="000B0009">
        <w:rPr>
          <w:lang w:val="en-US"/>
        </w:rPr>
        <w:t>needs</w:t>
      </w:r>
      <w:proofErr w:type="gramEnd"/>
      <w:r w:rsidRPr="000B0009">
        <w:rPr>
          <w:lang w:val="en-US"/>
        </w:rPr>
        <w:t xml:space="preserve"> to be followed before the new hazard classification translates into some sort of restriction on the use of TiO</w:t>
      </w:r>
      <w:r w:rsidRPr="000B0009">
        <w:rPr>
          <w:vertAlign w:val="subscript"/>
          <w:lang w:val="en-US"/>
        </w:rPr>
        <w:t>2</w:t>
      </w:r>
      <w:r w:rsidRPr="000B0009">
        <w:rPr>
          <w:lang w:val="en-US"/>
        </w:rPr>
        <w:t xml:space="preserve"> in specific applications.</w:t>
      </w:r>
    </w:p>
    <w:p w:rsidR="000B0009" w:rsidRDefault="000B0009" w:rsidP="000B0009">
      <w:r>
        <w:t>The tables confirm that a wide variety of legislative instruments would be of relevance.  Some of it is cross-sectoral, such as the CLP Regulation itself which will require changes to labelling of mixtures, or the Carcinogens and Mutagens Directive and the Waste Framework Directive; while other legislation focuses on specific areas of application of TiO</w:t>
      </w:r>
      <w:r>
        <w:rPr>
          <w:vertAlign w:val="subscript"/>
        </w:rPr>
        <w:t>2</w:t>
      </w:r>
      <w:r>
        <w:t>, for example, pharmaceuticals, cosmetics, food safety, food contact materials and construction products.  There is also legislation which, whilst having a specific focus, may transcend market sectors and applications; for example, biocides containing TiO</w:t>
      </w:r>
      <w:r>
        <w:rPr>
          <w:vertAlign w:val="subscript"/>
        </w:rPr>
        <w:t>2</w:t>
      </w:r>
      <w:r>
        <w:t xml:space="preserve"> may find applications in several sectors (e.g. cosmetics, paints and coatings).</w:t>
      </w:r>
    </w:p>
    <w:p w:rsidR="000B0009" w:rsidRDefault="000B0009" w:rsidP="000B0009">
      <w:r>
        <w:t>It is understood that the formal adoption of the new classification would take some time (typically 18 months or longer).  Following this, impacts under other legislation would follow.  In some cases, impacts would arise immediately or very soon.  For instance, under the Carcinogens and Mutagens Directive, where feasible and safer alternatives for TiO</w:t>
      </w:r>
      <w:r>
        <w:rPr>
          <w:vertAlign w:val="subscript"/>
        </w:rPr>
        <w:t>2</w:t>
      </w:r>
      <w:r>
        <w:t xml:space="preserve"> cannot be found, measures would need to be taken during manufacturing activities that involve the substance (unless already in place).  These might include engineering measures aimed at group protection (improved ventilation, use of closed systems, etc.), personal protection equipment, separation of operations/personnel, medical surveillance, etc.  These would cause disruption and come at a cost.</w:t>
      </w:r>
    </w:p>
    <w:p w:rsidR="000B0009" w:rsidRDefault="000B0009" w:rsidP="000B0009">
      <w:r>
        <w:t xml:space="preserve">In addition, after inclusion of a carcinogen into Annex VI to the CLP Regulation, the European Commission regularly enacts restrictions for the use of these substances in consumer products.  Entry 28 of REACH Annex XVII regulates the restriction in consumer products of substances classified as carcinogenic (categories 1A and 1B). As soon as a substance is included by way of a Commission Regulation in the relevant tables (Appendix 2) under this entry, the substance cannot be used for final consumer uses or placed on the market any longer if a concentration limit of 0.1% by weight is exceeded.  </w:t>
      </w:r>
    </w:p>
    <w:p w:rsidR="000B0009" w:rsidRDefault="000B0009" w:rsidP="000B0009">
      <w:r>
        <w:lastRenderedPageBreak/>
        <w:t xml:space="preserve">There are also application areas where a </w:t>
      </w:r>
      <w:proofErr w:type="spellStart"/>
      <w:r>
        <w:t>Carc</w:t>
      </w:r>
      <w:proofErr w:type="spellEnd"/>
      <w:r>
        <w:t xml:space="preserve"> Cat 1B hazard classification would cause major problems but where rapid, successful action by interested parties could mitigate impacts.  Typical examples are the cosmetics, toys, biocidal products, food, pharmaceuticals applications where a risk assessment would need to be undertaken (for instance, by the SCCS Committees for cosmetics, and the SCHEER Committee for toys) to take into account the new classification.  By way of example:</w:t>
      </w:r>
    </w:p>
    <w:p w:rsidR="000B0009" w:rsidRPr="000B0009" w:rsidRDefault="000B0009" w:rsidP="000B0009">
      <w:pPr>
        <w:pStyle w:val="Bulletlist"/>
        <w:numPr>
          <w:ilvl w:val="0"/>
          <w:numId w:val="3"/>
        </w:numPr>
        <w:rPr>
          <w:lang w:val="en-US"/>
        </w:rPr>
      </w:pPr>
      <w:r w:rsidRPr="000B0009">
        <w:rPr>
          <w:lang w:val="en-US"/>
        </w:rPr>
        <w:t xml:space="preserve">For cosmetics, securing derogations could be a challenging task as they are granted in very exceptional cases, when a series of stringent conditions are fulfilled (safety dossier, food compliance, no alternatives, specific uses) and there are only 15 months between the CLH being added to Annex VI of the CLP and the Cosmetics Regulation annexes being updated with a review of the existing </w:t>
      </w:r>
      <w:proofErr w:type="spellStart"/>
      <w:r w:rsidRPr="000B0009">
        <w:rPr>
          <w:lang w:val="en-US"/>
        </w:rPr>
        <w:t>authorisations</w:t>
      </w:r>
      <w:proofErr w:type="spellEnd"/>
      <w:r w:rsidRPr="000B0009">
        <w:rPr>
          <w:lang w:val="en-US"/>
        </w:rPr>
        <w:t xml:space="preserve"> for TiO</w:t>
      </w:r>
      <w:r w:rsidRPr="000B0009">
        <w:rPr>
          <w:vertAlign w:val="subscript"/>
          <w:lang w:val="en-US"/>
        </w:rPr>
        <w:t>2</w:t>
      </w:r>
      <w:r w:rsidRPr="000B0009">
        <w:rPr>
          <w:lang w:val="en-US"/>
        </w:rPr>
        <w:t xml:space="preserve"> (a preservative, </w:t>
      </w:r>
      <w:proofErr w:type="spellStart"/>
      <w:r w:rsidRPr="000B0009">
        <w:rPr>
          <w:lang w:val="en-US"/>
        </w:rPr>
        <w:t>colourant</w:t>
      </w:r>
      <w:proofErr w:type="spellEnd"/>
      <w:r w:rsidRPr="000B0009">
        <w:rPr>
          <w:lang w:val="en-US"/>
        </w:rPr>
        <w:t xml:space="preserve"> and UV filter) by the SCCS.  Therefore, the time for obtaining an SCCS opinion on safe use is very short.  It is understood that it can take up to 2 years to prepare an SCCS dossier. If cosmetics companies would be interested in safeguarding the use of TiO</w:t>
      </w:r>
      <w:r w:rsidRPr="000B0009">
        <w:rPr>
          <w:vertAlign w:val="subscript"/>
          <w:lang w:val="en-US"/>
        </w:rPr>
        <w:t>2</w:t>
      </w:r>
      <w:r w:rsidRPr="000B0009">
        <w:rPr>
          <w:lang w:val="en-US"/>
        </w:rPr>
        <w:t>, they would need to prepare a dossier for the SCCS opinion as soon as possible;</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As regards biocides, any active substance must be approved at Union level if it is to be placed on the market and TiO</w:t>
      </w:r>
      <w:r w:rsidRPr="000B0009">
        <w:rPr>
          <w:vertAlign w:val="subscript"/>
          <w:lang w:val="en-US"/>
        </w:rPr>
        <w:t>2</w:t>
      </w:r>
      <w:r w:rsidRPr="000B0009">
        <w:rPr>
          <w:lang w:val="en-US"/>
        </w:rPr>
        <w:t xml:space="preserve"> (more accurately, its reaction mass with silver chloride, as TiO</w:t>
      </w:r>
      <w:r w:rsidRPr="000B0009">
        <w:rPr>
          <w:vertAlign w:val="subscript"/>
          <w:lang w:val="en-US"/>
        </w:rPr>
        <w:t>2</w:t>
      </w:r>
      <w:r w:rsidRPr="000B0009">
        <w:rPr>
          <w:lang w:val="en-US"/>
        </w:rPr>
        <w:t xml:space="preserve"> is not a biocide) would have to go through this process anyway.  The problem lies in that </w:t>
      </w:r>
      <w:proofErr w:type="spellStart"/>
      <w:r w:rsidRPr="000B0009">
        <w:rPr>
          <w:lang w:val="en-US"/>
        </w:rPr>
        <w:t>Carc</w:t>
      </w:r>
      <w:proofErr w:type="spellEnd"/>
      <w:r w:rsidRPr="000B0009">
        <w:rPr>
          <w:lang w:val="en-US"/>
        </w:rPr>
        <w:t xml:space="preserve"> Cat 1A and 1B classifications are exclusion criteria for active substances and biocidal products.  It is possible to get around this by proving that the risk to humans is negligible and there is no alternative but derogations are granted in exceptional circumstances.  This would require significant effort and coordination by industry and the Biocidal Products Committee would have to make their decision 270 days after the receipt of the </w:t>
      </w:r>
      <w:proofErr w:type="spellStart"/>
      <w:r w:rsidRPr="000B0009">
        <w:rPr>
          <w:lang w:val="en-US"/>
        </w:rPr>
        <w:t>eMSCA</w:t>
      </w:r>
      <w:proofErr w:type="spellEnd"/>
      <w:r w:rsidRPr="000B0009">
        <w:rPr>
          <w:lang w:val="en-US"/>
        </w:rPr>
        <w:t xml:space="preserve"> evaluation; and</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 xml:space="preserve">For pharmaceuticals, a variation to marketing </w:t>
      </w:r>
      <w:proofErr w:type="spellStart"/>
      <w:r w:rsidRPr="000B0009">
        <w:rPr>
          <w:lang w:val="en-US"/>
        </w:rPr>
        <w:t>authorisations</w:t>
      </w:r>
      <w:proofErr w:type="spellEnd"/>
      <w:r w:rsidRPr="000B0009">
        <w:rPr>
          <w:lang w:val="en-US"/>
        </w:rPr>
        <w:t xml:space="preserve"> would be required for the continued use of TiO</w:t>
      </w:r>
      <w:r w:rsidRPr="000B0009">
        <w:rPr>
          <w:vertAlign w:val="subscript"/>
          <w:lang w:val="en-US"/>
        </w:rPr>
        <w:t>2</w:t>
      </w:r>
      <w:r w:rsidRPr="000B0009">
        <w:rPr>
          <w:lang w:val="en-US"/>
        </w:rPr>
        <w:t xml:space="preserve"> as an excipient.  This would not only take time (for the preparation of the applications) but would be accompanied by considerable cost, given the large number of pharmaceuticals that contain the substance. </w:t>
      </w:r>
    </w:p>
    <w:p w:rsidR="000B0009" w:rsidRDefault="000B0009" w:rsidP="000B0009">
      <w:r>
        <w:t>On the other hand, there is also legislation which could play a role later, depending on the actions of certain stakeholders.  For instance, if TiO</w:t>
      </w:r>
      <w:r>
        <w:rPr>
          <w:vertAlign w:val="subscript"/>
        </w:rPr>
        <w:t>2</w:t>
      </w:r>
      <w:r>
        <w:t xml:space="preserve"> was classified as </w:t>
      </w:r>
      <w:proofErr w:type="spellStart"/>
      <w:r>
        <w:t>Carc</w:t>
      </w:r>
      <w:proofErr w:type="spellEnd"/>
      <w:r>
        <w:t xml:space="preserve"> Cat 1B it would become eligible for being nominated (by a Member State or by ECHA on the Commission’s request) as a Substance of Very High Concern under the REACH Regulation and eventually end up on the Candidate List with associated communication and notification obligations.  If TiO</w:t>
      </w:r>
      <w:r>
        <w:rPr>
          <w:vertAlign w:val="subscript"/>
        </w:rPr>
        <w:t>2</w:t>
      </w:r>
      <w:r>
        <w:t xml:space="preserve"> is then prioritised, it is probable that it would end up on Annex XIV of the REACH Regulation thus making the continued use of the substance dependent on securing an Authorisation by a specified date.  A harmonised classification of </w:t>
      </w:r>
      <w:proofErr w:type="spellStart"/>
      <w:r>
        <w:t>Carc</w:t>
      </w:r>
      <w:proofErr w:type="spellEnd"/>
      <w:r>
        <w:t xml:space="preserve"> Cat 1B would also open the pathway for a proposal to be submitted by a Member State or ECHA for the restriction of the use of TiO</w:t>
      </w:r>
      <w:r>
        <w:rPr>
          <w:vertAlign w:val="subscript"/>
        </w:rPr>
        <w:t>2</w:t>
      </w:r>
      <w:r>
        <w:t xml:space="preserve"> in specific applications.  When or whether this would materialise, neither can it currently be predicted and, importantly, nor can it be precluded.</w:t>
      </w:r>
    </w:p>
    <w:p w:rsidR="000B0009" w:rsidRDefault="000B0009" w:rsidP="000B0009">
      <w:r>
        <w:t>It should also not be forgotten that the new classification would be accompanied by new labelling requirements.  This will clearly have a cost not only due to the need to update any labels used, but also due to the differences in TiO</w:t>
      </w:r>
      <w:r>
        <w:rPr>
          <w:vertAlign w:val="subscript"/>
        </w:rPr>
        <w:t>2</w:t>
      </w:r>
      <w:r>
        <w:t xml:space="preserve"> classification between the EU and other global regions.  Significant logistical and production planning complications would arise if labelling requirements were not harmonised globally.</w:t>
      </w:r>
    </w:p>
    <w:p w:rsidR="000B0009" w:rsidRPr="000B0009" w:rsidRDefault="000B0009" w:rsidP="000B0009">
      <w:pPr>
        <w:pStyle w:val="Bulletlist"/>
        <w:numPr>
          <w:ilvl w:val="0"/>
          <w:numId w:val="0"/>
        </w:numPr>
        <w:rPr>
          <w:lang w:val="en-US"/>
        </w:rPr>
      </w:pPr>
      <w:r w:rsidRPr="000B0009">
        <w:rPr>
          <w:lang w:val="en-US"/>
        </w:rPr>
        <w:t>All lifecycle stages of TiO</w:t>
      </w:r>
      <w:r w:rsidRPr="000B0009">
        <w:rPr>
          <w:vertAlign w:val="subscript"/>
          <w:lang w:val="en-US"/>
        </w:rPr>
        <w:t>2</w:t>
      </w:r>
      <w:r w:rsidRPr="000B0009">
        <w:rPr>
          <w:lang w:val="en-US"/>
        </w:rPr>
        <w:t xml:space="preserve">’s use would be affected following its classification.  Where waste contains a substance known to be a </w:t>
      </w:r>
      <w:proofErr w:type="spellStart"/>
      <w:r w:rsidRPr="000B0009">
        <w:rPr>
          <w:lang w:val="en-US"/>
        </w:rPr>
        <w:t>Carc</w:t>
      </w:r>
      <w:proofErr w:type="spellEnd"/>
      <w:r w:rsidRPr="000B0009">
        <w:rPr>
          <w:lang w:val="en-US"/>
        </w:rPr>
        <w:t xml:space="preserve"> Cat 1B in a concentration of over 0.1% by weight, the waste needs to be classified as hazardous by HP 7.  Consequently, with a classification of TiO</w:t>
      </w:r>
      <w:r w:rsidRPr="000B0009">
        <w:rPr>
          <w:vertAlign w:val="subscript"/>
          <w:lang w:val="en-US"/>
        </w:rPr>
        <w:t>2</w:t>
      </w:r>
      <w:r w:rsidRPr="000B0009">
        <w:rPr>
          <w:lang w:val="en-US"/>
        </w:rPr>
        <w:t xml:space="preserve"> as carcinogenic the above-mentioned limit values would apply, and waste would need to be classified as hazardous if the relevant thresholds are exceeded.  Transboundary movement of wastes containing TiO</w:t>
      </w:r>
      <w:r w:rsidRPr="000B0009">
        <w:rPr>
          <w:vertAlign w:val="subscript"/>
          <w:lang w:val="en-US"/>
        </w:rPr>
        <w:t>2</w:t>
      </w:r>
      <w:r w:rsidRPr="000B0009">
        <w:rPr>
          <w:lang w:val="en-US"/>
        </w:rPr>
        <w:t xml:space="preserve"> might also be hindered under the Basel Convention and it can also be envisaged that if the use of TiO</w:t>
      </w:r>
      <w:r w:rsidRPr="000B0009">
        <w:rPr>
          <w:vertAlign w:val="subscript"/>
          <w:lang w:val="en-US"/>
        </w:rPr>
        <w:t>2</w:t>
      </w:r>
      <w:r w:rsidRPr="000B0009">
        <w:rPr>
          <w:lang w:val="en-US"/>
        </w:rPr>
        <w:t xml:space="preserve"> was severely restricted, the substance would likely be added to Annex I of Regulation (EU) No 649/2012 on export </w:t>
      </w:r>
      <w:r w:rsidRPr="000B0009">
        <w:rPr>
          <w:lang w:val="en-US"/>
        </w:rPr>
        <w:lastRenderedPageBreak/>
        <w:t xml:space="preserve">and import of hazardous chemicals.  Given its CLH </w:t>
      </w:r>
      <w:proofErr w:type="spellStart"/>
      <w:r w:rsidRPr="000B0009">
        <w:rPr>
          <w:lang w:val="en-US"/>
        </w:rPr>
        <w:t>harmonised</w:t>
      </w:r>
      <w:proofErr w:type="spellEnd"/>
      <w:r w:rsidRPr="000B0009">
        <w:rPr>
          <w:lang w:val="en-US"/>
        </w:rPr>
        <w:t xml:space="preserve"> classification, export of the substance would be hindered.</w:t>
      </w:r>
    </w:p>
    <w:p w:rsidR="000B0009" w:rsidRDefault="000B0009" w:rsidP="000B0009">
      <w:r>
        <w:t>Finally, national classification (for example, national rules on the protection of worker health and consumer health (e.g. the German ordinance on the ban of chemicals (</w:t>
      </w:r>
      <w:proofErr w:type="spellStart"/>
      <w:r>
        <w:t>Chemikalien-Verbotsverordnung</w:t>
      </w:r>
      <w:proofErr w:type="spellEnd"/>
      <w:r>
        <w:t xml:space="preserve">)) or the environment such as TA </w:t>
      </w:r>
      <w:proofErr w:type="spellStart"/>
      <w:r>
        <w:t>Luft</w:t>
      </w:r>
      <w:proofErr w:type="spellEnd"/>
      <w:r>
        <w:t xml:space="preserve"> in Germany</w:t>
      </w:r>
      <w:r>
        <w:rPr>
          <w:rStyle w:val="Funotenzeichen"/>
        </w:rPr>
        <w:footnoteReference w:id="4"/>
      </w:r>
      <w:r>
        <w:t>) would also come into play but these are not discussed here.</w:t>
      </w: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016"/>
      </w:tblGrid>
      <w:tr w:rsidR="000B0009" w:rsidRPr="000B0009" w:rsidTr="000B0009">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0009" w:rsidRDefault="000B0009">
            <w:pPr>
              <w:spacing w:line="276" w:lineRule="auto"/>
              <w:rPr>
                <w:b/>
              </w:rPr>
            </w:pPr>
            <w:r>
              <w:rPr>
                <w:b/>
              </w:rPr>
              <w:t>Carcinogenicity in general vs. carcinogenicity by inhalation</w:t>
            </w:r>
          </w:p>
          <w:p w:rsidR="000B0009" w:rsidRDefault="000B0009">
            <w:pPr>
              <w:spacing w:line="276" w:lineRule="auto"/>
            </w:pPr>
            <w:r>
              <w:t>European legislation regulating the use of an exposure to carcinogens generally does not distinguish between routes of exposure.  Therefore, whilst the French proposal for the classification of TiO</w:t>
            </w:r>
            <w:r>
              <w:rPr>
                <w:vertAlign w:val="subscript"/>
              </w:rPr>
              <w:t>2</w:t>
            </w:r>
            <w:r>
              <w:t xml:space="preserve"> specifically indicates that the substance be classified as a carcinogen by inhalation, the uptake of this classification by ‘consequent’ legislative requirements does not give due regard to the critical route of exposure (for instance, Entry 28 of Annex XVII of the REACH Regulation is not concerned with the route of exposure of consumers to substance classified as </w:t>
            </w:r>
            <w:proofErr w:type="spellStart"/>
            <w:r>
              <w:t>Carc</w:t>
            </w:r>
            <w:proofErr w:type="spellEnd"/>
            <w:r>
              <w:t xml:space="preserve"> Cat 1A/1B).</w:t>
            </w:r>
          </w:p>
          <w:p w:rsidR="000B0009" w:rsidRDefault="000B0009">
            <w:pPr>
              <w:spacing w:line="276" w:lineRule="auto"/>
            </w:pPr>
            <w:r>
              <w:t>Thus, also applications of the substance without any inhalation risk would nevertheless fall within the scope of restrictions arising from a multitude of legislative instruments.  It should be clear that in the vast majority of cases, TiO</w:t>
            </w:r>
            <w:r>
              <w:rPr>
                <w:vertAlign w:val="subscript"/>
              </w:rPr>
              <w:t>2</w:t>
            </w:r>
            <w:r>
              <w:t xml:space="preserve"> is used by the end user within a matrix, typically as a pigment in paints, plastics, inks, paper, rubber, construction products, ceramics, glass, etc. from which exposure to TiO</w:t>
            </w:r>
            <w:r>
              <w:rPr>
                <w:vertAlign w:val="subscript"/>
              </w:rPr>
              <w:t>2</w:t>
            </w:r>
            <w:r>
              <w:t xml:space="preserve"> via inhalation is either impossible or highly improbable.  It can be recognised that in some limited cases TiO</w:t>
            </w:r>
            <w:r>
              <w:rPr>
                <w:vertAlign w:val="subscript"/>
              </w:rPr>
              <w:t>2</w:t>
            </w:r>
            <w:r>
              <w:t xml:space="preserve"> lend itself to inhalation exposure (examples may include cosmetic powders or the spraying of cosmetic lotions such as sunscreens), however for these specific uses in cosmetics (e.g. as a UV filter in sunscreens), relevant safety assessments by authoritative bodies (e.g. SCCS) do exist and cover the inhalation risk.</w:t>
            </w:r>
          </w:p>
          <w:p w:rsidR="000B0009" w:rsidRDefault="000B0009">
            <w:pPr>
              <w:spacing w:line="276" w:lineRule="auto"/>
            </w:pPr>
            <w:r>
              <w:t xml:space="preserve">It is pertinent to note here the comments made by the International Paint and Printing Ink Council (IPPIC) to the public consultation on the French proposal.  IPPIC noted, </w:t>
            </w:r>
          </w:p>
          <w:p w:rsidR="000B0009" w:rsidRDefault="000B0009">
            <w:pPr>
              <w:spacing w:line="276" w:lineRule="auto"/>
            </w:pPr>
            <w:r>
              <w:t>“</w:t>
            </w:r>
            <w:r>
              <w:rPr>
                <w:i/>
              </w:rPr>
              <w:t>Categorical assertions of a low or no exposure condition and attendant dismissal of cancer hazard listings have been issued in the United States by California Office of Environmental Health Hazard Assessment (OEHHA) under its “Prop 65” regime. OEHHA uses the specific clarifying statement: “the (hazard) listing does not cover (the material) when it remains bound within a product matrix.” Similarly, the International Agency for Research on Cancer (IARC), in its Monographs on titanium dioxide, crystalline silica and carbon black, all widely used materials in formulated products, contain specific notes affirming that “exposure to [titanium dioxide, crystalline silica and/or carbon black] does not occur during the use of products in which [titanium dioxide, crystalline silica and/or carbon black] is bound to other materials, such as rubber, printing ink or paint</w:t>
            </w:r>
            <w:r>
              <w:t xml:space="preserve">” </w:t>
            </w:r>
            <w:sdt>
              <w:sdtPr>
                <w:id w:val="-1673713138"/>
                <w:citation/>
              </w:sdtPr>
              <w:sdtContent>
                <w:r>
                  <w:fldChar w:fldCharType="begin"/>
                </w:r>
                <w:r>
                  <w:instrText xml:space="preserve"> CITATION IPP16 \l 2057 </w:instrText>
                </w:r>
                <w:r>
                  <w:fldChar w:fldCharType="separate"/>
                </w:r>
                <w:r>
                  <w:rPr>
                    <w:noProof/>
                  </w:rPr>
                  <w:t>(IPPIC, 2016)</w:t>
                </w:r>
                <w:r>
                  <w:fldChar w:fldCharType="end"/>
                </w:r>
              </w:sdtContent>
            </w:sdt>
            <w:r>
              <w:t>.</w:t>
            </w:r>
          </w:p>
        </w:tc>
      </w:tr>
    </w:tbl>
    <w:p w:rsidR="000B0009" w:rsidRDefault="000B0009" w:rsidP="000B0009">
      <w:pPr>
        <w:rPr>
          <w:highlight w:val="cyan"/>
        </w:rPr>
      </w:pPr>
    </w:p>
    <w:p w:rsidR="000B0009" w:rsidRDefault="000B0009" w:rsidP="000B0009">
      <w:r>
        <w:t xml:space="preserve">The second driver behind the impacts that would arise from the proposed classification is the </w:t>
      </w:r>
      <w:r>
        <w:rPr>
          <w:b/>
        </w:rPr>
        <w:t>availability of alternatives</w:t>
      </w:r>
      <w:r>
        <w:t>.  There are four key points under this:</w:t>
      </w:r>
    </w:p>
    <w:p w:rsidR="000B0009" w:rsidRPr="000B0009" w:rsidRDefault="000B0009" w:rsidP="000B0009">
      <w:pPr>
        <w:pStyle w:val="Numbering"/>
        <w:rPr>
          <w:lang w:val="en-US"/>
        </w:rPr>
      </w:pPr>
      <w:r w:rsidRPr="000B0009">
        <w:rPr>
          <w:lang w:val="en-US"/>
        </w:rPr>
        <w:lastRenderedPageBreak/>
        <w:t>Due to its physicochemical properties (see Section 2 above), finding a drop-in replacement for TiO</w:t>
      </w:r>
      <w:r w:rsidRPr="000B0009">
        <w:rPr>
          <w:vertAlign w:val="subscript"/>
          <w:lang w:val="en-US"/>
        </w:rPr>
        <w:t>2</w:t>
      </w:r>
      <w:r w:rsidRPr="000B0009">
        <w:rPr>
          <w:lang w:val="en-US"/>
        </w:rPr>
        <w:t xml:space="preserve"> with equivalent technical performance would be impossible in the vast majority of its applications.  It is important to note that TiO</w:t>
      </w:r>
      <w:r w:rsidRPr="000B0009">
        <w:rPr>
          <w:vertAlign w:val="subscript"/>
          <w:lang w:val="en-US"/>
        </w:rPr>
        <w:t>2</w:t>
      </w:r>
      <w:r w:rsidRPr="000B0009">
        <w:rPr>
          <w:lang w:val="en-US"/>
        </w:rPr>
        <w:t xml:space="preserve"> was largely introduced to replace more hazardous heavy metal compounds.</w:t>
      </w:r>
    </w:p>
    <w:p w:rsidR="000B0009" w:rsidRPr="000B0009" w:rsidRDefault="000B0009" w:rsidP="000B0009">
      <w:pPr>
        <w:pStyle w:val="Numbering"/>
        <w:rPr>
          <w:lang w:val="en-US"/>
        </w:rPr>
      </w:pPr>
      <w:r w:rsidRPr="000B0009">
        <w:rPr>
          <w:lang w:val="en-US"/>
        </w:rPr>
        <w:t>Potential alternatives for TiO</w:t>
      </w:r>
      <w:r w:rsidRPr="000B0009">
        <w:rPr>
          <w:vertAlign w:val="subscript"/>
          <w:lang w:val="en-US"/>
        </w:rPr>
        <w:t>2</w:t>
      </w:r>
      <w:r w:rsidRPr="000B0009">
        <w:rPr>
          <w:lang w:val="en-US"/>
        </w:rPr>
        <w:t xml:space="preserve"> may not be accompanied by the same body of evidence on their hazards and risks across all relevant applications, particularly for applications such as food and pharmaceuticals.</w:t>
      </w:r>
    </w:p>
    <w:p w:rsidR="000B0009" w:rsidRPr="000B0009" w:rsidRDefault="000B0009" w:rsidP="000B0009">
      <w:pPr>
        <w:pStyle w:val="Numbering"/>
        <w:rPr>
          <w:lang w:val="en-US"/>
        </w:rPr>
      </w:pPr>
      <w:r w:rsidRPr="000B0009">
        <w:rPr>
          <w:lang w:val="en-US"/>
        </w:rPr>
        <w:t>TiO</w:t>
      </w:r>
      <w:r w:rsidRPr="000B0009">
        <w:rPr>
          <w:vertAlign w:val="subscript"/>
          <w:lang w:val="en-US"/>
        </w:rPr>
        <w:t>2</w:t>
      </w:r>
      <w:r w:rsidRPr="000B0009">
        <w:rPr>
          <w:lang w:val="en-US"/>
        </w:rPr>
        <w:t xml:space="preserve"> is currently being used in very large volumes; demand in Europe is estimated at ca. 1.2 million </w:t>
      </w:r>
      <w:proofErr w:type="spellStart"/>
      <w:r w:rsidRPr="000B0009">
        <w:rPr>
          <w:lang w:val="en-US"/>
        </w:rPr>
        <w:t>tonnes</w:t>
      </w:r>
      <w:proofErr w:type="spellEnd"/>
      <w:r w:rsidRPr="000B0009">
        <w:rPr>
          <w:lang w:val="en-US"/>
        </w:rPr>
        <w:t xml:space="preserve"> per year.  The market available of most of its alternatives is simply nowhere near as large as TiO</w:t>
      </w:r>
      <w:r w:rsidRPr="000B0009">
        <w:rPr>
          <w:vertAlign w:val="subscript"/>
          <w:lang w:val="en-US"/>
        </w:rPr>
        <w:t>2</w:t>
      </w:r>
      <w:r w:rsidRPr="000B0009">
        <w:rPr>
          <w:lang w:val="en-US"/>
        </w:rPr>
        <w:t>’s.  Most of the potential alternatives cannot demonstrate TiO</w:t>
      </w:r>
      <w:r w:rsidRPr="000B0009">
        <w:rPr>
          <w:vertAlign w:val="subscript"/>
          <w:lang w:val="en-US"/>
        </w:rPr>
        <w:t>2</w:t>
      </w:r>
      <w:r w:rsidRPr="000B0009">
        <w:rPr>
          <w:lang w:val="en-US"/>
        </w:rPr>
        <w:t>’s abundance that would allow for economical production.</w:t>
      </w:r>
    </w:p>
    <w:p w:rsidR="000B0009" w:rsidRPr="000B0009" w:rsidRDefault="000B0009" w:rsidP="000B0009">
      <w:pPr>
        <w:pStyle w:val="Numbering"/>
        <w:rPr>
          <w:lang w:val="en-US"/>
        </w:rPr>
      </w:pPr>
      <w:r w:rsidRPr="000B0009">
        <w:rPr>
          <w:lang w:val="en-US"/>
        </w:rPr>
        <w:t>The French proposal bases its arguments on carcinogenicity on the physical rather than the chemical properties of TiO</w:t>
      </w:r>
      <w:r w:rsidRPr="000B0009">
        <w:rPr>
          <w:vertAlign w:val="subscript"/>
          <w:lang w:val="en-US"/>
        </w:rPr>
        <w:t>2</w:t>
      </w:r>
      <w:r w:rsidRPr="000B0009">
        <w:rPr>
          <w:lang w:val="en-US"/>
        </w:rPr>
        <w:t>.  As a result, the justification for the classification, if accepted as valid, would by inference apply to all other poorly soluble powders.  This not only would raise potential impacts for those powders’ supply chains but it also renders many of the potential alternatives to TiO</w:t>
      </w:r>
      <w:r w:rsidRPr="000B0009">
        <w:rPr>
          <w:vertAlign w:val="subscript"/>
          <w:lang w:val="en-US"/>
        </w:rPr>
        <w:t>2</w:t>
      </w:r>
      <w:r w:rsidRPr="000B0009">
        <w:rPr>
          <w:lang w:val="en-US"/>
        </w:rPr>
        <w:t xml:space="preserve"> unsuitable for its replacement as they are poorly soluble powders themselves.  Therefore, their use would not reduce the (theoretical) risks to human health.</w:t>
      </w:r>
    </w:p>
    <w:p w:rsidR="000B0009" w:rsidRDefault="000B0009" w:rsidP="000B0009"/>
    <w:p w:rsidR="000B0009" w:rsidRDefault="000B0009" w:rsidP="000B0009">
      <w:r>
        <w:t>A more extensive analysis of the feasibility and availability of potential alternatives is provided in Annex 2 (Section 9) to this report.</w:t>
      </w:r>
    </w:p>
    <w:p w:rsidR="000B0009" w:rsidRDefault="000B0009" w:rsidP="000B0009">
      <w:r>
        <w:t xml:space="preserve">A third driver behind the impacts arising from the proposed classification is </w:t>
      </w:r>
      <w:r>
        <w:rPr>
          <w:b/>
        </w:rPr>
        <w:t>market developments</w:t>
      </w:r>
      <w:r>
        <w:t>, which generally are difficult to predict.  The potential loss of TiO</w:t>
      </w:r>
      <w:r>
        <w:rPr>
          <w:vertAlign w:val="subscript"/>
        </w:rPr>
        <w:t>2</w:t>
      </w:r>
      <w:r>
        <w:t>, a very important component in a multitude of products, will prompt many companies to review their product portfolios when planning for the future.  Several stakeholders have suggested that manufacturing outside the EEA where the carcinogenicity classification for TiO</w:t>
      </w:r>
      <w:r>
        <w:rPr>
          <w:vertAlign w:val="subscript"/>
        </w:rPr>
        <w:t>2</w:t>
      </w:r>
      <w:r>
        <w:t xml:space="preserve"> would not apply would become more attractive.  </w:t>
      </w:r>
    </w:p>
    <w:p w:rsidR="000B0009" w:rsidRDefault="000B0009" w:rsidP="000B0009">
      <w:r>
        <w:t xml:space="preserve">A fourth driver would be </w:t>
      </w:r>
      <w:r>
        <w:rPr>
          <w:b/>
        </w:rPr>
        <w:t>user and consumer perceptions</w:t>
      </w:r>
      <w:r>
        <w:t xml:space="preserve"> and the likely confusion that the classification could cause as well as any regulatory measures to be subsequently taken.  Firstly, in the mind of consumers (and probably many users) the classification of TiO</w:t>
      </w:r>
      <w:r>
        <w:rPr>
          <w:vertAlign w:val="subscript"/>
        </w:rPr>
        <w:t>2</w:t>
      </w:r>
      <w:r>
        <w:t xml:space="preserve"> as a carcinogen would likely be dissociated from the importance of the route of exposure and the substance would be tarnished as a carcinogen irrespective of the actual level of risk across its different applications.  On the other hand, if the use of TiO</w:t>
      </w:r>
      <w:r>
        <w:rPr>
          <w:vertAlign w:val="subscript"/>
        </w:rPr>
        <w:t>2</w:t>
      </w:r>
      <w:r>
        <w:t xml:space="preserve"> continues as a result of derogations for applications such as pharmaceuticals, food, cosmetics, etc., the consumers would find it perverse that a carcinogen could be present in such products and may avoid consuming or using them.   This uncertainty and confusion might damage the confidence users and consumers have in health protection rules and government decision-making.</w:t>
      </w:r>
    </w:p>
    <w:p w:rsidR="000B0009" w:rsidRDefault="000B0009" w:rsidP="000B0009">
      <w:r>
        <w:t>Finally, the classification of TiO</w:t>
      </w:r>
      <w:r>
        <w:rPr>
          <w:vertAlign w:val="subscript"/>
        </w:rPr>
        <w:t>2</w:t>
      </w:r>
      <w:r>
        <w:t xml:space="preserve"> would pave the way to the potential classification of other poorly soluble substances in the form of respirable powders that could be considered to cause lung overload.  Such classification would lead to another set of </w:t>
      </w:r>
      <w:r>
        <w:rPr>
          <w:b/>
        </w:rPr>
        <w:t>indirect impacts</w:t>
      </w:r>
      <w:r>
        <w:t>.</w:t>
      </w:r>
    </w:p>
    <w:p w:rsidR="000B0009" w:rsidRDefault="000B0009" w:rsidP="000B0009">
      <w:pPr>
        <w:pStyle w:val="berschrift3"/>
        <w:rPr>
          <w:b/>
          <w:bCs/>
        </w:rPr>
      </w:pPr>
      <w:bookmarkStart w:id="11" w:name="_Toc470188641"/>
      <w:bookmarkStart w:id="12" w:name="_Ref465946563"/>
      <w:r>
        <w:rPr>
          <w:b/>
          <w:bCs/>
        </w:rPr>
        <w:t>Basis of analysis of impacts from the proposed classification</w:t>
      </w:r>
      <w:bookmarkEnd w:id="11"/>
      <w:bookmarkEnd w:id="12"/>
    </w:p>
    <w:p w:rsidR="000B0009" w:rsidRDefault="000B0009" w:rsidP="000B0009">
      <w:pPr>
        <w:pStyle w:val="berschrift4"/>
      </w:pPr>
      <w:r>
        <w:t>Impacts on consumer markets from the proposed hazard classification</w:t>
      </w:r>
    </w:p>
    <w:p w:rsidR="000B0009" w:rsidRDefault="000B0009" w:rsidP="000B0009">
      <w:r>
        <w:t>Sections 4.5 and 4.6 discuss the potential impacts on the downstream users of TiO</w:t>
      </w:r>
      <w:r>
        <w:rPr>
          <w:vertAlign w:val="subscript"/>
        </w:rPr>
        <w:t>2</w:t>
      </w:r>
      <w:r>
        <w:t xml:space="preserve"> from the proposed classification.  In relation to consumer uses of TiO</w:t>
      </w:r>
      <w:r>
        <w:rPr>
          <w:vertAlign w:val="subscript"/>
        </w:rPr>
        <w:t>2</w:t>
      </w:r>
      <w:r>
        <w:t xml:space="preserve"> and its formulations, a summary table can be generated, </w:t>
      </w:r>
      <w:r>
        <w:rPr>
          <w:b/>
        </w:rPr>
        <w:fldChar w:fldCharType="begin"/>
      </w:r>
      <w:r>
        <w:rPr>
          <w:b/>
        </w:rPr>
        <w:instrText xml:space="preserve"> REF _Ref465762807 \h  \* MERGEFORMAT </w:instrText>
      </w:r>
      <w:r>
        <w:rPr>
          <w:b/>
        </w:rPr>
      </w:r>
      <w:r>
        <w:rPr>
          <w:b/>
        </w:rPr>
        <w:fldChar w:fldCharType="separate"/>
      </w:r>
      <w:r>
        <w:rPr>
          <w:b/>
        </w:rPr>
        <w:t xml:space="preserve">Table </w:t>
      </w:r>
      <w:r>
        <w:rPr>
          <w:b/>
          <w:noProof/>
        </w:rPr>
        <w:t>4</w:t>
      </w:r>
      <w:r>
        <w:rPr>
          <w:b/>
        </w:rPr>
        <w:t>–</w:t>
      </w:r>
      <w:r>
        <w:rPr>
          <w:b/>
          <w:noProof/>
        </w:rPr>
        <w:t>3</w:t>
      </w:r>
      <w:r>
        <w:rPr>
          <w:b/>
        </w:rPr>
        <w:fldChar w:fldCharType="end"/>
      </w:r>
      <w:r>
        <w:t>.  The following key points can be made:</w:t>
      </w:r>
    </w:p>
    <w:p w:rsidR="000B0009" w:rsidRPr="000B0009" w:rsidRDefault="000B0009" w:rsidP="000B0009">
      <w:pPr>
        <w:pStyle w:val="Bulletlist"/>
        <w:numPr>
          <w:ilvl w:val="0"/>
          <w:numId w:val="3"/>
        </w:numPr>
        <w:rPr>
          <w:lang w:val="en-US"/>
        </w:rPr>
      </w:pPr>
      <w:r w:rsidRPr="000B0009">
        <w:rPr>
          <w:lang w:val="en-US"/>
        </w:rPr>
        <w:t>Under the provisions of the REACH Regulation, Annex XVII Entry 28, TiO</w:t>
      </w:r>
      <w:r w:rsidRPr="000B0009">
        <w:rPr>
          <w:vertAlign w:val="subscript"/>
          <w:lang w:val="en-US"/>
        </w:rPr>
        <w:t>2</w:t>
      </w:r>
      <w:r w:rsidRPr="000B0009">
        <w:rPr>
          <w:lang w:val="en-US"/>
        </w:rPr>
        <w:t xml:space="preserve"> and its formulations could no longer be placed on the market, whether these are manufactured within or outside the EEA.  </w:t>
      </w:r>
      <w:r w:rsidRPr="000B0009">
        <w:rPr>
          <w:lang w:val="en-US"/>
        </w:rPr>
        <w:lastRenderedPageBreak/>
        <w:t xml:space="preserve">This requirement essentially eliminates the extensive DIY market for paints, coatings, adhesives, sealants, fillers, inks, </w:t>
      </w:r>
      <w:proofErr w:type="spellStart"/>
      <w:r w:rsidRPr="000B0009">
        <w:rPr>
          <w:lang w:val="en-US"/>
        </w:rPr>
        <w:t>colours</w:t>
      </w:r>
      <w:proofErr w:type="spellEnd"/>
      <w:r w:rsidRPr="000B0009">
        <w:rPr>
          <w:lang w:val="en-US"/>
        </w:rPr>
        <w:t>, correction fluids, detergents;</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 xml:space="preserve">Several other applications would require industry to successfully secure a derogation or exemption, for instance in cosmetics, food/pharmaceuticals, medical devices, biocides.  It is believed that in some cases (food/pharmaceuticals/medical devices) the absence of approved alternatives and the absence of any/significant inhalation exposure might </w:t>
      </w:r>
      <w:proofErr w:type="spellStart"/>
      <w:r w:rsidRPr="000B0009">
        <w:rPr>
          <w:lang w:val="en-US"/>
        </w:rPr>
        <w:t>favour</w:t>
      </w:r>
      <w:proofErr w:type="spellEnd"/>
      <w:r w:rsidRPr="000B0009">
        <w:rPr>
          <w:lang w:val="en-US"/>
        </w:rPr>
        <w:t xml:space="preserve"> continued use.  In other cases (cosmetics/biocides), securing an exemption might be a more challenging task; and</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Beyond the impact of regulatory requirements, given the ubiquity of TiO</w:t>
      </w:r>
      <w:r w:rsidRPr="000B0009">
        <w:rPr>
          <w:vertAlign w:val="subscript"/>
          <w:lang w:val="en-US"/>
        </w:rPr>
        <w:t>2</w:t>
      </w:r>
      <w:r w:rsidRPr="000B0009">
        <w:rPr>
          <w:lang w:val="en-US"/>
        </w:rPr>
        <w:t xml:space="preserve"> in all aspects of consumer, public and personal life (food, medicines, packaging, medical devices, furniture and flooring, printed material and wallpaper, ceramics and tableware, glass, to name only a few), the proposed classification would likely have a severe impact on consumer perception on the safety of products that contain TiO</w:t>
      </w:r>
      <w:r w:rsidRPr="000B0009">
        <w:rPr>
          <w:vertAlign w:val="subscript"/>
          <w:lang w:val="en-US"/>
        </w:rPr>
        <w:t>2</w:t>
      </w:r>
      <w:r w:rsidRPr="000B0009">
        <w:rPr>
          <w:lang w:val="en-US"/>
        </w:rPr>
        <w:t xml:space="preserve"> and would significantly impact upon their sales in the EEA, as shown </w:t>
      </w:r>
      <w:r>
        <w:rPr>
          <w:b/>
        </w:rPr>
        <w:fldChar w:fldCharType="begin"/>
      </w:r>
      <w:r w:rsidRPr="000B0009">
        <w:rPr>
          <w:b/>
          <w:lang w:val="en-US"/>
        </w:rPr>
        <w:instrText xml:space="preserve"> REF _Ref465762807 \h  \* MERGEFORMAT </w:instrText>
      </w:r>
      <w:r>
        <w:rPr>
          <w:b/>
        </w:rPr>
      </w:r>
      <w:r>
        <w:rPr>
          <w:b/>
        </w:rPr>
        <w:fldChar w:fldCharType="separate"/>
      </w:r>
      <w:r w:rsidRPr="000B0009">
        <w:rPr>
          <w:b/>
          <w:lang w:val="en-US"/>
        </w:rPr>
        <w:t xml:space="preserve">Table </w:t>
      </w:r>
      <w:r w:rsidRPr="000B0009">
        <w:rPr>
          <w:b/>
          <w:noProof/>
          <w:lang w:val="en-US"/>
        </w:rPr>
        <w:t>4</w:t>
      </w:r>
      <w:r w:rsidRPr="000B0009">
        <w:rPr>
          <w:b/>
          <w:lang w:val="en-US"/>
        </w:rPr>
        <w:t>–</w:t>
      </w:r>
      <w:r w:rsidRPr="000B0009">
        <w:rPr>
          <w:b/>
          <w:noProof/>
          <w:lang w:val="en-US"/>
        </w:rPr>
        <w:t>3</w:t>
      </w:r>
      <w:r>
        <w:rPr>
          <w:b/>
        </w:rPr>
        <w:fldChar w:fldCharType="end"/>
      </w:r>
      <w:r w:rsidRPr="000B0009">
        <w:rPr>
          <w:lang w:val="en-US"/>
        </w:rPr>
        <w:t xml:space="preserve">.  </w:t>
      </w:r>
    </w:p>
    <w:p w:rsidR="000B0009" w:rsidRDefault="000B0009" w:rsidP="000B0009">
      <w:r>
        <w:t>As a result, it can be estimated that the direct regulatory impact on consumer uses of TiO</w:t>
      </w:r>
      <w:r>
        <w:rPr>
          <w:vertAlign w:val="subscript"/>
        </w:rPr>
        <w:t>2</w:t>
      </w:r>
      <w:r>
        <w:t xml:space="preserve"> from the proposed classification of </w:t>
      </w:r>
      <w:proofErr w:type="spellStart"/>
      <w:r>
        <w:t>Carc</w:t>
      </w:r>
      <w:proofErr w:type="spellEnd"/>
      <w:r>
        <w:t xml:space="preserve"> Cat 1B would be the </w:t>
      </w:r>
      <w:r>
        <w:rPr>
          <w:b/>
        </w:rPr>
        <w:t>loss of ca. 25% of current total TiO</w:t>
      </w:r>
      <w:r>
        <w:rPr>
          <w:b/>
          <w:vertAlign w:val="subscript"/>
        </w:rPr>
        <w:t>2</w:t>
      </w:r>
      <w:r>
        <w:rPr>
          <w:b/>
        </w:rPr>
        <w:t xml:space="preserve"> demand in the EEA</w:t>
      </w:r>
      <w:r>
        <w:t xml:space="preserve">.  If market losses through negative consumer perceptions are taken into account, as well as losses associated with the inability to meet the criteria of schemes like the Ecolabel, the overall loss would be much higher and would likely </w:t>
      </w:r>
      <w:r>
        <w:rPr>
          <w:b/>
        </w:rPr>
        <w:t>exceed one-third</w:t>
      </w:r>
      <w:r>
        <w:t xml:space="preserve"> </w:t>
      </w:r>
      <w:r>
        <w:rPr>
          <w:b/>
        </w:rPr>
        <w:t>of current total TiO</w:t>
      </w:r>
      <w:r>
        <w:rPr>
          <w:b/>
          <w:vertAlign w:val="subscript"/>
        </w:rPr>
        <w:t>2</w:t>
      </w:r>
      <w:r>
        <w:rPr>
          <w:b/>
        </w:rPr>
        <w:t xml:space="preserve"> demand in the EEA</w:t>
      </w:r>
      <w:r>
        <w:t xml:space="preserve">. </w:t>
      </w:r>
    </w:p>
    <w:p w:rsidR="000B0009" w:rsidRDefault="000B0009" w:rsidP="000B0009">
      <w:pPr>
        <w:spacing w:after="0"/>
        <w:jc w:val="left"/>
        <w:sectPr w:rsidR="000B0009">
          <w:pgSz w:w="11906" w:h="16838"/>
          <w:pgMar w:top="1418" w:right="1440" w:bottom="851" w:left="1440" w:header="708"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614"/>
        <w:gridCol w:w="1919"/>
        <w:gridCol w:w="2335"/>
        <w:gridCol w:w="1919"/>
        <w:gridCol w:w="2198"/>
        <w:gridCol w:w="2195"/>
        <w:gridCol w:w="2379"/>
      </w:tblGrid>
      <w:tr w:rsidR="000B0009" w:rsidRPr="000B0009" w:rsidTr="000B0009">
        <w:trPr>
          <w:cantSplit/>
          <w:trHeight w:val="255"/>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pStyle w:val="Beschriftung"/>
              <w:keepNext w:val="0"/>
              <w:spacing w:line="276" w:lineRule="auto"/>
              <w:jc w:val="left"/>
              <w:rPr>
                <w:color w:val="FFFFFF" w:themeColor="background1"/>
              </w:rPr>
            </w:pPr>
            <w:bookmarkStart w:id="13" w:name="_Ref465762807"/>
            <w:r>
              <w:rPr>
                <w:color w:val="FFFFFF" w:themeColor="background1"/>
              </w:rPr>
              <w:lastRenderedPageBreak/>
              <w:t xml:space="preserve">Table </w:t>
            </w:r>
            <w:r>
              <w:fldChar w:fldCharType="begin"/>
            </w:r>
            <w:r>
              <w:rPr>
                <w:color w:val="FFFFFF" w:themeColor="background1"/>
              </w:rPr>
              <w:instrText xml:space="preserve"> STYLEREF 1 \s </w:instrText>
            </w:r>
            <w:r>
              <w:fldChar w:fldCharType="separate"/>
            </w:r>
            <w:r>
              <w:rPr>
                <w:noProof/>
                <w:color w:val="FFFFFF" w:themeColor="background1"/>
              </w:rPr>
              <w:t>4</w:t>
            </w:r>
            <w:r>
              <w:fldChar w:fldCharType="end"/>
            </w:r>
            <w:r>
              <w:rPr>
                <w:color w:val="FFFFFF" w:themeColor="background1"/>
              </w:rPr>
              <w:t>–</w:t>
            </w:r>
            <w:r>
              <w:fldChar w:fldCharType="begin"/>
            </w:r>
            <w:r>
              <w:rPr>
                <w:color w:val="FFFFFF" w:themeColor="background1"/>
              </w:rPr>
              <w:instrText xml:space="preserve"> SEQ Table \* ARABIC \s 1 </w:instrText>
            </w:r>
            <w:r>
              <w:fldChar w:fldCharType="separate"/>
            </w:r>
            <w:r>
              <w:rPr>
                <w:noProof/>
                <w:color w:val="FFFFFF" w:themeColor="background1"/>
              </w:rPr>
              <w:t>3</w:t>
            </w:r>
            <w:r>
              <w:fldChar w:fldCharType="end"/>
            </w:r>
            <w:bookmarkEnd w:id="13"/>
            <w:r>
              <w:rPr>
                <w:color w:val="FFFFFF" w:themeColor="background1"/>
              </w:rPr>
              <w:t>:  Basis for estimating consumer market losses  following the implementation of the proposed classification for TiO</w:t>
            </w:r>
            <w:r>
              <w:rPr>
                <w:color w:val="FFFFFF" w:themeColor="background1"/>
                <w:vertAlign w:val="subscript"/>
              </w:rPr>
              <w:t>2</w:t>
            </w:r>
          </w:p>
        </w:tc>
      </w:tr>
      <w:tr w:rsidR="000B0009" w:rsidRPr="000B0009" w:rsidTr="000B0009">
        <w:trPr>
          <w:cantSplit/>
          <w:trHeight w:val="255"/>
          <w:tblHeader/>
        </w:trPr>
        <w:tc>
          <w:tcPr>
            <w:tcW w:w="554" w:type="pct"/>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pStyle w:val="Table"/>
              <w:spacing w:line="276" w:lineRule="auto"/>
              <w:jc w:val="left"/>
              <w:rPr>
                <w:b/>
                <w:color w:val="FFFFFF" w:themeColor="background1"/>
              </w:rPr>
            </w:pPr>
            <w:proofErr w:type="spellStart"/>
            <w:r>
              <w:rPr>
                <w:b/>
                <w:color w:val="FFFFFF" w:themeColor="background1"/>
              </w:rPr>
              <w:t>Application</w:t>
            </w:r>
            <w:proofErr w:type="spellEnd"/>
            <w:r>
              <w:rPr>
                <w:b/>
                <w:color w:val="FFFFFF" w:themeColor="background1"/>
              </w:rPr>
              <w:t xml:space="preserve"> </w:t>
            </w:r>
            <w:proofErr w:type="spellStart"/>
            <w:r>
              <w:rPr>
                <w:b/>
                <w:color w:val="FFFFFF" w:themeColor="background1"/>
              </w:rPr>
              <w:t>area</w:t>
            </w:r>
            <w:proofErr w:type="spellEnd"/>
          </w:p>
        </w:tc>
        <w:tc>
          <w:tcPr>
            <w:tcW w:w="659" w:type="pct"/>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pStyle w:val="Table"/>
              <w:spacing w:line="276" w:lineRule="auto"/>
              <w:jc w:val="center"/>
              <w:rPr>
                <w:b/>
                <w:color w:val="FFFFFF" w:themeColor="background1"/>
              </w:rPr>
            </w:pPr>
            <w:r>
              <w:rPr>
                <w:b/>
                <w:color w:val="FFFFFF" w:themeColor="background1"/>
              </w:rPr>
              <w:t xml:space="preserve">% </w:t>
            </w:r>
            <w:proofErr w:type="spellStart"/>
            <w:r>
              <w:rPr>
                <w:b/>
                <w:color w:val="FFFFFF" w:themeColor="background1"/>
              </w:rPr>
              <w:t>of</w:t>
            </w:r>
            <w:proofErr w:type="spellEnd"/>
            <w:r>
              <w:rPr>
                <w:b/>
                <w:color w:val="FFFFFF" w:themeColor="background1"/>
              </w:rPr>
              <w:t xml:space="preserve"> TiO</w:t>
            </w:r>
            <w:r>
              <w:rPr>
                <w:b/>
                <w:color w:val="FFFFFF" w:themeColor="background1"/>
                <w:vertAlign w:val="subscript"/>
              </w:rPr>
              <w:t>2</w:t>
            </w:r>
            <w:r>
              <w:rPr>
                <w:b/>
                <w:color w:val="FFFFFF" w:themeColor="background1"/>
              </w:rPr>
              <w:t xml:space="preserve"> </w:t>
            </w:r>
            <w:proofErr w:type="spellStart"/>
            <w:r>
              <w:rPr>
                <w:b/>
                <w:color w:val="FFFFFF" w:themeColor="background1"/>
              </w:rPr>
              <w:t>demand</w:t>
            </w:r>
            <w:proofErr w:type="spellEnd"/>
            <w:r>
              <w:rPr>
                <w:b/>
                <w:color w:val="FFFFFF" w:themeColor="background1"/>
              </w:rPr>
              <w:t>*</w:t>
            </w:r>
          </w:p>
        </w:tc>
        <w:tc>
          <w:tcPr>
            <w:tcW w:w="802" w:type="pct"/>
            <w:tcBorders>
              <w:top w:val="single" w:sz="4" w:space="0" w:color="auto"/>
              <w:left w:val="single" w:sz="4" w:space="0" w:color="auto"/>
              <w:bottom w:val="single" w:sz="4" w:space="0" w:color="auto"/>
              <w:right w:val="nil"/>
            </w:tcBorders>
            <w:shd w:val="clear" w:color="auto" w:fill="569BBE"/>
            <w:vAlign w:val="center"/>
            <w:hideMark/>
          </w:tcPr>
          <w:p w:rsidR="000B0009" w:rsidRDefault="000B0009">
            <w:pPr>
              <w:pStyle w:val="Table"/>
              <w:spacing w:line="276" w:lineRule="auto"/>
              <w:jc w:val="center"/>
              <w:rPr>
                <w:b/>
                <w:color w:val="FFFFFF" w:themeColor="background1"/>
              </w:rPr>
            </w:pPr>
            <w:r>
              <w:rPr>
                <w:b/>
                <w:color w:val="FFFFFF" w:themeColor="background1"/>
              </w:rPr>
              <w:t xml:space="preserve">Consumer </w:t>
            </w:r>
            <w:proofErr w:type="spellStart"/>
            <w:r>
              <w:rPr>
                <w:b/>
                <w:color w:val="FFFFFF" w:themeColor="background1"/>
              </w:rPr>
              <w:t>use</w:t>
            </w:r>
            <w:proofErr w:type="spellEnd"/>
            <w:r>
              <w:rPr>
                <w:b/>
                <w:color w:val="FFFFFF" w:themeColor="background1"/>
              </w:rPr>
              <w:t xml:space="preserve"> </w:t>
            </w:r>
          </w:p>
        </w:tc>
        <w:tc>
          <w:tcPr>
            <w:tcW w:w="659" w:type="pct"/>
            <w:tcBorders>
              <w:top w:val="single" w:sz="4" w:space="0" w:color="auto"/>
              <w:left w:val="single" w:sz="4" w:space="0" w:color="auto"/>
              <w:bottom w:val="single" w:sz="4" w:space="0" w:color="auto"/>
              <w:right w:val="nil"/>
            </w:tcBorders>
            <w:shd w:val="clear" w:color="auto" w:fill="569BBE"/>
            <w:vAlign w:val="center"/>
            <w:hideMark/>
          </w:tcPr>
          <w:p w:rsidR="000B0009" w:rsidRPr="000B0009" w:rsidRDefault="000B0009">
            <w:pPr>
              <w:pStyle w:val="Table"/>
              <w:spacing w:line="276" w:lineRule="auto"/>
              <w:jc w:val="center"/>
              <w:rPr>
                <w:b/>
                <w:color w:val="FFFFFF" w:themeColor="background1"/>
                <w:lang w:val="en-US"/>
              </w:rPr>
            </w:pPr>
            <w:r w:rsidRPr="000B0009">
              <w:rPr>
                <w:b/>
                <w:color w:val="FFFFFF" w:themeColor="background1"/>
                <w:lang w:val="en-US"/>
              </w:rPr>
              <w:t>Consumer use of formulations or articles</w:t>
            </w:r>
          </w:p>
        </w:tc>
        <w:tc>
          <w:tcPr>
            <w:tcW w:w="755" w:type="pct"/>
            <w:tcBorders>
              <w:top w:val="single" w:sz="4" w:space="0" w:color="auto"/>
              <w:left w:val="single" w:sz="4" w:space="0" w:color="auto"/>
              <w:bottom w:val="single" w:sz="4" w:space="0" w:color="auto"/>
              <w:right w:val="nil"/>
            </w:tcBorders>
            <w:shd w:val="clear" w:color="auto" w:fill="569BBE"/>
            <w:vAlign w:val="center"/>
            <w:hideMark/>
          </w:tcPr>
          <w:p w:rsidR="000B0009" w:rsidRPr="000B0009" w:rsidRDefault="000B0009">
            <w:pPr>
              <w:pStyle w:val="Table"/>
              <w:spacing w:line="276" w:lineRule="auto"/>
              <w:jc w:val="center"/>
              <w:rPr>
                <w:b/>
                <w:color w:val="FFFFFF" w:themeColor="background1"/>
                <w:lang w:val="en-US"/>
              </w:rPr>
            </w:pPr>
            <w:r w:rsidRPr="000B0009">
              <w:rPr>
                <w:b/>
                <w:color w:val="FFFFFF" w:themeColor="background1"/>
                <w:lang w:val="en-US"/>
              </w:rPr>
              <w:t>Immediate market impacts on consumer products</w:t>
            </w:r>
          </w:p>
        </w:tc>
        <w:tc>
          <w:tcPr>
            <w:tcW w:w="754" w:type="pct"/>
            <w:tcBorders>
              <w:top w:val="single" w:sz="4" w:space="0" w:color="auto"/>
              <w:left w:val="single" w:sz="4" w:space="0" w:color="auto"/>
              <w:bottom w:val="single" w:sz="4" w:space="0" w:color="auto"/>
              <w:right w:val="nil"/>
            </w:tcBorders>
            <w:shd w:val="clear" w:color="auto" w:fill="569BBE"/>
            <w:hideMark/>
          </w:tcPr>
          <w:p w:rsidR="000B0009" w:rsidRPr="000B0009" w:rsidRDefault="000B0009">
            <w:pPr>
              <w:pStyle w:val="Table"/>
              <w:spacing w:line="276" w:lineRule="auto"/>
              <w:jc w:val="center"/>
              <w:rPr>
                <w:b/>
                <w:color w:val="FFFFFF" w:themeColor="background1"/>
                <w:lang w:val="en-US"/>
              </w:rPr>
            </w:pPr>
            <w:r w:rsidRPr="000B0009">
              <w:rPr>
                <w:b/>
                <w:color w:val="FFFFFF" w:themeColor="background1"/>
                <w:lang w:val="en-US"/>
              </w:rPr>
              <w:t>TiO</w:t>
            </w:r>
            <w:r w:rsidRPr="000B0009">
              <w:rPr>
                <w:b/>
                <w:color w:val="FFFFFF" w:themeColor="background1"/>
                <w:vertAlign w:val="subscript"/>
                <w:lang w:val="en-US"/>
              </w:rPr>
              <w:t>2</w:t>
            </w:r>
            <w:r w:rsidRPr="000B0009">
              <w:rPr>
                <w:b/>
                <w:color w:val="FFFFFF" w:themeColor="background1"/>
                <w:lang w:val="en-US"/>
              </w:rPr>
              <w:t xml:space="preserve"> market share loss due to regulatory requirements</w:t>
            </w:r>
          </w:p>
        </w:tc>
        <w:tc>
          <w:tcPr>
            <w:tcW w:w="818" w:type="pct"/>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Pr="000B0009" w:rsidRDefault="000B0009">
            <w:pPr>
              <w:pStyle w:val="Table"/>
              <w:spacing w:line="276" w:lineRule="auto"/>
              <w:jc w:val="center"/>
              <w:rPr>
                <w:b/>
                <w:color w:val="FFFFFF" w:themeColor="background1"/>
                <w:lang w:val="en-US"/>
              </w:rPr>
            </w:pPr>
            <w:r w:rsidRPr="000B0009">
              <w:rPr>
                <w:b/>
                <w:color w:val="FFFFFF" w:themeColor="background1"/>
                <w:lang w:val="en-US"/>
              </w:rPr>
              <w:t>Potential for consumer market losses as a result</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tabs>
                <w:tab w:val="left" w:pos="3131"/>
              </w:tabs>
              <w:spacing w:line="276" w:lineRule="auto"/>
              <w:jc w:val="left"/>
              <w:rPr>
                <w:szCs w:val="20"/>
              </w:rPr>
            </w:pPr>
            <w:proofErr w:type="spellStart"/>
            <w:r>
              <w:rPr>
                <w:szCs w:val="20"/>
              </w:rPr>
              <w:t>Paints</w:t>
            </w:r>
            <w:proofErr w:type="spellEnd"/>
            <w:r>
              <w:rPr>
                <w:szCs w:val="20"/>
              </w:rPr>
              <w:t xml:space="preserve"> &amp; </w:t>
            </w:r>
            <w:proofErr w:type="spellStart"/>
            <w:r>
              <w:rPr>
                <w:szCs w:val="20"/>
              </w:rPr>
              <w:t>coatings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53% in total</w:t>
            </w:r>
          </w:p>
          <w:p w:rsidR="000B0009" w:rsidRDefault="000B0009">
            <w:pPr>
              <w:pStyle w:val="Table"/>
              <w:spacing w:line="276" w:lineRule="auto"/>
              <w:jc w:val="center"/>
              <w:rPr>
                <w:szCs w:val="20"/>
              </w:rPr>
            </w:pPr>
            <w:r>
              <w:rPr>
                <w:szCs w:val="20"/>
              </w:rPr>
              <w:t xml:space="preserve">36%: </w:t>
            </w:r>
            <w:proofErr w:type="spellStart"/>
            <w:r>
              <w:rPr>
                <w:szCs w:val="20"/>
              </w:rPr>
              <w:t>architectural</w:t>
            </w:r>
            <w:proofErr w:type="spellEnd"/>
          </w:p>
          <w:p w:rsidR="000B0009" w:rsidRDefault="000B0009">
            <w:pPr>
              <w:pStyle w:val="Table"/>
              <w:spacing w:line="276" w:lineRule="auto"/>
              <w:jc w:val="center"/>
              <w:rPr>
                <w:szCs w:val="20"/>
              </w:rPr>
            </w:pPr>
            <w:r>
              <w:rPr>
                <w:szCs w:val="20"/>
              </w:rPr>
              <w:t xml:space="preserve">17%: </w:t>
            </w:r>
            <w:proofErr w:type="spellStart"/>
            <w:r>
              <w:rPr>
                <w:szCs w:val="20"/>
              </w:rPr>
              <w:t>industrial</w:t>
            </w:r>
            <w:proofErr w:type="spellEnd"/>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56% of architectural**,</w:t>
            </w:r>
          </w:p>
          <w:p w:rsidR="000B0009" w:rsidRPr="000B0009" w:rsidRDefault="000B0009">
            <w:pPr>
              <w:pStyle w:val="Table"/>
              <w:spacing w:line="276" w:lineRule="auto"/>
              <w:jc w:val="center"/>
              <w:rPr>
                <w:szCs w:val="20"/>
                <w:lang w:val="en-US"/>
              </w:rPr>
            </w:pPr>
            <w:r w:rsidRPr="000B0009">
              <w:rPr>
                <w:szCs w:val="20"/>
                <w:lang w:val="en-US"/>
              </w:rPr>
              <w:t xml:space="preserve"> i.e. 20% of total demand</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Formulations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REACH Regulation </w:t>
            </w:r>
            <w:r>
              <w:rPr>
                <w:szCs w:val="20"/>
              </w:rPr>
              <w:sym w:font="Wingdings" w:char="F0E0"/>
            </w:r>
            <w:r w:rsidRPr="000B0009">
              <w:rPr>
                <w:szCs w:val="20"/>
                <w:lang w:val="en-US"/>
              </w:rPr>
              <w:t xml:space="preserve"> DIY paints no longer placed on market (only dark blue and black would not be impacted, 80-90% of DIY paints affected)</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Up</w:t>
            </w:r>
            <w:proofErr w:type="spellEnd"/>
            <w:r>
              <w:rPr>
                <w:szCs w:val="20"/>
              </w:rPr>
              <w:t xml:space="preserve"> </w:t>
            </w:r>
            <w:proofErr w:type="spellStart"/>
            <w:r>
              <w:rPr>
                <w:szCs w:val="20"/>
              </w:rPr>
              <w:t>to</w:t>
            </w:r>
            <w:proofErr w:type="spellEnd"/>
            <w:r>
              <w:rPr>
                <w:szCs w:val="20"/>
              </w:rPr>
              <w:t xml:space="preserve"> 20%</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See on the left; market would be lost</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r>
              <w:rPr>
                <w:szCs w:val="20"/>
              </w:rPr>
              <w:t>Plastics</w:t>
            </w:r>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25%</w:t>
            </w:r>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60-70%, </w:t>
            </w:r>
          </w:p>
          <w:p w:rsidR="000B0009" w:rsidRPr="000B0009" w:rsidRDefault="000B0009">
            <w:pPr>
              <w:pStyle w:val="Table"/>
              <w:spacing w:line="276" w:lineRule="auto"/>
              <w:jc w:val="center"/>
              <w:rPr>
                <w:szCs w:val="20"/>
                <w:lang w:val="en-US"/>
              </w:rPr>
            </w:pPr>
            <w:r w:rsidRPr="000B0009">
              <w:rPr>
                <w:szCs w:val="20"/>
                <w:lang w:val="en-US"/>
              </w:rPr>
              <w:t>i.e. 15-18% of total demand</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Articles</w:t>
            </w:r>
            <w:proofErr w:type="spellEnd"/>
          </w:p>
        </w:tc>
        <w:tc>
          <w:tcPr>
            <w:tcW w:w="75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Significant.</w:t>
            </w:r>
          </w:p>
          <w:p w:rsidR="000B0009" w:rsidRPr="000B0009" w:rsidRDefault="000B0009">
            <w:pPr>
              <w:pStyle w:val="Table"/>
              <w:spacing w:line="276" w:lineRule="auto"/>
              <w:jc w:val="center"/>
              <w:rPr>
                <w:szCs w:val="20"/>
                <w:lang w:val="en-US"/>
              </w:rPr>
            </w:pPr>
            <w:r w:rsidRPr="000B0009">
              <w:rPr>
                <w:szCs w:val="20"/>
                <w:lang w:val="en-US"/>
              </w:rPr>
              <w:t>Perceptions over the safety of packaging of  cosmetics, personal care products, food, pharmaceuticals may change</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r>
              <w:rPr>
                <w:szCs w:val="20"/>
              </w:rPr>
              <w:t xml:space="preserve">Paper </w:t>
            </w:r>
            <w:proofErr w:type="spellStart"/>
            <w:r>
              <w:rPr>
                <w:szCs w:val="20"/>
              </w:rPr>
              <w:t>and</w:t>
            </w:r>
            <w:proofErr w:type="spellEnd"/>
            <w:r>
              <w:rPr>
                <w:szCs w:val="20"/>
              </w:rPr>
              <w:t xml:space="preserve"> </w:t>
            </w:r>
            <w:proofErr w:type="spellStart"/>
            <w:r>
              <w:rPr>
                <w:szCs w:val="20"/>
              </w:rPr>
              <w:t>wallcoverings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12%</w:t>
            </w:r>
          </w:p>
        </w:tc>
        <w:tc>
          <w:tcPr>
            <w:tcW w:w="802"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Ultimately</w:t>
            </w:r>
            <w:proofErr w:type="spellEnd"/>
            <w:r>
              <w:rPr>
                <w:szCs w:val="20"/>
              </w:rPr>
              <w:t>, 100%</w:t>
            </w:r>
          </w:p>
          <w:p w:rsidR="000B0009" w:rsidRDefault="000B0009">
            <w:pPr>
              <w:pStyle w:val="Table"/>
              <w:spacing w:line="276" w:lineRule="auto"/>
              <w:jc w:val="center"/>
              <w:rPr>
                <w:szCs w:val="20"/>
              </w:rPr>
            </w:pPr>
            <w:proofErr w:type="spellStart"/>
            <w:r>
              <w:rPr>
                <w:szCs w:val="20"/>
              </w:rPr>
              <w:t>Wallcoverings</w:t>
            </w:r>
            <w:proofErr w:type="spellEnd"/>
            <w:r>
              <w:rPr>
                <w:szCs w:val="20"/>
              </w:rPr>
              <w:t>: 80%</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Articles</w:t>
            </w:r>
            <w:proofErr w:type="spellEnd"/>
          </w:p>
        </w:tc>
        <w:tc>
          <w:tcPr>
            <w:tcW w:w="75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Significant.</w:t>
            </w:r>
          </w:p>
          <w:p w:rsidR="000B0009" w:rsidRPr="000B0009" w:rsidRDefault="000B0009">
            <w:pPr>
              <w:pStyle w:val="Table"/>
              <w:spacing w:line="276" w:lineRule="auto"/>
              <w:jc w:val="center"/>
              <w:rPr>
                <w:szCs w:val="20"/>
                <w:lang w:val="en-US"/>
              </w:rPr>
            </w:pPr>
            <w:r w:rsidRPr="000B0009">
              <w:rPr>
                <w:szCs w:val="20"/>
                <w:lang w:val="en-US"/>
              </w:rPr>
              <w:t>Perceptions may change over the presence of a carcinogen in wallpaper, flooring, furniture, doors, walls, printed paper</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proofErr w:type="spellStart"/>
            <w:r>
              <w:rPr>
                <w:szCs w:val="20"/>
              </w:rPr>
              <w:lastRenderedPageBreak/>
              <w:t>Inks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4%</w:t>
            </w:r>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Probably &lt;50% in the form of consumer inks, toner, artists, recreation and school </w:t>
            </w:r>
            <w:proofErr w:type="spellStart"/>
            <w:r w:rsidRPr="000B0009">
              <w:rPr>
                <w:szCs w:val="20"/>
                <w:lang w:val="en-US"/>
              </w:rPr>
              <w:t>colours</w:t>
            </w:r>
            <w:proofErr w:type="spellEnd"/>
            <w:r w:rsidRPr="000B0009">
              <w:rPr>
                <w:szCs w:val="20"/>
                <w:lang w:val="en-US"/>
              </w:rPr>
              <w:t>, correction fluids</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Formulations</w:t>
            </w:r>
            <w:proofErr w:type="spellEnd"/>
            <w:r>
              <w:rPr>
                <w:szCs w:val="20"/>
              </w:rPr>
              <w:t xml:space="preserve"> </w:t>
            </w:r>
            <w:proofErr w:type="spellStart"/>
            <w:r>
              <w:rPr>
                <w:szCs w:val="20"/>
              </w:rPr>
              <w:t>and</w:t>
            </w:r>
            <w:proofErr w:type="spellEnd"/>
            <w:r>
              <w:rPr>
                <w:szCs w:val="20"/>
              </w:rPr>
              <w:t xml:space="preserve"> </w:t>
            </w:r>
            <w:proofErr w:type="spellStart"/>
            <w:r>
              <w:rPr>
                <w:szCs w:val="20"/>
              </w:rPr>
              <w:t>articles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REACH Regulation </w:t>
            </w:r>
            <w:r>
              <w:rPr>
                <w:szCs w:val="20"/>
              </w:rPr>
              <w:sym w:font="Wingdings" w:char="F0E0"/>
            </w:r>
            <w:r w:rsidRPr="000B0009">
              <w:rPr>
                <w:szCs w:val="20"/>
                <w:lang w:val="en-US"/>
              </w:rPr>
              <w:t xml:space="preserve"> Consumer formulations no longer placed on market.</w:t>
            </w:r>
          </w:p>
          <w:p w:rsidR="000B0009" w:rsidRPr="000B0009" w:rsidRDefault="000B0009">
            <w:pPr>
              <w:pStyle w:val="Table"/>
              <w:spacing w:line="276" w:lineRule="auto"/>
              <w:jc w:val="center"/>
              <w:rPr>
                <w:szCs w:val="20"/>
                <w:lang w:val="en-US"/>
              </w:rPr>
            </w:pPr>
            <w:proofErr w:type="spellStart"/>
            <w:r w:rsidRPr="000B0009">
              <w:rPr>
                <w:szCs w:val="20"/>
                <w:lang w:val="en-US"/>
              </w:rPr>
              <w:t>EuPIA</w:t>
            </w:r>
            <w:proofErr w:type="spellEnd"/>
            <w:r w:rsidRPr="000B0009">
              <w:rPr>
                <w:szCs w:val="20"/>
                <w:lang w:val="en-US"/>
              </w:rPr>
              <w:t xml:space="preserve"> Exclusion Policy and </w:t>
            </w:r>
            <w:proofErr w:type="spellStart"/>
            <w:r w:rsidRPr="000B0009">
              <w:rPr>
                <w:szCs w:val="20"/>
                <w:lang w:val="en-US"/>
              </w:rPr>
              <w:t>CoE</w:t>
            </w:r>
            <w:proofErr w:type="spellEnd"/>
            <w:r w:rsidRPr="000B0009">
              <w:rPr>
                <w:szCs w:val="20"/>
                <w:lang w:val="en-US"/>
              </w:rPr>
              <w:t xml:space="preserve"> Resolution mean possible cessation of use unless exemption granted</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Over 1%</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See on the left; market would be lost</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proofErr w:type="spellStart"/>
            <w:r>
              <w:rPr>
                <w:szCs w:val="20"/>
              </w:rPr>
              <w:t>Construction</w:t>
            </w:r>
            <w:proofErr w:type="spellEnd"/>
            <w:r>
              <w:rPr>
                <w:szCs w:val="20"/>
              </w:rPr>
              <w:t xml:space="preserve"> </w:t>
            </w:r>
            <w:proofErr w:type="spellStart"/>
            <w:r>
              <w:rPr>
                <w:szCs w:val="20"/>
              </w:rPr>
              <w:t>products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proofErr w:type="spellStart"/>
            <w:r>
              <w:rPr>
                <w:szCs w:val="20"/>
              </w:rPr>
              <w:t>Included</w:t>
            </w:r>
            <w:proofErr w:type="spellEnd"/>
            <w:r>
              <w:rPr>
                <w:szCs w:val="20"/>
              </w:rPr>
              <w:t xml:space="preserve"> </w:t>
            </w:r>
            <w:proofErr w:type="spellStart"/>
            <w:r>
              <w:rPr>
                <w:szCs w:val="20"/>
              </w:rPr>
              <w:t>above</w:t>
            </w:r>
            <w:proofErr w:type="spellEnd"/>
          </w:p>
        </w:tc>
        <w:tc>
          <w:tcPr>
            <w:tcW w:w="802"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Included</w:t>
            </w:r>
            <w:proofErr w:type="spellEnd"/>
            <w:r>
              <w:rPr>
                <w:szCs w:val="20"/>
              </w:rPr>
              <w:t xml:space="preserve"> </w:t>
            </w:r>
            <w:proofErr w:type="spellStart"/>
            <w:r>
              <w:rPr>
                <w:szCs w:val="20"/>
              </w:rPr>
              <w:t>above</w:t>
            </w:r>
            <w:proofErr w:type="spellEnd"/>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Formulations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REACH Regulation </w:t>
            </w:r>
            <w:r>
              <w:rPr>
                <w:szCs w:val="20"/>
              </w:rPr>
              <w:sym w:font="Wingdings" w:char="F0E0"/>
            </w:r>
            <w:r w:rsidRPr="000B0009">
              <w:rPr>
                <w:szCs w:val="20"/>
                <w:lang w:val="en-US"/>
              </w:rPr>
              <w:t>DIY products (adhesives, sealants, fillers, etc.) no longer placed on market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Included</w:t>
            </w:r>
            <w:proofErr w:type="spellEnd"/>
            <w:r>
              <w:rPr>
                <w:szCs w:val="20"/>
              </w:rPr>
              <w:t xml:space="preserve"> </w:t>
            </w:r>
            <w:proofErr w:type="spellStart"/>
            <w:r>
              <w:rPr>
                <w:szCs w:val="20"/>
              </w:rPr>
              <w:t>above</w:t>
            </w:r>
            <w:proofErr w:type="spellEnd"/>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See on the left; market would be lost</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proofErr w:type="spellStart"/>
            <w:r>
              <w:rPr>
                <w:szCs w:val="20"/>
              </w:rPr>
              <w:t>Fibres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Unknown; significant use in textiles</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Articles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Some restrictions under Toy Safety Directive.</w:t>
            </w:r>
          </w:p>
          <w:p w:rsidR="000B0009" w:rsidRPr="000B0009" w:rsidRDefault="000B0009">
            <w:pPr>
              <w:pStyle w:val="Table"/>
              <w:spacing w:line="276" w:lineRule="auto"/>
              <w:jc w:val="center"/>
              <w:rPr>
                <w:szCs w:val="20"/>
                <w:lang w:val="en-US"/>
              </w:rPr>
            </w:pPr>
            <w:r w:rsidRPr="000B0009">
              <w:rPr>
                <w:szCs w:val="20"/>
                <w:lang w:val="en-US"/>
              </w:rPr>
              <w:t>In future, the fast-track REACH restriction on textile chemicals may play a role</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Far</w:t>
            </w:r>
            <w:proofErr w:type="spellEnd"/>
            <w:r>
              <w:rPr>
                <w:szCs w:val="20"/>
              </w:rPr>
              <w:t xml:space="preserve"> </w:t>
            </w:r>
            <w:proofErr w:type="spellStart"/>
            <w:r>
              <w:rPr>
                <w:szCs w:val="20"/>
              </w:rPr>
              <w:t>less</w:t>
            </w:r>
            <w:proofErr w:type="spellEnd"/>
            <w:r>
              <w:rPr>
                <w:szCs w:val="20"/>
              </w:rPr>
              <w:t xml:space="preserve"> </w:t>
            </w:r>
            <w:proofErr w:type="spellStart"/>
            <w:r>
              <w:rPr>
                <w:szCs w:val="20"/>
              </w:rPr>
              <w:t>than</w:t>
            </w:r>
            <w:proofErr w:type="spellEnd"/>
            <w:r>
              <w:rPr>
                <w:szCs w:val="20"/>
              </w:rPr>
              <w:t xml:space="preserve"> 1%</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Significant.</w:t>
            </w:r>
          </w:p>
          <w:p w:rsidR="000B0009" w:rsidRPr="000B0009" w:rsidRDefault="000B0009">
            <w:pPr>
              <w:pStyle w:val="Table"/>
              <w:spacing w:line="276" w:lineRule="auto"/>
              <w:jc w:val="center"/>
              <w:rPr>
                <w:szCs w:val="20"/>
                <w:lang w:val="en-US"/>
              </w:rPr>
            </w:pPr>
            <w:r w:rsidRPr="000B0009">
              <w:rPr>
                <w:szCs w:val="20"/>
                <w:lang w:val="en-US"/>
              </w:rPr>
              <w:t xml:space="preserve">Most man-made </w:t>
            </w:r>
            <w:proofErr w:type="spellStart"/>
            <w:r w:rsidRPr="000B0009">
              <w:rPr>
                <w:szCs w:val="20"/>
                <w:lang w:val="en-US"/>
              </w:rPr>
              <w:t>fibres</w:t>
            </w:r>
            <w:proofErr w:type="spellEnd"/>
            <w:r w:rsidRPr="000B0009">
              <w:rPr>
                <w:szCs w:val="20"/>
                <w:lang w:val="en-US"/>
              </w:rPr>
              <w:t xml:space="preserve"> come into contact with consumers in everyday life (this includes clothing, underwear, sports clothing, etc.)</w:t>
            </w:r>
          </w:p>
        </w:tc>
      </w:tr>
      <w:tr w:rsid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proofErr w:type="spellStart"/>
            <w:r>
              <w:rPr>
                <w:szCs w:val="20"/>
              </w:rPr>
              <w:t>Catalysts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1%</w:t>
            </w:r>
          </w:p>
        </w:tc>
        <w:tc>
          <w:tcPr>
            <w:tcW w:w="802"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No</w:t>
            </w:r>
            <w:proofErr w:type="spellEnd"/>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818"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N/A</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r>
              <w:rPr>
                <w:szCs w:val="20"/>
              </w:rPr>
              <w:lastRenderedPageBreak/>
              <w:t xml:space="preserve">Food, </w:t>
            </w:r>
            <w:proofErr w:type="spellStart"/>
            <w:r>
              <w:rPr>
                <w:szCs w:val="20"/>
              </w:rPr>
              <w:t>feed</w:t>
            </w:r>
            <w:proofErr w:type="spellEnd"/>
            <w:r>
              <w:rPr>
                <w:szCs w:val="20"/>
              </w:rPr>
              <w:t xml:space="preserve"> </w:t>
            </w:r>
            <w:proofErr w:type="spellStart"/>
            <w:r>
              <w:rPr>
                <w:szCs w:val="20"/>
              </w:rPr>
              <w:t>and</w:t>
            </w:r>
            <w:proofErr w:type="spellEnd"/>
            <w:r>
              <w:rPr>
                <w:szCs w:val="20"/>
              </w:rPr>
              <w:t xml:space="preserve"> </w:t>
            </w:r>
            <w:proofErr w:type="spellStart"/>
            <w:r>
              <w:rPr>
                <w:szCs w:val="20"/>
              </w:rPr>
              <w:t>packaging</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100%</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 xml:space="preserve">N/A; </w:t>
            </w:r>
            <w:proofErr w:type="spellStart"/>
            <w:r>
              <w:rPr>
                <w:szCs w:val="20"/>
              </w:rPr>
              <w:t>food</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Use of TiO</w:t>
            </w:r>
            <w:r w:rsidRPr="000B0009">
              <w:rPr>
                <w:szCs w:val="20"/>
                <w:vertAlign w:val="subscript"/>
                <w:lang w:val="en-US"/>
              </w:rPr>
              <w:t>2</w:t>
            </w:r>
            <w:r w:rsidRPr="000B0009">
              <w:rPr>
                <w:szCs w:val="20"/>
                <w:lang w:val="en-US"/>
              </w:rPr>
              <w:t xml:space="preserve"> would be challenged but an exemption could probably be secured (on basis of lack of alternatives and low inhalation exposure)</w:t>
            </w:r>
          </w:p>
        </w:tc>
        <w:tc>
          <w:tcPr>
            <w:tcW w:w="754"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Assumed impact avoidance would be possible</w:t>
            </w:r>
          </w:p>
        </w:tc>
        <w:tc>
          <w:tcPr>
            <w:tcW w:w="818" w:type="pct"/>
            <w:tcBorders>
              <w:top w:val="single" w:sz="4" w:space="0" w:color="auto"/>
              <w:left w:val="single" w:sz="4" w:space="0" w:color="auto"/>
              <w:bottom w:val="single" w:sz="4" w:space="0" w:color="auto"/>
              <w:right w:val="single" w:sz="4" w:space="0" w:color="auto"/>
            </w:tcBorders>
          </w:tcPr>
          <w:p w:rsidR="000B0009" w:rsidRPr="000B0009" w:rsidRDefault="000B0009">
            <w:pPr>
              <w:pStyle w:val="Table"/>
              <w:spacing w:line="276" w:lineRule="auto"/>
              <w:jc w:val="center"/>
              <w:rPr>
                <w:szCs w:val="20"/>
                <w:lang w:val="en-US"/>
              </w:rPr>
            </w:pPr>
            <w:r w:rsidRPr="000B0009">
              <w:rPr>
                <w:szCs w:val="20"/>
                <w:lang w:val="en-US"/>
              </w:rPr>
              <w:t>Significant.</w:t>
            </w:r>
          </w:p>
          <w:p w:rsidR="000B0009" w:rsidRPr="000B0009" w:rsidRDefault="000B0009">
            <w:pPr>
              <w:pStyle w:val="Table"/>
              <w:spacing w:line="276" w:lineRule="auto"/>
              <w:jc w:val="center"/>
              <w:rPr>
                <w:szCs w:val="20"/>
                <w:lang w:val="en-US"/>
              </w:rPr>
            </w:pPr>
            <w:r w:rsidRPr="000B0009">
              <w:rPr>
                <w:szCs w:val="20"/>
                <w:lang w:val="en-US"/>
              </w:rPr>
              <w:t>Ingestion of a carcinogen would have very negative connotations</w:t>
            </w:r>
          </w:p>
          <w:p w:rsidR="000B0009" w:rsidRPr="000B0009" w:rsidRDefault="000B0009">
            <w:pPr>
              <w:pStyle w:val="Table"/>
              <w:spacing w:line="276" w:lineRule="auto"/>
              <w:jc w:val="center"/>
              <w:rPr>
                <w:szCs w:val="20"/>
                <w:lang w:val="en-US"/>
              </w:rPr>
            </w:pP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r>
              <w:rPr>
                <w:szCs w:val="20"/>
              </w:rPr>
              <w:t>Pharmaceuticals</w:t>
            </w:r>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100%</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 xml:space="preserve">N/A; </w:t>
            </w:r>
            <w:proofErr w:type="spellStart"/>
            <w:r>
              <w:rPr>
                <w:szCs w:val="20"/>
              </w:rPr>
              <w:t>medicines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Use of TiO</w:t>
            </w:r>
            <w:r w:rsidRPr="000B0009">
              <w:rPr>
                <w:szCs w:val="20"/>
                <w:vertAlign w:val="subscript"/>
                <w:lang w:val="en-US"/>
              </w:rPr>
              <w:t>2</w:t>
            </w:r>
            <w:r w:rsidRPr="000B0009">
              <w:rPr>
                <w:szCs w:val="20"/>
                <w:lang w:val="en-US"/>
              </w:rPr>
              <w:t xml:space="preserve"> would be challenged but an exemption for food would allow continued use in medicinal products too</w:t>
            </w:r>
          </w:p>
        </w:tc>
        <w:tc>
          <w:tcPr>
            <w:tcW w:w="754"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Assumed impact avoidance would be possible</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Significant.</w:t>
            </w:r>
          </w:p>
          <w:p w:rsidR="000B0009" w:rsidRPr="000B0009" w:rsidRDefault="000B0009">
            <w:pPr>
              <w:pStyle w:val="Table"/>
              <w:spacing w:line="276" w:lineRule="auto"/>
              <w:jc w:val="center"/>
              <w:rPr>
                <w:szCs w:val="20"/>
                <w:lang w:val="en-US"/>
              </w:rPr>
            </w:pPr>
            <w:r w:rsidRPr="000B0009">
              <w:rPr>
                <w:szCs w:val="20"/>
                <w:lang w:val="en-US"/>
              </w:rPr>
              <w:t xml:space="preserve">Ingestion of a carcinogen would have very negative connotations, particularly in the context of the use of medicines </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proofErr w:type="spellStart"/>
            <w:r>
              <w:rPr>
                <w:szCs w:val="20"/>
              </w:rPr>
              <w:t>Cosmetics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Significant, but professional uses also occur</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Formulations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Cosmetics Regulation </w:t>
            </w:r>
            <w:r>
              <w:rPr>
                <w:szCs w:val="20"/>
              </w:rPr>
              <w:sym w:font="Wingdings" w:char="F0E0"/>
            </w:r>
            <w:r w:rsidRPr="000B0009">
              <w:rPr>
                <w:szCs w:val="20"/>
                <w:lang w:val="en-US"/>
              </w:rPr>
              <w:t xml:space="preserve"> TiO</w:t>
            </w:r>
            <w:r w:rsidRPr="000B0009">
              <w:rPr>
                <w:szCs w:val="20"/>
                <w:vertAlign w:val="subscript"/>
                <w:lang w:val="en-US"/>
              </w:rPr>
              <w:t>2</w:t>
            </w:r>
            <w:r w:rsidRPr="000B0009">
              <w:rPr>
                <w:szCs w:val="20"/>
                <w:lang w:val="en-US"/>
              </w:rPr>
              <w:t xml:space="preserve"> use banned unless exemption granted</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Less</w:t>
            </w:r>
            <w:proofErr w:type="spellEnd"/>
            <w:r>
              <w:rPr>
                <w:szCs w:val="20"/>
              </w:rPr>
              <w:t xml:space="preserve"> </w:t>
            </w:r>
            <w:proofErr w:type="spellStart"/>
            <w:r>
              <w:rPr>
                <w:szCs w:val="20"/>
              </w:rPr>
              <w:t>than</w:t>
            </w:r>
            <w:proofErr w:type="spellEnd"/>
            <w:r>
              <w:rPr>
                <w:szCs w:val="20"/>
              </w:rPr>
              <w:t xml:space="preserve"> 1%</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Significant.</w:t>
            </w:r>
          </w:p>
          <w:p w:rsidR="000B0009" w:rsidRPr="000B0009" w:rsidRDefault="000B0009">
            <w:pPr>
              <w:pStyle w:val="Table"/>
              <w:spacing w:line="276" w:lineRule="auto"/>
              <w:jc w:val="center"/>
              <w:rPr>
                <w:szCs w:val="20"/>
                <w:lang w:val="en-US"/>
              </w:rPr>
            </w:pPr>
            <w:r w:rsidRPr="000B0009">
              <w:rPr>
                <w:szCs w:val="20"/>
                <w:lang w:val="en-US"/>
              </w:rPr>
              <w:t>Even if exemption was secured, classification would undermine safety perceptions and market shares</w:t>
            </w:r>
          </w:p>
        </w:tc>
      </w:tr>
      <w:tr w:rsid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r>
              <w:rPr>
                <w:szCs w:val="20"/>
              </w:rPr>
              <w:t>Elastomers</w:t>
            </w:r>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Unknown but exists (general rubber goods, e.g. erasers)</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Articles</w:t>
            </w:r>
            <w:proofErr w:type="spellEnd"/>
          </w:p>
        </w:tc>
        <w:tc>
          <w:tcPr>
            <w:tcW w:w="75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818"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proofErr w:type="spellStart"/>
            <w:r>
              <w:rPr>
                <w:szCs w:val="20"/>
              </w:rPr>
              <w:t>Considerable</w:t>
            </w:r>
            <w:proofErr w:type="spellEnd"/>
          </w:p>
        </w:tc>
      </w:tr>
      <w:tr w:rsid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r>
              <w:rPr>
                <w:szCs w:val="20"/>
              </w:rPr>
              <w:t>Pigments</w:t>
            </w:r>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No</w:t>
            </w:r>
            <w:proofErr w:type="spellEnd"/>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818"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N/A</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proofErr w:type="spellStart"/>
            <w:r>
              <w:rPr>
                <w:szCs w:val="20"/>
              </w:rPr>
              <w:lastRenderedPageBreak/>
              <w:t>Ceramics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Industrial use of TiO</w:t>
            </w:r>
            <w:r w:rsidRPr="000B0009">
              <w:rPr>
                <w:szCs w:val="20"/>
                <w:vertAlign w:val="subscript"/>
                <w:lang w:val="en-US"/>
              </w:rPr>
              <w:t>2</w:t>
            </w:r>
            <w:r w:rsidRPr="000B0009">
              <w:rPr>
                <w:szCs w:val="20"/>
                <w:lang w:val="en-US"/>
              </w:rPr>
              <w:t>.</w:t>
            </w:r>
          </w:p>
          <w:p w:rsidR="000B0009" w:rsidRPr="000B0009" w:rsidRDefault="000B0009">
            <w:pPr>
              <w:pStyle w:val="Table"/>
              <w:spacing w:line="276" w:lineRule="auto"/>
              <w:jc w:val="center"/>
              <w:rPr>
                <w:szCs w:val="20"/>
                <w:lang w:val="en-US"/>
              </w:rPr>
            </w:pPr>
            <w:r w:rsidRPr="000B0009">
              <w:rPr>
                <w:szCs w:val="20"/>
                <w:lang w:val="en-US"/>
              </w:rPr>
              <w:t>Ultimately some ceramic products are sold to consumers</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Articles</w:t>
            </w:r>
            <w:proofErr w:type="spellEnd"/>
          </w:p>
        </w:tc>
        <w:tc>
          <w:tcPr>
            <w:tcW w:w="75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Considerable.</w:t>
            </w:r>
          </w:p>
          <w:p w:rsidR="000B0009" w:rsidRPr="000B0009" w:rsidRDefault="000B0009">
            <w:pPr>
              <w:pStyle w:val="Table"/>
              <w:spacing w:line="276" w:lineRule="auto"/>
              <w:jc w:val="center"/>
              <w:rPr>
                <w:szCs w:val="20"/>
                <w:lang w:val="en-US"/>
              </w:rPr>
            </w:pPr>
            <w:r w:rsidRPr="000B0009">
              <w:rPr>
                <w:szCs w:val="20"/>
                <w:lang w:val="en-US"/>
              </w:rPr>
              <w:t xml:space="preserve">Food containing materials (ceramics, </w:t>
            </w:r>
            <w:proofErr w:type="spellStart"/>
            <w:r w:rsidRPr="000B0009">
              <w:rPr>
                <w:szCs w:val="20"/>
                <w:lang w:val="en-US"/>
              </w:rPr>
              <w:t>enamelled</w:t>
            </w:r>
            <w:proofErr w:type="spellEnd"/>
            <w:r w:rsidRPr="000B0009">
              <w:rPr>
                <w:szCs w:val="20"/>
                <w:lang w:val="en-US"/>
              </w:rPr>
              <w:t xml:space="preserve"> pots, etc.) that contain TiO</w:t>
            </w:r>
            <w:r w:rsidRPr="000B0009">
              <w:rPr>
                <w:szCs w:val="20"/>
                <w:vertAlign w:val="subscript"/>
                <w:lang w:val="en-US"/>
              </w:rPr>
              <w:t>2</w:t>
            </w:r>
            <w:r w:rsidRPr="000B0009">
              <w:rPr>
                <w:szCs w:val="20"/>
                <w:lang w:val="en-US"/>
              </w:rPr>
              <w:t xml:space="preserve"> could be </w:t>
            </w:r>
            <w:proofErr w:type="spellStart"/>
            <w:r w:rsidRPr="000B0009">
              <w:rPr>
                <w:szCs w:val="20"/>
                <w:lang w:val="en-US"/>
              </w:rPr>
              <w:t>stigmatised</w:t>
            </w:r>
            <w:proofErr w:type="spellEnd"/>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r>
              <w:rPr>
                <w:szCs w:val="20"/>
              </w:rPr>
              <w:t>Glass</w:t>
            </w:r>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No.  Glass articles do not contain TiO</w:t>
            </w:r>
            <w:r w:rsidRPr="000B0009">
              <w:rPr>
                <w:szCs w:val="20"/>
                <w:vertAlign w:val="subscript"/>
                <w:lang w:val="en-US"/>
              </w:rPr>
              <w:t>2</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Articles</w:t>
            </w:r>
            <w:proofErr w:type="spellEnd"/>
          </w:p>
        </w:tc>
        <w:tc>
          <w:tcPr>
            <w:tcW w:w="75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r>
              <w:rPr>
                <w:szCs w:val="20"/>
              </w:rPr>
              <w:t>-</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Relatively low compared to other applications</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r>
              <w:rPr>
                <w:szCs w:val="20"/>
              </w:rPr>
              <w:t xml:space="preserve">Medical </w:t>
            </w:r>
            <w:proofErr w:type="spellStart"/>
            <w:r>
              <w:rPr>
                <w:szCs w:val="20"/>
              </w:rPr>
              <w:t>devices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Generally nil, but used on patients</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Formulations</w:t>
            </w:r>
            <w:proofErr w:type="spellEnd"/>
            <w:r>
              <w:rPr>
                <w:szCs w:val="20"/>
              </w:rPr>
              <w:t xml:space="preserve"> </w:t>
            </w:r>
            <w:proofErr w:type="spellStart"/>
            <w:r>
              <w:rPr>
                <w:szCs w:val="20"/>
              </w:rPr>
              <w:t>and</w:t>
            </w:r>
            <w:proofErr w:type="spellEnd"/>
            <w:r>
              <w:rPr>
                <w:szCs w:val="20"/>
              </w:rPr>
              <w:t xml:space="preserve"> </w:t>
            </w:r>
            <w:proofErr w:type="spellStart"/>
            <w:r>
              <w:rPr>
                <w:szCs w:val="20"/>
              </w:rPr>
              <w:t>articles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New Medical Devices Directive </w:t>
            </w:r>
            <w:r>
              <w:rPr>
                <w:szCs w:val="20"/>
              </w:rPr>
              <w:sym w:font="Wingdings" w:char="F0E0"/>
            </w:r>
            <w:r w:rsidRPr="000B0009">
              <w:rPr>
                <w:szCs w:val="20"/>
                <w:lang w:val="en-US"/>
              </w:rPr>
              <w:t xml:space="preserve"> TiO</w:t>
            </w:r>
            <w:r w:rsidRPr="000B0009">
              <w:rPr>
                <w:szCs w:val="20"/>
                <w:vertAlign w:val="subscript"/>
                <w:lang w:val="en-US"/>
              </w:rPr>
              <w:t>2</w:t>
            </w:r>
            <w:r w:rsidRPr="000B0009">
              <w:rPr>
                <w:szCs w:val="20"/>
                <w:lang w:val="en-US"/>
              </w:rPr>
              <w:t xml:space="preserve"> use banned unless exemption granted.  TiO</w:t>
            </w:r>
            <w:r w:rsidRPr="000B0009">
              <w:rPr>
                <w:szCs w:val="20"/>
                <w:vertAlign w:val="subscript"/>
                <w:lang w:val="en-US"/>
              </w:rPr>
              <w:t>2</w:t>
            </w:r>
            <w:r w:rsidRPr="000B0009">
              <w:rPr>
                <w:szCs w:val="20"/>
                <w:lang w:val="en-US"/>
              </w:rPr>
              <w:t xml:space="preserve"> is the only whitening agent </w:t>
            </w:r>
            <w:proofErr w:type="spellStart"/>
            <w:r w:rsidRPr="000B0009">
              <w:rPr>
                <w:szCs w:val="20"/>
                <w:lang w:val="en-US"/>
              </w:rPr>
              <w:t>recognised</w:t>
            </w:r>
            <w:proofErr w:type="spellEnd"/>
            <w:r w:rsidRPr="000B0009">
              <w:rPr>
                <w:szCs w:val="20"/>
                <w:lang w:val="en-US"/>
              </w:rPr>
              <w:t xml:space="preserve"> in the EU Pharmacopeia</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Less</w:t>
            </w:r>
            <w:proofErr w:type="spellEnd"/>
            <w:r>
              <w:rPr>
                <w:szCs w:val="20"/>
              </w:rPr>
              <w:t xml:space="preserve"> </w:t>
            </w:r>
            <w:proofErr w:type="spellStart"/>
            <w:r>
              <w:rPr>
                <w:szCs w:val="20"/>
              </w:rPr>
              <w:t>than</w:t>
            </w:r>
            <w:proofErr w:type="spellEnd"/>
            <w:r>
              <w:rPr>
                <w:szCs w:val="20"/>
              </w:rPr>
              <w:t xml:space="preserve"> 1%</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Significant.</w:t>
            </w:r>
          </w:p>
          <w:p w:rsidR="000B0009" w:rsidRPr="000B0009" w:rsidRDefault="000B0009">
            <w:pPr>
              <w:pStyle w:val="Table"/>
              <w:spacing w:line="276" w:lineRule="auto"/>
              <w:jc w:val="center"/>
              <w:rPr>
                <w:szCs w:val="20"/>
                <w:lang w:val="en-US"/>
              </w:rPr>
            </w:pPr>
            <w:r w:rsidRPr="000B0009">
              <w:rPr>
                <w:szCs w:val="20"/>
                <w:lang w:val="en-US"/>
              </w:rPr>
              <w:t>Even if exemption was secured, classification would undermine safety perceptions</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proofErr w:type="spellStart"/>
            <w:r>
              <w:rPr>
                <w:szCs w:val="20"/>
              </w:rPr>
              <w:t>Detergents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Up</w:t>
            </w:r>
            <w:proofErr w:type="spellEnd"/>
            <w:r>
              <w:rPr>
                <w:szCs w:val="20"/>
              </w:rPr>
              <w:t xml:space="preserve"> </w:t>
            </w:r>
            <w:proofErr w:type="spellStart"/>
            <w:r>
              <w:rPr>
                <w:szCs w:val="20"/>
              </w:rPr>
              <w:t>to</w:t>
            </w:r>
            <w:proofErr w:type="spellEnd"/>
            <w:r>
              <w:rPr>
                <w:szCs w:val="20"/>
              </w:rPr>
              <w:t xml:space="preserve"> 100%</w:t>
            </w:r>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Formulations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REACH Regulation </w:t>
            </w:r>
            <w:r>
              <w:rPr>
                <w:szCs w:val="20"/>
              </w:rPr>
              <w:sym w:font="Wingdings" w:char="F0E0"/>
            </w:r>
            <w:r w:rsidRPr="000B0009">
              <w:rPr>
                <w:szCs w:val="20"/>
                <w:lang w:val="en-US"/>
              </w:rPr>
              <w:t xml:space="preserve"> Consumer formulations no longer placed on market</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Less</w:t>
            </w:r>
            <w:proofErr w:type="spellEnd"/>
            <w:r>
              <w:rPr>
                <w:szCs w:val="20"/>
              </w:rPr>
              <w:t xml:space="preserve"> </w:t>
            </w:r>
            <w:proofErr w:type="spellStart"/>
            <w:r>
              <w:rPr>
                <w:szCs w:val="20"/>
              </w:rPr>
              <w:t>than</w:t>
            </w:r>
            <w:proofErr w:type="spellEnd"/>
            <w:r>
              <w:rPr>
                <w:szCs w:val="20"/>
              </w:rPr>
              <w:t xml:space="preserve"> 1%</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See on left; market would be lost</w:t>
            </w:r>
          </w:p>
        </w:tc>
      </w:tr>
      <w:tr w:rsidR="000B0009" w:rsidRPr="000B0009" w:rsidTr="000B0009">
        <w:trPr>
          <w:cantSplit/>
          <w:trHeight w:val="255"/>
        </w:trPr>
        <w:tc>
          <w:tcPr>
            <w:tcW w:w="55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Cs w:val="20"/>
              </w:rPr>
            </w:pPr>
            <w:proofErr w:type="spellStart"/>
            <w:r>
              <w:rPr>
                <w:szCs w:val="20"/>
              </w:rPr>
              <w:t>Biocides</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Cs w:val="20"/>
              </w:rPr>
            </w:pPr>
            <w:r>
              <w:rPr>
                <w:szCs w:val="20"/>
              </w:rPr>
              <w:t>0-1%</w:t>
            </w:r>
          </w:p>
        </w:tc>
        <w:tc>
          <w:tcPr>
            <w:tcW w:w="802"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Unknown</w:t>
            </w:r>
            <w:proofErr w:type="spellEnd"/>
            <w:r>
              <w:rPr>
                <w:szCs w:val="20"/>
              </w:rPr>
              <w:t xml:space="preserve">; </w:t>
            </w:r>
            <w:proofErr w:type="spellStart"/>
            <w:r>
              <w:rPr>
                <w:szCs w:val="20"/>
              </w:rPr>
              <w:t>mostly</w:t>
            </w:r>
            <w:proofErr w:type="spellEnd"/>
            <w:r>
              <w:rPr>
                <w:szCs w:val="20"/>
              </w:rPr>
              <w:t xml:space="preserve"> </w:t>
            </w:r>
            <w:proofErr w:type="spellStart"/>
            <w:r>
              <w:rPr>
                <w:szCs w:val="20"/>
              </w:rPr>
              <w:t>used</w:t>
            </w:r>
            <w:proofErr w:type="spellEnd"/>
            <w:r>
              <w:rPr>
                <w:szCs w:val="20"/>
              </w:rPr>
              <w:t xml:space="preserve"> </w:t>
            </w:r>
            <w:proofErr w:type="spellStart"/>
            <w:r>
              <w:rPr>
                <w:szCs w:val="20"/>
              </w:rPr>
              <w:t>industrially</w:t>
            </w:r>
            <w:proofErr w:type="spellEnd"/>
          </w:p>
        </w:tc>
        <w:tc>
          <w:tcPr>
            <w:tcW w:w="659"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Formulations</w:t>
            </w:r>
            <w:proofErr w:type="spellEnd"/>
          </w:p>
        </w:tc>
        <w:tc>
          <w:tcPr>
            <w:tcW w:w="755" w:type="pct"/>
            <w:tcBorders>
              <w:top w:val="single" w:sz="4" w:space="0" w:color="auto"/>
              <w:left w:val="single" w:sz="4" w:space="0" w:color="auto"/>
              <w:bottom w:val="single" w:sz="4" w:space="0" w:color="auto"/>
              <w:right w:val="nil"/>
            </w:tcBorders>
            <w:hideMark/>
          </w:tcPr>
          <w:p w:rsidR="000B0009" w:rsidRPr="000B0009" w:rsidRDefault="000B0009">
            <w:pPr>
              <w:pStyle w:val="Table"/>
              <w:spacing w:line="276" w:lineRule="auto"/>
              <w:jc w:val="center"/>
              <w:rPr>
                <w:szCs w:val="20"/>
                <w:lang w:val="en-US"/>
              </w:rPr>
            </w:pPr>
            <w:r w:rsidRPr="000B0009">
              <w:rPr>
                <w:szCs w:val="20"/>
                <w:lang w:val="en-US"/>
              </w:rPr>
              <w:t xml:space="preserve">Biocidal Products Regulation </w:t>
            </w:r>
            <w:r>
              <w:rPr>
                <w:szCs w:val="20"/>
              </w:rPr>
              <w:sym w:font="Wingdings" w:char="F0E0"/>
            </w:r>
            <w:r w:rsidRPr="000B0009">
              <w:rPr>
                <w:szCs w:val="20"/>
                <w:lang w:val="en-US"/>
              </w:rPr>
              <w:t xml:space="preserve"> TiO</w:t>
            </w:r>
            <w:r w:rsidRPr="000B0009">
              <w:rPr>
                <w:szCs w:val="20"/>
                <w:vertAlign w:val="subscript"/>
                <w:lang w:val="en-US"/>
              </w:rPr>
              <w:t>2</w:t>
            </w:r>
            <w:r w:rsidRPr="000B0009">
              <w:rPr>
                <w:szCs w:val="20"/>
                <w:lang w:val="en-US"/>
              </w:rPr>
              <w:t xml:space="preserve"> use banned unless exemption granted</w:t>
            </w:r>
          </w:p>
        </w:tc>
        <w:tc>
          <w:tcPr>
            <w:tcW w:w="75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Cs w:val="20"/>
              </w:rPr>
            </w:pPr>
            <w:proofErr w:type="spellStart"/>
            <w:r>
              <w:rPr>
                <w:szCs w:val="20"/>
              </w:rPr>
              <w:t>Less</w:t>
            </w:r>
            <w:proofErr w:type="spellEnd"/>
            <w:r>
              <w:rPr>
                <w:szCs w:val="20"/>
              </w:rPr>
              <w:t xml:space="preserve"> </w:t>
            </w:r>
            <w:proofErr w:type="spellStart"/>
            <w:r>
              <w:rPr>
                <w:szCs w:val="20"/>
              </w:rPr>
              <w:t>than</w:t>
            </w:r>
            <w:proofErr w:type="spellEnd"/>
            <w:r>
              <w:rPr>
                <w:szCs w:val="20"/>
              </w:rPr>
              <w:t xml:space="preserve"> 1%</w:t>
            </w:r>
          </w:p>
        </w:tc>
        <w:tc>
          <w:tcPr>
            <w:tcW w:w="818"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Cs w:val="20"/>
                <w:lang w:val="en-US"/>
              </w:rPr>
            </w:pPr>
            <w:r w:rsidRPr="000B0009">
              <w:rPr>
                <w:szCs w:val="20"/>
                <w:lang w:val="en-US"/>
              </w:rPr>
              <w:t>Significant.</w:t>
            </w:r>
          </w:p>
          <w:p w:rsidR="000B0009" w:rsidRPr="000B0009" w:rsidRDefault="000B0009">
            <w:pPr>
              <w:pStyle w:val="Table"/>
              <w:spacing w:line="276" w:lineRule="auto"/>
              <w:jc w:val="center"/>
              <w:rPr>
                <w:szCs w:val="20"/>
                <w:lang w:val="en-US"/>
              </w:rPr>
            </w:pPr>
            <w:r w:rsidRPr="000B0009">
              <w:rPr>
                <w:szCs w:val="20"/>
                <w:lang w:val="en-US"/>
              </w:rPr>
              <w:t>Even if exemption was secured, classification would undermine safety perceptions</w:t>
            </w:r>
          </w:p>
        </w:tc>
      </w:tr>
      <w:tr w:rsidR="000B0009" w:rsidRPr="000B0009" w:rsidTr="000B0009">
        <w:trPr>
          <w:cantSplit/>
          <w:trHeight w:val="255"/>
        </w:trPr>
        <w:tc>
          <w:tcPr>
            <w:tcW w:w="5000" w:type="pct"/>
            <w:gridSpan w:val="7"/>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rPr>
                <w:i/>
                <w:lang w:val="en-US"/>
              </w:rPr>
            </w:pPr>
            <w:r w:rsidRPr="000B0009">
              <w:rPr>
                <w:i/>
                <w:lang w:val="en-US"/>
              </w:rPr>
              <w:t xml:space="preserve">* </w:t>
            </w:r>
            <w:proofErr w:type="gramStart"/>
            <w:r w:rsidRPr="000B0009">
              <w:rPr>
                <w:i/>
                <w:lang w:val="en-US"/>
              </w:rPr>
              <w:t>in</w:t>
            </w:r>
            <w:proofErr w:type="gramEnd"/>
            <w:r w:rsidRPr="000B0009">
              <w:rPr>
                <w:i/>
                <w:lang w:val="en-US"/>
              </w:rPr>
              <w:t xml:space="preserve"> literature sources, some of the minor applications have been identified as accounting for 1% or more of total demand.  These include catalysts, textiles, enamel and rubber.  There is no concrete information that would allow such a distinction to be made so all minor applications are assumed to account for up to 1% of total EEA demand.</w:t>
            </w:r>
          </w:p>
          <w:p w:rsidR="000B0009" w:rsidRPr="000B0009" w:rsidRDefault="000B0009">
            <w:pPr>
              <w:pStyle w:val="Table"/>
              <w:spacing w:line="276" w:lineRule="auto"/>
              <w:rPr>
                <w:i/>
                <w:lang w:val="en-US"/>
              </w:rPr>
            </w:pPr>
            <w:r w:rsidRPr="000B0009">
              <w:rPr>
                <w:i/>
                <w:lang w:val="en-US"/>
              </w:rPr>
              <w:t>** this is based on the estimate that DIY uses account for €3.5 billion/y out of €6.2 billion of the total architectural coatings market (based on CEPE data)</w:t>
            </w:r>
          </w:p>
        </w:tc>
      </w:tr>
    </w:tbl>
    <w:p w:rsidR="000B0009" w:rsidRDefault="000B0009" w:rsidP="000B0009">
      <w:bookmarkStart w:id="14" w:name="_GoBack"/>
      <w:bookmarkEnd w:id="14"/>
    </w:p>
    <w:p w:rsidR="000B0009" w:rsidRDefault="000B0009" w:rsidP="000B0009">
      <w:pPr>
        <w:spacing w:after="0"/>
        <w:jc w:val="left"/>
        <w:sectPr w:rsidR="000B0009">
          <w:pgSz w:w="16838" w:h="11906" w:orient="landscape"/>
          <w:pgMar w:top="1440" w:right="1418" w:bottom="1440" w:left="851" w:header="708" w:footer="709" w:gutter="0"/>
          <w:cols w:space="720"/>
        </w:sectPr>
      </w:pPr>
    </w:p>
    <w:p w:rsidR="000B0009" w:rsidRDefault="000B0009" w:rsidP="000B0009">
      <w:pPr>
        <w:pStyle w:val="berschrift4"/>
      </w:pPr>
      <w:r>
        <w:lastRenderedPageBreak/>
        <w:t>Impacts on professional and industrial markets from the proposed hazard classification</w:t>
      </w:r>
    </w:p>
    <w:p w:rsidR="000B0009" w:rsidRDefault="000B0009" w:rsidP="000B0009">
      <w:r>
        <w:t>Quantifying the impacts arising for professional and industrial downstream users is not as straightforward because for most applications there are no specific regulatory requirements that would restrict the use of the substance.  However, Sections 4.5 and 4.6 explain that impacts may arise in a number of ways:</w:t>
      </w:r>
    </w:p>
    <w:p w:rsidR="000B0009" w:rsidRPr="000B0009" w:rsidRDefault="000B0009" w:rsidP="000B0009">
      <w:pPr>
        <w:pStyle w:val="Bulletlist"/>
        <w:numPr>
          <w:ilvl w:val="0"/>
          <w:numId w:val="3"/>
        </w:numPr>
        <w:rPr>
          <w:lang w:val="en-US"/>
        </w:rPr>
      </w:pPr>
      <w:r w:rsidRPr="000B0009">
        <w:rPr>
          <w:lang w:val="en-US"/>
        </w:rPr>
        <w:t>Compliance with worker health protection legislation and waste disposal legislation would significantly increase manufacturing costs;</w:t>
      </w:r>
    </w:p>
    <w:p w:rsidR="000B0009" w:rsidRPr="000B0009" w:rsidRDefault="000B0009" w:rsidP="000B0009">
      <w:pPr>
        <w:pStyle w:val="Bulletlist"/>
        <w:numPr>
          <w:ilvl w:val="0"/>
          <w:numId w:val="3"/>
        </w:numPr>
        <w:rPr>
          <w:lang w:val="en-US"/>
        </w:rPr>
      </w:pPr>
      <w:r w:rsidRPr="000B0009">
        <w:rPr>
          <w:lang w:val="en-US"/>
        </w:rPr>
        <w:t>Loss of consumer markets would more generally affect economies of scale (particularly for paints and coatings manufacture);</w:t>
      </w:r>
    </w:p>
    <w:p w:rsidR="000B0009" w:rsidRPr="000B0009" w:rsidRDefault="000B0009" w:rsidP="000B0009">
      <w:pPr>
        <w:pStyle w:val="Bulletlist"/>
        <w:numPr>
          <w:ilvl w:val="0"/>
          <w:numId w:val="3"/>
        </w:numPr>
        <w:rPr>
          <w:lang w:val="en-US"/>
        </w:rPr>
      </w:pPr>
      <w:r w:rsidRPr="000B0009">
        <w:rPr>
          <w:lang w:val="en-US"/>
        </w:rPr>
        <w:t>For printing inks, the Exclusion Policy of the key EU trade association (</w:t>
      </w:r>
      <w:proofErr w:type="spellStart"/>
      <w:r w:rsidRPr="000B0009">
        <w:rPr>
          <w:lang w:val="en-US"/>
        </w:rPr>
        <w:t>EuPIA</w:t>
      </w:r>
      <w:proofErr w:type="spellEnd"/>
      <w:r w:rsidRPr="000B0009">
        <w:rPr>
          <w:lang w:val="en-US"/>
        </w:rPr>
        <w:t>) would mean the de facto restriction on the use of TiO</w:t>
      </w:r>
      <w:r w:rsidRPr="000B0009">
        <w:rPr>
          <w:vertAlign w:val="subscript"/>
          <w:lang w:val="en-US"/>
        </w:rPr>
        <w:t>2</w:t>
      </w:r>
      <w:r w:rsidRPr="000B0009">
        <w:rPr>
          <w:lang w:val="en-US"/>
        </w:rPr>
        <w:t xml:space="preserve"> unless an exemption could be justified;</w:t>
      </w:r>
    </w:p>
    <w:p w:rsidR="000B0009" w:rsidRPr="000B0009" w:rsidRDefault="000B0009" w:rsidP="000B0009">
      <w:pPr>
        <w:pStyle w:val="Bulletlist"/>
        <w:numPr>
          <w:ilvl w:val="0"/>
          <w:numId w:val="3"/>
        </w:numPr>
        <w:rPr>
          <w:lang w:val="en-US"/>
        </w:rPr>
      </w:pPr>
      <w:r w:rsidRPr="000B0009">
        <w:rPr>
          <w:lang w:val="en-US"/>
        </w:rPr>
        <w:t>Many companies using TiO</w:t>
      </w:r>
      <w:r w:rsidRPr="000B0009">
        <w:rPr>
          <w:vertAlign w:val="subscript"/>
          <w:lang w:val="en-US"/>
        </w:rPr>
        <w:t>2</w:t>
      </w:r>
      <w:r w:rsidRPr="000B0009">
        <w:rPr>
          <w:lang w:val="en-US"/>
        </w:rPr>
        <w:t xml:space="preserve"> may have their own internal policies that prevent them from using CMR Cat 1A/1B substances; and</w:t>
      </w:r>
    </w:p>
    <w:p w:rsidR="000B0009" w:rsidRPr="000B0009" w:rsidRDefault="000B0009" w:rsidP="000B0009">
      <w:pPr>
        <w:pStyle w:val="Bulletlist"/>
        <w:numPr>
          <w:ilvl w:val="0"/>
          <w:numId w:val="3"/>
        </w:numPr>
        <w:rPr>
          <w:lang w:val="en-US"/>
        </w:rPr>
      </w:pPr>
      <w:r w:rsidRPr="000B0009">
        <w:rPr>
          <w:lang w:val="en-US"/>
        </w:rPr>
        <w:t xml:space="preserve">Similar to consumers, the supply chain may be reluctant to use a </w:t>
      </w:r>
      <w:proofErr w:type="spellStart"/>
      <w:r w:rsidRPr="000B0009">
        <w:rPr>
          <w:lang w:val="en-US"/>
        </w:rPr>
        <w:t>Carc</w:t>
      </w:r>
      <w:proofErr w:type="spellEnd"/>
      <w:r w:rsidRPr="000B0009">
        <w:rPr>
          <w:lang w:val="en-US"/>
        </w:rPr>
        <w:t xml:space="preserve"> Cat 1B substance even where legislation itself does not prohibit its use.</w:t>
      </w:r>
    </w:p>
    <w:p w:rsidR="000B0009" w:rsidRDefault="000B0009" w:rsidP="000B0009">
      <w:r>
        <w:t>In general, the manufacture of TiO</w:t>
      </w:r>
      <w:r>
        <w:rPr>
          <w:vertAlign w:val="subscript"/>
        </w:rPr>
        <w:t>2</w:t>
      </w:r>
      <w:r>
        <w:t>-containing articles and formulations and the use of TiO</w:t>
      </w:r>
      <w:r>
        <w:rPr>
          <w:vertAlign w:val="subscript"/>
        </w:rPr>
        <w:t>2</w:t>
      </w:r>
      <w:r>
        <w:t>-containing formulations in the EEA would become more complex and more costly.  This would impact upon the competitiveness of supply chains based in the EEA.  Some activities would not be possible to relocate, i.e. re-painting of structures needs to happen in situ.  However, the relocation of manufacturing processes (of TiO</w:t>
      </w:r>
      <w:r>
        <w:rPr>
          <w:vertAlign w:val="subscript"/>
        </w:rPr>
        <w:t>2</w:t>
      </w:r>
      <w:r>
        <w:t>-based formulations and TiO</w:t>
      </w:r>
      <w:r>
        <w:rPr>
          <w:vertAlign w:val="subscript"/>
        </w:rPr>
        <w:t>2</w:t>
      </w:r>
      <w:r>
        <w:t>-containing articles) could become more attractive.</w:t>
      </w:r>
    </w:p>
    <w:p w:rsidR="000B0009" w:rsidRDefault="000B0009" w:rsidP="000B0009">
      <w:r>
        <w:t xml:space="preserve">It would be difficult to argue that relocation to non-EEA countries would happen across the board, both because of the very large number of SME users of the pigment who could not afford the cost of relocation, as well as the sheer scale of such undertaking.  Architectural paints, for instance, are typically manufactured in the country where they are used by consumers and professional decorators.  Whilst it is possible to produce and supply architectural paints for professional use (which would replace DIY use) from outside the EEA, the costs would be high; the industry infrastructure in the EEA is vast and relocating this would be unrealistic.  Still, their capacity utilisation in Europe would dangerously decline.   </w:t>
      </w:r>
    </w:p>
    <w:p w:rsidR="000B0009" w:rsidRDefault="000B0009" w:rsidP="000B0009">
      <w:r>
        <w:t xml:space="preserve">On the other hand, manufacturing articles without the burden of the additional requirements of the EU worker protection legislation would become an option to consider.  Plastics would be a good example; </w:t>
      </w:r>
      <w:proofErr w:type="spellStart"/>
      <w:r>
        <w:t>masterbatch</w:t>
      </w:r>
      <w:proofErr w:type="spellEnd"/>
      <w:r>
        <w:t xml:space="preserve"> manufacture and article manufacture (e.g. white PVC window profiles, etc.) could become good candidates for relocation with the end products ultimately imported into the EEA, thus decimating the EEA-based supply chain.  Another example is painted articles; Original Equipment Manufacturer (OEM) production has significant infrastructure whereby articles are coated in a range of colours and most contain TiO</w:t>
      </w:r>
      <w:r>
        <w:rPr>
          <w:vertAlign w:val="subscript"/>
        </w:rPr>
        <w:t>2</w:t>
      </w:r>
      <w:r>
        <w:t xml:space="preserve"> at a level that exceeds 0.1% by weight.  It would require significant write off of the assets and re-investment to move significant volumes of OEM coatings outside the EEA.  However, this could become a long-term strategy for OEM applications such as automobiles, can coatings, coil coatings and powder coatings (e.g. for household appliances) where non-EEA locations would be chosen for new investment and expansion and a gradual relocation of operations outside of the EEA.</w:t>
      </w:r>
    </w:p>
    <w:p w:rsidR="000B0009" w:rsidRDefault="000B0009" w:rsidP="000B0009">
      <w:r>
        <w:t>Overall, the proposed classification for TiO</w:t>
      </w:r>
      <w:r>
        <w:rPr>
          <w:vertAlign w:val="subscript"/>
        </w:rPr>
        <w:t>2</w:t>
      </w:r>
      <w:r>
        <w:t xml:space="preserve"> would have significant repercussions on the professional and industrial use of TiO</w:t>
      </w:r>
      <w:r>
        <w:rPr>
          <w:vertAlign w:val="subscript"/>
        </w:rPr>
        <w:t>2</w:t>
      </w:r>
      <w:r>
        <w:t xml:space="preserve">.  EEA markets would likely shrink with some (parts of) supply chains becoming too uncompetitive vis-à-vis their non-EEA counterparts. </w:t>
      </w:r>
    </w:p>
    <w:p w:rsidR="000B0009" w:rsidRDefault="000B0009" w:rsidP="000B0009">
      <w:r>
        <w:t>Taking into account the aforementioned projected losses of consumer markets, it would be reasonable to expect that the proposed classification would mean the loss of 50%, if not more, of the current demand for TiO</w:t>
      </w:r>
      <w:r>
        <w:rPr>
          <w:vertAlign w:val="subscript"/>
        </w:rPr>
        <w:t>2</w:t>
      </w:r>
      <w:r>
        <w:t xml:space="preserve"> in the EEA.</w:t>
      </w:r>
    </w:p>
    <w:p w:rsidR="000B0009" w:rsidRDefault="000B0009" w:rsidP="000B0009">
      <w:pPr>
        <w:pStyle w:val="berschrift4"/>
      </w:pPr>
      <w:r>
        <w:lastRenderedPageBreak/>
        <w:t>The role of the REACH Regulation</w:t>
      </w:r>
    </w:p>
    <w:p w:rsidR="000B0009" w:rsidRDefault="000B0009" w:rsidP="000B0009">
      <w:r>
        <w:t>The analysis presented in this document largely disregards the impacts that would arise from a potential future listing of TiO</w:t>
      </w:r>
      <w:r>
        <w:rPr>
          <w:vertAlign w:val="subscript"/>
        </w:rPr>
        <w:t>2</w:t>
      </w:r>
      <w:r>
        <w:t xml:space="preserve"> in the Candidate List and thereon the Annex XIV Authorisation List of the REACH Regulation, as it is uncertain whether and when such a development might occur.  It should be understood, however, that the listing of the substance in the Candidate List and particularly any subsequent requirement for Authorisation would have a profound impact on a multitude of industry sectors.  Although the evident lack of feasible alternatives (see rest of Section 4 and Annex 2 (Section 9) in particular) would support the submission of robust Applications for Authorisation, the implications of Authorisation would be far-reaching; the number of companies using TiO</w:t>
      </w:r>
      <w:r>
        <w:rPr>
          <w:vertAlign w:val="subscript"/>
        </w:rPr>
        <w:t>2</w:t>
      </w:r>
      <w:r>
        <w:t xml:space="preserve"> and its formulations is very large, in their thousands.  The vast majority of these would have no expertise or experience in the Authorisation process and would therefore rely on their suppliers upstream to cover their uses in their own Applications.  Given the sheer number of uses of TiO</w:t>
      </w:r>
      <w:r>
        <w:rPr>
          <w:vertAlign w:val="subscript"/>
        </w:rPr>
        <w:t>2</w:t>
      </w:r>
      <w:r>
        <w:t>, the preparation of Applications will be very challenging.  This could well lead to the abandonment of some uses, either by downstream users who could not afford or cope with the Authorisation process, or by upstream suppliers for whom specific minor uses may account for a very small proportion of income and thus are of limited interest.  In light of the significant cost of preparing, submitting and following through an Application for Authorisation and the extreme burden that this process would place on ECHA, its Committees and the European Commission, REACH Authorisation would stand to be one of the major threats to many current uses of TiO</w:t>
      </w:r>
      <w:r>
        <w:rPr>
          <w:vertAlign w:val="subscript"/>
        </w:rPr>
        <w:t>2</w:t>
      </w:r>
      <w:r>
        <w:t>.</w:t>
      </w:r>
    </w:p>
    <w:p w:rsidR="000B0009" w:rsidRDefault="000B0009" w:rsidP="000B0009">
      <w:pPr>
        <w:pStyle w:val="berschrift2"/>
        <w:rPr>
          <w:b/>
        </w:rPr>
      </w:pPr>
      <w:bookmarkStart w:id="15" w:name="_Toc470188648"/>
      <w:r>
        <w:rPr>
          <w:b/>
        </w:rPr>
        <w:t>Impacts on downstream users from horizontal legislation</w:t>
      </w:r>
      <w:bookmarkEnd w:id="15"/>
    </w:p>
    <w:p w:rsidR="000B0009" w:rsidRDefault="000B0009" w:rsidP="000B0009">
      <w:pPr>
        <w:pStyle w:val="berschrift3"/>
        <w:rPr>
          <w:b/>
          <w:bCs/>
        </w:rPr>
      </w:pPr>
      <w:bookmarkStart w:id="16" w:name="_Toc470188649"/>
      <w:r>
        <w:rPr>
          <w:b/>
          <w:bCs/>
        </w:rPr>
        <w:t>Introduction</w:t>
      </w:r>
      <w:bookmarkEnd w:id="16"/>
    </w:p>
    <w:p w:rsidR="000B0009" w:rsidRDefault="000B0009" w:rsidP="000B0009">
      <w:r>
        <w:t>There are three key pieces of legislation that would generally affect the vast majority of downstream users of TiO</w:t>
      </w:r>
      <w:r>
        <w:rPr>
          <w:vertAlign w:val="subscript"/>
        </w:rPr>
        <w:t>2</w:t>
      </w:r>
      <w:r>
        <w:t>:</w:t>
      </w:r>
    </w:p>
    <w:p w:rsidR="000B0009" w:rsidRPr="000B0009" w:rsidRDefault="000B0009" w:rsidP="000B0009">
      <w:pPr>
        <w:pStyle w:val="Bulletlist"/>
        <w:numPr>
          <w:ilvl w:val="0"/>
          <w:numId w:val="3"/>
        </w:numPr>
        <w:rPr>
          <w:lang w:val="en-US"/>
        </w:rPr>
      </w:pPr>
      <w:r w:rsidRPr="000B0009">
        <w:rPr>
          <w:lang w:val="en-US"/>
        </w:rPr>
        <w:t>Legislation on Classification &amp; Labelling</w:t>
      </w:r>
      <w:r w:rsidRPr="000B0009">
        <w:rPr>
          <w:szCs w:val="22"/>
          <w:lang w:val="en-US"/>
        </w:rPr>
        <w:t xml:space="preserve">, namely </w:t>
      </w:r>
      <w:r w:rsidRPr="000B0009">
        <w:rPr>
          <w:lang w:val="en-US"/>
        </w:rPr>
        <w:t>Regulation 1272/2008/EC, which creates labelling requirements for those using TiO</w:t>
      </w:r>
      <w:r w:rsidRPr="000B0009">
        <w:rPr>
          <w:vertAlign w:val="subscript"/>
          <w:lang w:val="en-US"/>
        </w:rPr>
        <w:t>2</w:t>
      </w:r>
      <w:r w:rsidRPr="000B0009">
        <w:rPr>
          <w:lang w:val="en-US"/>
        </w:rPr>
        <w:t xml:space="preserve"> for incorporation into formulations and articles;</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Legislation on the control of risks to workers from carcinogenic substances, namely Council Directive 1989/391/EEC and Directive 2004/37/EC, the Carcinogens and Mutagens at Work Directive which requires that employers of users of the substance should consider the use of alternative substances.  If the substance cannot be replaced, closed systems should be used.  Where this is not possible exposure should be reduced.  Employers also have to make certain information available to the competent authority if requested (activities, quantities, exposures, number of exposed workers, preventive measures); and</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 xml:space="preserve">Legislation on waste management, namely the Waste Framework Directive 2008/98/EC and associated instruments (Regulation 1357/2014, and Decision 2000/532/EC).  The properties that render wastes hazardous are defined in Annex III to Directive 2008/98/EC.  According to Annex III, when a waste contains a substance classified as a carcinogen under CLP and exceeds or equals one of the concentration limits shown in Table 6 to the Annex, the waste shall be classified as hazardous by HP 7.  A </w:t>
      </w:r>
      <w:proofErr w:type="spellStart"/>
      <w:r w:rsidRPr="000B0009">
        <w:rPr>
          <w:lang w:val="en-US"/>
        </w:rPr>
        <w:t>Carc</w:t>
      </w:r>
      <w:proofErr w:type="spellEnd"/>
      <w:r w:rsidRPr="000B0009">
        <w:rPr>
          <w:lang w:val="en-US"/>
        </w:rPr>
        <w:t>. Cat 1B classification for TiO</w:t>
      </w:r>
      <w:r w:rsidRPr="000B0009">
        <w:rPr>
          <w:vertAlign w:val="subscript"/>
          <w:lang w:val="en-US"/>
        </w:rPr>
        <w:t>2</w:t>
      </w:r>
      <w:r w:rsidRPr="000B0009">
        <w:rPr>
          <w:lang w:val="en-US"/>
        </w:rPr>
        <w:t xml:space="preserve"> would mean that a concentration that exceeds 0.1% would render any TiO</w:t>
      </w:r>
      <w:r w:rsidRPr="000B0009">
        <w:rPr>
          <w:vertAlign w:val="subscript"/>
          <w:lang w:val="en-US"/>
        </w:rPr>
        <w:t>2</w:t>
      </w:r>
      <w:r w:rsidRPr="000B0009">
        <w:rPr>
          <w:lang w:val="en-US"/>
        </w:rPr>
        <w:t>-containing waste hazardous.</w:t>
      </w:r>
    </w:p>
    <w:p w:rsidR="000B0009" w:rsidRDefault="000B0009" w:rsidP="000B0009">
      <w:r>
        <w:t>Other, perhaps less critical horizontal legislation includes the Industrial Emissions (IPPC) Directive 2010/75/EC, Annex II of which describes in relation to polluting substances “</w:t>
      </w:r>
      <w:r>
        <w:rPr>
          <w:i/>
        </w:rPr>
        <w:t>Substances and mixtures which have been proved to possess carcinogenic or mutagenic properties or properties which may affect reproduction via the air</w:t>
      </w:r>
      <w:r>
        <w:t xml:space="preserve">”.  Member States shall ensure that permits issued to industrial installations falling within the remit of the Directive will include emission limit values.  </w:t>
      </w:r>
    </w:p>
    <w:p w:rsidR="000B0009" w:rsidRDefault="000B0009" w:rsidP="000B0009">
      <w:pPr>
        <w:pStyle w:val="berschrift3"/>
        <w:rPr>
          <w:b/>
          <w:bCs/>
        </w:rPr>
      </w:pPr>
      <w:bookmarkStart w:id="17" w:name="_Toc470188650"/>
      <w:r>
        <w:rPr>
          <w:b/>
          <w:bCs/>
        </w:rPr>
        <w:lastRenderedPageBreak/>
        <w:t>New labelling requirements</w:t>
      </w:r>
      <w:bookmarkEnd w:id="17"/>
    </w:p>
    <w:p w:rsidR="000B0009" w:rsidRDefault="000B0009" w:rsidP="000B0009">
      <w:r>
        <w:t>There would be clearly a need for replacing existing labels on TiO</w:t>
      </w:r>
      <w:r>
        <w:rPr>
          <w:vertAlign w:val="subscript"/>
        </w:rPr>
        <w:t>2</w:t>
      </w:r>
      <w:r>
        <w:t xml:space="preserve"> products and TiO</w:t>
      </w:r>
      <w:r>
        <w:rPr>
          <w:vertAlign w:val="subscript"/>
        </w:rPr>
        <w:t>2</w:t>
      </w:r>
      <w:r>
        <w:t>-containing products to account for its new classification, as proposed.  This would undoubtedly have cost implications:</w:t>
      </w:r>
    </w:p>
    <w:p w:rsidR="000B0009" w:rsidRPr="000B0009" w:rsidRDefault="000B0009" w:rsidP="000B0009">
      <w:pPr>
        <w:pStyle w:val="Bulletlist"/>
        <w:numPr>
          <w:ilvl w:val="0"/>
          <w:numId w:val="3"/>
        </w:numPr>
        <w:rPr>
          <w:lang w:val="en-US"/>
        </w:rPr>
      </w:pPr>
      <w:r w:rsidRPr="000B0009">
        <w:rPr>
          <w:lang w:val="en-US"/>
        </w:rPr>
        <w:t>Part of the existing stocks of labels and packaging (i.e. those intended for use within the EEA) would need to be disposed of (or recycled, where possible);</w:t>
      </w:r>
    </w:p>
    <w:p w:rsidR="000B0009" w:rsidRPr="000B0009" w:rsidRDefault="000B0009" w:rsidP="000B0009">
      <w:pPr>
        <w:pStyle w:val="Bulletlist"/>
        <w:numPr>
          <w:ilvl w:val="0"/>
          <w:numId w:val="3"/>
        </w:numPr>
        <w:rPr>
          <w:lang w:val="en-US"/>
        </w:rPr>
      </w:pPr>
      <w:r w:rsidRPr="000B0009">
        <w:rPr>
          <w:lang w:val="en-US"/>
        </w:rPr>
        <w:t>New labels and packaging would need to be designed, produced and supplied to interested parties; and</w:t>
      </w:r>
    </w:p>
    <w:p w:rsidR="000B0009" w:rsidRPr="000B0009" w:rsidRDefault="000B0009" w:rsidP="000B0009">
      <w:pPr>
        <w:pStyle w:val="Bulletlist"/>
        <w:numPr>
          <w:ilvl w:val="0"/>
          <w:numId w:val="3"/>
        </w:numPr>
        <w:rPr>
          <w:lang w:val="en-US"/>
        </w:rPr>
      </w:pPr>
      <w:r w:rsidRPr="000B0009">
        <w:rPr>
          <w:lang w:val="en-US"/>
        </w:rPr>
        <w:t>Logistic complexities would arise from the new labels and packaging being selectively used when trading within the EEA.</w:t>
      </w:r>
    </w:p>
    <w:p w:rsidR="000B0009" w:rsidRDefault="000B0009" w:rsidP="000B0009">
      <w:r>
        <w:t>Estimates for the cost of new labelling following the proposed classification of TiO</w:t>
      </w:r>
      <w:r>
        <w:rPr>
          <w:vertAlign w:val="subscript"/>
        </w:rPr>
        <w:t>2</w:t>
      </w:r>
      <w:r>
        <w:t xml:space="preserve"> are not available, although some figures can easily be retrieved on line from other cases of (re-)classification of substances and products</w:t>
      </w:r>
      <w:r>
        <w:rPr>
          <w:rStyle w:val="Funotenzeichen"/>
        </w:rPr>
        <w:footnoteReference w:id="5"/>
      </w:r>
      <w:r>
        <w:t>.  Realistically, the cost per company may not be prohibitive depending on the type and volume of packaging</w:t>
      </w:r>
      <w:r>
        <w:rPr>
          <w:rStyle w:val="Funotenzeichen"/>
        </w:rPr>
        <w:footnoteReference w:id="6"/>
      </w:r>
      <w:r>
        <w:t>, however when aggregated across the numerous uses of the substance, the overall cost would be very substantial.  Moreover, given that only inhalation exposure may result in adverse health effects (and only under conditions of extremely high exposure levels) but the probabilities for such exposure and at relevant exposure levels are extremely remote, the expense for new labels would appear entirely unjustified.</w:t>
      </w:r>
    </w:p>
    <w:p w:rsidR="000B0009" w:rsidRDefault="000B0009" w:rsidP="000B0009">
      <w:r>
        <w:t>Another significant complexity would arise from the differences between the classification of the substance in the EEA and outside the EEA.  Manufacturers of formulations and other products would need to hold stock of two different packaging/label types to be used when bagging their output depending on where it will be sold.  It would cause a significant logistical burden for what will essentially be the exact same product needing to be labelled differently thus causing delays, giving rise to errors and requiring more manual intervention for the necessary checks to be made.  Again, all this would have no discernible benefit to workers’ health.</w:t>
      </w:r>
    </w:p>
    <w:p w:rsidR="000B0009" w:rsidRDefault="000B0009" w:rsidP="000B0009">
      <w:r>
        <w:t xml:space="preserve">In this context, it is important to highlight a recurrent feature of stakeholder responses received to the consultation undertaken.  Respondents have expressed concern over indirect market impacts of the proposed classification and labelling.  Many manufacturers and their customers would prefer not to handle formulations and products that are labelled as carcinogenic.  For instance, most paints are not classified today and certainly not for such a severe category such as </w:t>
      </w:r>
      <w:proofErr w:type="spellStart"/>
      <w:r>
        <w:t>Carc</w:t>
      </w:r>
      <w:proofErr w:type="spellEnd"/>
      <w:r>
        <w:t xml:space="preserve"> Cat 1B, hence manufacturing plants are likely not used to handling such materials and customers might not be happy to continue using them, especially if this would mean additional measures for the control of worker exposure.</w:t>
      </w:r>
    </w:p>
    <w:p w:rsidR="0096771D" w:rsidRDefault="0096771D"/>
    <w:p w:rsidR="000B0009" w:rsidRDefault="000B0009"/>
    <w:p w:rsidR="000B0009" w:rsidRDefault="000B0009"/>
    <w:p w:rsidR="000B0009" w:rsidRDefault="000B0009" w:rsidP="000B0009">
      <w:pPr>
        <w:pStyle w:val="berschrift2"/>
        <w:rPr>
          <w:b/>
        </w:rPr>
      </w:pPr>
      <w:bookmarkStart w:id="18" w:name="_Toc470188659"/>
      <w:r>
        <w:rPr>
          <w:b/>
        </w:rPr>
        <w:lastRenderedPageBreak/>
        <w:t>Specific impacts on downstream users of specialty applications of titanium dioxide</w:t>
      </w:r>
      <w:bookmarkEnd w:id="18"/>
      <w:r>
        <w:rPr>
          <w:b/>
        </w:rPr>
        <w:t xml:space="preserve"> </w:t>
      </w:r>
    </w:p>
    <w:p w:rsidR="000B0009" w:rsidRDefault="000B0009" w:rsidP="000B0009">
      <w:pPr>
        <w:pStyle w:val="berschrift3"/>
        <w:rPr>
          <w:b/>
          <w:bCs/>
        </w:rPr>
      </w:pPr>
      <w:bookmarkStart w:id="19" w:name="_Toc470188663"/>
      <w:r>
        <w:rPr>
          <w:b/>
          <w:bCs/>
        </w:rPr>
        <w:t>Pharmaceuticals</w:t>
      </w:r>
      <w:bookmarkEnd w:id="19"/>
    </w:p>
    <w:p w:rsidR="000B0009" w:rsidRDefault="000B0009" w:rsidP="000B0009">
      <w:pPr>
        <w:pStyle w:val="berschrift4"/>
      </w:pPr>
      <w:r>
        <w:t>Key market descriptors</w:t>
      </w:r>
    </w:p>
    <w:p w:rsidR="000B0009" w:rsidRDefault="000B0009" w:rsidP="000B0009">
      <w:r>
        <w:t>Consultation has generated little information that would help us provide an overview of the markets for TiO</w:t>
      </w:r>
      <w:r>
        <w:rPr>
          <w:vertAlign w:val="subscript"/>
        </w:rPr>
        <w:t>2</w:t>
      </w:r>
      <w:r>
        <w:t xml:space="preserve">-containing pharmaceuticals.  By way of background, the European pharmaceuticals industry involves 1,900 companies (members of the European Federation of Pharmaceuticals Industries and Associations – EFPIA) has a market value (ex-factory) of ca. €192 billion, a positive trade balance of ca. €86.5 billion and employs ca. 725,000 workers </w:t>
      </w:r>
      <w:sdt>
        <w:sdtPr>
          <w:id w:val="1324702629"/>
          <w:citation/>
        </w:sdtPr>
        <w:sdtContent>
          <w:r>
            <w:fldChar w:fldCharType="begin"/>
          </w:r>
          <w:r>
            <w:instrText xml:space="preserve"> CITATION EFP16 \l 2057 </w:instrText>
          </w:r>
          <w:r>
            <w:fldChar w:fldCharType="separate"/>
          </w:r>
          <w:r>
            <w:rPr>
              <w:noProof/>
            </w:rPr>
            <w:t>(EFPIA, 2016)</w:t>
          </w:r>
          <w:r>
            <w:fldChar w:fldCharType="end"/>
          </w:r>
        </w:sdtContent>
      </w:sdt>
      <w:r>
        <w:t>.</w:t>
      </w:r>
    </w:p>
    <w:p w:rsidR="000B0009" w:rsidRDefault="000B0009" w:rsidP="000B0009">
      <w:r>
        <w:t>The German Medicines Manufacturers' Association (BAH) has noted that its more than 320 members may use between 100 kg and several tonnes of TiO</w:t>
      </w:r>
      <w:r>
        <w:rPr>
          <w:vertAlign w:val="subscript"/>
        </w:rPr>
        <w:t>2</w:t>
      </w:r>
      <w:r>
        <w:t xml:space="preserve"> per year.</w:t>
      </w:r>
    </w:p>
    <w:p w:rsidR="000B0009" w:rsidRDefault="000B0009" w:rsidP="000B0009">
      <w:pPr>
        <w:pStyle w:val="berschrift4"/>
      </w:pPr>
      <w:r>
        <w:t>Relevant legislation</w:t>
      </w:r>
    </w:p>
    <w:p w:rsidR="000B0009" w:rsidRDefault="000B0009" w:rsidP="000B0009">
      <w:r>
        <w:fldChar w:fldCharType="begin"/>
      </w:r>
      <w:r>
        <w:instrText xml:space="preserve"> REF _Ref469471599 \h  \* MERGEFORMAT </w:instrText>
      </w:r>
      <w:r>
        <w:fldChar w:fldCharType="separate"/>
      </w:r>
      <w:r>
        <w:rPr>
          <w:b/>
        </w:rPr>
        <w:t xml:space="preserve">Table </w:t>
      </w:r>
      <w:r>
        <w:rPr>
          <w:b/>
          <w:noProof/>
        </w:rPr>
        <w:t>4</w:t>
      </w:r>
      <w:r>
        <w:rPr>
          <w:b/>
        </w:rPr>
        <w:t>–</w:t>
      </w:r>
      <w:r>
        <w:rPr>
          <w:b/>
          <w:noProof/>
        </w:rPr>
        <w:t>15</w:t>
      </w:r>
      <w:r>
        <w:fldChar w:fldCharType="end"/>
      </w:r>
      <w:r>
        <w:t xml:space="preserve"> summarises the legislation that would be of relevance to the use of TiO</w:t>
      </w:r>
      <w:r>
        <w:rPr>
          <w:vertAlign w:val="subscript"/>
        </w:rPr>
        <w:t>2</w:t>
      </w:r>
      <w:r>
        <w:t xml:space="preserve"> in pharmaceuticals applications in the EEA, after the adoption of the proposed hazard classification.  Additional detail is available in Annex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50"/>
        <w:gridCol w:w="4458"/>
      </w:tblGrid>
      <w:tr w:rsidR="000B0009" w:rsidRPr="000B0009" w:rsidTr="000B0009">
        <w:trPr>
          <w:tblHeader/>
        </w:trPr>
        <w:tc>
          <w:tcPr>
            <w:tcW w:w="9072" w:type="dxa"/>
            <w:gridSpan w:val="2"/>
            <w:tcBorders>
              <w:top w:val="single" w:sz="4" w:space="0" w:color="auto"/>
              <w:left w:val="single" w:sz="4" w:space="0" w:color="auto"/>
              <w:bottom w:val="single" w:sz="4" w:space="0" w:color="auto"/>
              <w:right w:val="single" w:sz="4" w:space="0" w:color="auto"/>
            </w:tcBorders>
            <w:shd w:val="clear" w:color="auto" w:fill="569BBE"/>
            <w:hideMark/>
          </w:tcPr>
          <w:p w:rsidR="000B0009" w:rsidRDefault="000B0009">
            <w:pPr>
              <w:spacing w:after="0" w:line="276" w:lineRule="auto"/>
              <w:rPr>
                <w:sz w:val="20"/>
              </w:rPr>
            </w:pPr>
            <w:bookmarkStart w:id="20" w:name="_Ref469471599"/>
            <w:r>
              <w:rPr>
                <w:b/>
                <w:color w:val="FFFFFF" w:themeColor="background1"/>
                <w:sz w:val="20"/>
                <w:szCs w:val="20"/>
              </w:rPr>
              <w:t xml:space="preserve">Table </w:t>
            </w:r>
            <w:r>
              <w:fldChar w:fldCharType="begin"/>
            </w:r>
            <w:r>
              <w:rPr>
                <w:b/>
                <w:color w:val="FFFFFF" w:themeColor="background1"/>
                <w:sz w:val="20"/>
                <w:szCs w:val="20"/>
              </w:rPr>
              <w:instrText xml:space="preserve"> STYLEREF 1 \s </w:instrText>
            </w:r>
            <w:r>
              <w:fldChar w:fldCharType="separate"/>
            </w:r>
            <w:r>
              <w:rPr>
                <w:b/>
                <w:noProof/>
                <w:color w:val="FFFFFF" w:themeColor="background1"/>
                <w:sz w:val="20"/>
                <w:szCs w:val="20"/>
              </w:rPr>
              <w:t>4</w:t>
            </w:r>
            <w:r>
              <w:fldChar w:fldCharType="end"/>
            </w:r>
            <w:r>
              <w:rPr>
                <w:b/>
                <w:color w:val="FFFFFF" w:themeColor="background1"/>
                <w:sz w:val="20"/>
                <w:szCs w:val="20"/>
              </w:rPr>
              <w:t>–</w:t>
            </w:r>
            <w:r>
              <w:fldChar w:fldCharType="begin"/>
            </w:r>
            <w:r>
              <w:rPr>
                <w:b/>
                <w:color w:val="FFFFFF" w:themeColor="background1"/>
                <w:sz w:val="20"/>
                <w:szCs w:val="20"/>
              </w:rPr>
              <w:instrText xml:space="preserve"> SEQ Table \* ARABIC \s 1 </w:instrText>
            </w:r>
            <w:r>
              <w:fldChar w:fldCharType="separate"/>
            </w:r>
            <w:r>
              <w:rPr>
                <w:b/>
                <w:noProof/>
                <w:color w:val="FFFFFF" w:themeColor="background1"/>
                <w:sz w:val="20"/>
                <w:szCs w:val="20"/>
              </w:rPr>
              <w:t>15</w:t>
            </w:r>
            <w:r>
              <w:fldChar w:fldCharType="end"/>
            </w:r>
            <w:bookmarkEnd w:id="20"/>
            <w:r>
              <w:rPr>
                <w:b/>
                <w:color w:val="FFFFFF" w:themeColor="background1"/>
                <w:sz w:val="20"/>
                <w:szCs w:val="20"/>
              </w:rPr>
              <w:t>:  Relevance of different regulatory instruments to pharmaceuticals applications of TiO</w:t>
            </w:r>
            <w:r>
              <w:rPr>
                <w:b/>
                <w:color w:val="FFFFFF" w:themeColor="background1"/>
                <w:sz w:val="20"/>
                <w:szCs w:val="20"/>
                <w:vertAlign w:val="subscript"/>
              </w:rPr>
              <w:t>2</w:t>
            </w:r>
            <w:r>
              <w:rPr>
                <w:b/>
                <w:color w:val="FFFFFF" w:themeColor="background1"/>
                <w:sz w:val="20"/>
                <w:szCs w:val="20"/>
              </w:rPr>
              <w:t xml:space="preserve"> following a harmonised classification of </w:t>
            </w:r>
            <w:proofErr w:type="spellStart"/>
            <w:r>
              <w:rPr>
                <w:b/>
                <w:color w:val="FFFFFF" w:themeColor="background1"/>
                <w:sz w:val="20"/>
                <w:szCs w:val="20"/>
              </w:rPr>
              <w:t>Carc</w:t>
            </w:r>
            <w:proofErr w:type="spellEnd"/>
            <w:r>
              <w:rPr>
                <w:b/>
                <w:color w:val="FFFFFF" w:themeColor="background1"/>
                <w:sz w:val="20"/>
                <w:szCs w:val="20"/>
              </w:rPr>
              <w:t xml:space="preserve"> Cat 1B</w:t>
            </w:r>
          </w:p>
        </w:tc>
      </w:tr>
      <w:tr w:rsidR="000B0009" w:rsidTr="000B0009">
        <w:trPr>
          <w:tblHeader/>
        </w:trPr>
        <w:tc>
          <w:tcPr>
            <w:tcW w:w="4536" w:type="dxa"/>
            <w:tcBorders>
              <w:top w:val="single" w:sz="4" w:space="0" w:color="auto"/>
              <w:left w:val="single" w:sz="4" w:space="0" w:color="auto"/>
              <w:bottom w:val="single" w:sz="4" w:space="0" w:color="auto"/>
              <w:right w:val="single" w:sz="4" w:space="0" w:color="auto"/>
            </w:tcBorders>
            <w:shd w:val="clear" w:color="auto" w:fill="569BBE"/>
            <w:vAlign w:val="bottom"/>
            <w:hideMark/>
          </w:tcPr>
          <w:p w:rsidR="000B0009" w:rsidRDefault="000B0009">
            <w:pPr>
              <w:spacing w:after="0" w:line="276" w:lineRule="auto"/>
              <w:rPr>
                <w:sz w:val="20"/>
                <w:szCs w:val="20"/>
              </w:rPr>
            </w:pPr>
            <w:r>
              <w:rPr>
                <w:b/>
                <w:color w:val="FFFFFF" w:themeColor="background1"/>
                <w:sz w:val="20"/>
                <w:szCs w:val="20"/>
              </w:rPr>
              <w:t>Relevant legislation</w:t>
            </w:r>
          </w:p>
        </w:tc>
        <w:tc>
          <w:tcPr>
            <w:tcW w:w="4536" w:type="dxa"/>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spacing w:after="0" w:line="276" w:lineRule="auto"/>
              <w:jc w:val="center"/>
              <w:rPr>
                <w:sz w:val="20"/>
                <w:szCs w:val="20"/>
              </w:rPr>
            </w:pPr>
            <w:r>
              <w:rPr>
                <w:b/>
                <w:color w:val="FFFFFF" w:themeColor="background1"/>
                <w:sz w:val="20"/>
                <w:szCs w:val="20"/>
              </w:rPr>
              <w:t>Relevant to pharmaceuticals</w:t>
            </w:r>
          </w:p>
        </w:tc>
      </w:tr>
      <w:tr w:rsidR="000B0009" w:rsidRP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CLP</w:t>
            </w:r>
          </w:p>
        </w:tc>
        <w:tc>
          <w:tcPr>
            <w:tcW w:w="4536" w:type="dxa"/>
            <w:tcBorders>
              <w:top w:val="single" w:sz="4" w:space="0" w:color="auto"/>
              <w:left w:val="single" w:sz="4" w:space="0" w:color="auto"/>
              <w:bottom w:val="single" w:sz="4" w:space="0" w:color="auto"/>
              <w:right w:val="single" w:sz="4" w:space="0" w:color="auto"/>
            </w:tcBorders>
            <w:shd w:val="clear" w:color="auto" w:fill="FFC000"/>
            <w:hideMark/>
          </w:tcPr>
          <w:p w:rsidR="000B0009" w:rsidRDefault="000B0009">
            <w:pPr>
              <w:spacing w:after="0" w:line="276" w:lineRule="auto"/>
              <w:jc w:val="center"/>
              <w:rPr>
                <w:sz w:val="20"/>
                <w:szCs w:val="20"/>
              </w:rPr>
            </w:pPr>
            <w:r>
              <w:rPr>
                <w:sz w:val="20"/>
                <w:szCs w:val="20"/>
              </w:rPr>
              <w:t>Applies to raw materials, but not to medicines (for human or animal use)</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Carcinogens and Mutagens at Work</w:t>
            </w:r>
          </w:p>
        </w:tc>
        <w:tc>
          <w:tcPr>
            <w:tcW w:w="4536" w:type="dxa"/>
            <w:tcBorders>
              <w:top w:val="single" w:sz="4" w:space="0" w:color="auto"/>
              <w:left w:val="single" w:sz="4" w:space="0" w:color="auto"/>
              <w:bottom w:val="single" w:sz="4" w:space="0" w:color="auto"/>
              <w:right w:val="single" w:sz="4" w:space="0" w:color="auto"/>
            </w:tcBorders>
            <w:shd w:val="clear" w:color="auto" w:fill="FF0000"/>
            <w:hideMark/>
          </w:tcPr>
          <w:p w:rsidR="000B0009" w:rsidRDefault="000B0009">
            <w:pPr>
              <w:spacing w:after="0" w:line="276" w:lineRule="auto"/>
              <w:jc w:val="center"/>
              <w:rPr>
                <w:sz w:val="20"/>
                <w:szCs w:val="20"/>
              </w:rPr>
            </w:pPr>
            <w:r>
              <w:rPr>
                <w:sz w:val="20"/>
                <w:szCs w:val="20"/>
              </w:rPr>
              <w:t>Yes</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Waste Framework</w:t>
            </w:r>
          </w:p>
        </w:tc>
        <w:tc>
          <w:tcPr>
            <w:tcW w:w="4536" w:type="dxa"/>
            <w:tcBorders>
              <w:top w:val="single" w:sz="4" w:space="0" w:color="auto"/>
              <w:left w:val="single" w:sz="4" w:space="0" w:color="auto"/>
              <w:bottom w:val="single" w:sz="4" w:space="0" w:color="auto"/>
              <w:right w:val="single" w:sz="4" w:space="0" w:color="auto"/>
            </w:tcBorders>
            <w:shd w:val="clear" w:color="auto" w:fill="FFC000"/>
            <w:hideMark/>
          </w:tcPr>
          <w:p w:rsidR="000B0009" w:rsidRDefault="000B0009">
            <w:pPr>
              <w:spacing w:after="0" w:line="276" w:lineRule="auto"/>
              <w:jc w:val="center"/>
              <w:rPr>
                <w:sz w:val="20"/>
                <w:szCs w:val="20"/>
              </w:rPr>
            </w:pPr>
            <w:r>
              <w:rPr>
                <w:sz w:val="20"/>
                <w:szCs w:val="20"/>
              </w:rPr>
              <w:t>Potentially</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Industrial Emissions</w:t>
            </w:r>
          </w:p>
        </w:tc>
        <w:tc>
          <w:tcPr>
            <w:tcW w:w="4536" w:type="dxa"/>
            <w:tcBorders>
              <w:top w:val="single" w:sz="4" w:space="0" w:color="auto"/>
              <w:left w:val="single" w:sz="4" w:space="0" w:color="auto"/>
              <w:bottom w:val="single" w:sz="4" w:space="0" w:color="auto"/>
              <w:right w:val="single" w:sz="4" w:space="0" w:color="auto"/>
            </w:tcBorders>
            <w:shd w:val="clear" w:color="auto" w:fill="FFC000"/>
            <w:hideMark/>
          </w:tcPr>
          <w:p w:rsidR="000B0009" w:rsidRDefault="000B0009">
            <w:pPr>
              <w:spacing w:after="0" w:line="276" w:lineRule="auto"/>
              <w:jc w:val="center"/>
              <w:rPr>
                <w:sz w:val="20"/>
                <w:szCs w:val="20"/>
              </w:rPr>
            </w:pPr>
            <w:r>
              <w:rPr>
                <w:sz w:val="20"/>
                <w:szCs w:val="20"/>
              </w:rPr>
              <w:t>Potentially</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REACH</w:t>
            </w:r>
          </w:p>
        </w:tc>
        <w:tc>
          <w:tcPr>
            <w:tcW w:w="4536" w:type="dxa"/>
            <w:tcBorders>
              <w:top w:val="single" w:sz="4" w:space="0" w:color="auto"/>
              <w:left w:val="single" w:sz="4" w:space="0" w:color="auto"/>
              <w:bottom w:val="single" w:sz="4" w:space="0" w:color="auto"/>
              <w:right w:val="single" w:sz="4" w:space="0" w:color="auto"/>
            </w:tcBorders>
            <w:shd w:val="clear" w:color="auto" w:fill="FFC000"/>
            <w:hideMark/>
          </w:tcPr>
          <w:p w:rsidR="000B0009" w:rsidRDefault="000B0009">
            <w:pPr>
              <w:spacing w:after="0" w:line="276" w:lineRule="auto"/>
              <w:jc w:val="center"/>
              <w:rPr>
                <w:sz w:val="20"/>
                <w:szCs w:val="20"/>
              </w:rPr>
            </w:pPr>
            <w:r>
              <w:rPr>
                <w:sz w:val="20"/>
                <w:szCs w:val="20"/>
              </w:rPr>
              <w:t>Potentially</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Cosmetics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Toy Safety</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Food Contact Materials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RP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Food Additives</w:t>
            </w:r>
          </w:p>
        </w:tc>
        <w:tc>
          <w:tcPr>
            <w:tcW w:w="4536" w:type="dxa"/>
            <w:tcBorders>
              <w:top w:val="single" w:sz="4" w:space="0" w:color="auto"/>
              <w:left w:val="single" w:sz="4" w:space="0" w:color="auto"/>
              <w:bottom w:val="single" w:sz="4" w:space="0" w:color="auto"/>
              <w:right w:val="single" w:sz="4" w:space="0" w:color="auto"/>
            </w:tcBorders>
            <w:shd w:val="clear" w:color="auto" w:fill="FF0000"/>
            <w:hideMark/>
          </w:tcPr>
          <w:p w:rsidR="000B0009" w:rsidRDefault="000B0009">
            <w:pPr>
              <w:spacing w:after="0" w:line="276" w:lineRule="auto"/>
              <w:jc w:val="center"/>
              <w:rPr>
                <w:sz w:val="20"/>
                <w:szCs w:val="20"/>
              </w:rPr>
            </w:pPr>
            <w:r>
              <w:rPr>
                <w:sz w:val="20"/>
                <w:szCs w:val="20"/>
              </w:rPr>
              <w:t>Yes</w:t>
            </w:r>
          </w:p>
          <w:p w:rsidR="000B0009" w:rsidRDefault="000B0009">
            <w:pPr>
              <w:spacing w:after="0" w:line="276" w:lineRule="auto"/>
              <w:jc w:val="center"/>
              <w:rPr>
                <w:sz w:val="20"/>
                <w:szCs w:val="20"/>
              </w:rPr>
            </w:pPr>
            <w:r>
              <w:rPr>
                <w:sz w:val="20"/>
                <w:szCs w:val="20"/>
              </w:rPr>
              <w:t>TiO</w:t>
            </w:r>
            <w:r>
              <w:rPr>
                <w:sz w:val="20"/>
                <w:szCs w:val="20"/>
                <w:vertAlign w:val="subscript"/>
              </w:rPr>
              <w:t>2</w:t>
            </w:r>
            <w:r>
              <w:rPr>
                <w:sz w:val="20"/>
                <w:szCs w:val="20"/>
              </w:rPr>
              <w:t xml:space="preserve"> used in pharmaceuticals as colourant has to meet the criteria purity of E171 also used in food</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Medicinal Products (colouring matters)</w:t>
            </w:r>
          </w:p>
        </w:tc>
        <w:tc>
          <w:tcPr>
            <w:tcW w:w="4536" w:type="dxa"/>
            <w:tcBorders>
              <w:top w:val="single" w:sz="4" w:space="0" w:color="auto"/>
              <w:left w:val="single" w:sz="4" w:space="0" w:color="auto"/>
              <w:bottom w:val="single" w:sz="4" w:space="0" w:color="auto"/>
              <w:right w:val="single" w:sz="4" w:space="0" w:color="auto"/>
            </w:tcBorders>
            <w:shd w:val="clear" w:color="auto" w:fill="FF0000"/>
            <w:hideMark/>
          </w:tcPr>
          <w:p w:rsidR="000B0009" w:rsidRDefault="000B0009">
            <w:pPr>
              <w:spacing w:after="0" w:line="276" w:lineRule="auto"/>
              <w:jc w:val="center"/>
              <w:rPr>
                <w:sz w:val="20"/>
                <w:szCs w:val="20"/>
              </w:rPr>
            </w:pPr>
            <w:r>
              <w:rPr>
                <w:sz w:val="20"/>
                <w:szCs w:val="20"/>
              </w:rPr>
              <w:t>Yes</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Construction Products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Biocides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Medical devices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RoHS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Tobacco additives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bl>
    <w:p w:rsidR="000B0009" w:rsidRDefault="000B0009" w:rsidP="000B0009">
      <w:r>
        <w:t xml:space="preserve"> </w:t>
      </w:r>
    </w:p>
    <w:p w:rsidR="000B0009" w:rsidRDefault="000B0009" w:rsidP="000B0009">
      <w:pPr>
        <w:pStyle w:val="berschrift4"/>
      </w:pPr>
      <w:r>
        <w:t>Impacts on the marketing and use of titanium dioxide-containing products</w:t>
      </w:r>
    </w:p>
    <w:p w:rsidR="000B0009" w:rsidRDefault="000B0009" w:rsidP="000B0009">
      <w:pPr>
        <w:pStyle w:val="berschrift5"/>
      </w:pPr>
      <w:r>
        <w:t>Possibilities and cost of reformulation</w:t>
      </w:r>
    </w:p>
    <w:p w:rsidR="000B0009" w:rsidRDefault="000B0009" w:rsidP="000B0009">
      <w:r>
        <w:t>TiO</w:t>
      </w:r>
      <w:r>
        <w:rPr>
          <w:vertAlign w:val="subscript"/>
        </w:rPr>
        <w:t>2</w:t>
      </w:r>
      <w:r>
        <w:t xml:space="preserve"> is added in film coatings because this adheres to and covers the tablet core best.  Without the use of TiO</w:t>
      </w:r>
      <w:r>
        <w:rPr>
          <w:vertAlign w:val="subscript"/>
        </w:rPr>
        <w:t>2</w:t>
      </w:r>
      <w:r>
        <w:t>, the colour is not as smooth and homogeneous, and the colour, spots, and different coloured powder particles show through.  Better coverage means better stability of the ingredients and better appearance.</w:t>
      </w:r>
    </w:p>
    <w:p w:rsidR="000B0009" w:rsidRDefault="000B0009" w:rsidP="000B0009">
      <w:r>
        <w:lastRenderedPageBreak/>
        <w:t>As noted by BAH, there are no alternatives available offering the same/required characteristics of TiO</w:t>
      </w:r>
      <w:r>
        <w:rPr>
          <w:vertAlign w:val="subscript"/>
        </w:rPr>
        <w:t>2</w:t>
      </w:r>
      <w:r>
        <w:t xml:space="preserve"> (excellent white pigment, chemical inertness, high stability against UV light) and some may be accompanied by their own hazards (e.g. </w:t>
      </w:r>
      <w:proofErr w:type="spellStart"/>
      <w:r>
        <w:t>ZnO</w:t>
      </w:r>
      <w:proofErr w:type="spellEnd"/>
      <w:r>
        <w:t>).  Much higher volumes of alternative pigments and longer application times would be required to obtain a similar whiteness.</w:t>
      </w:r>
    </w:p>
    <w:p w:rsidR="000B0009" w:rsidRDefault="000B0009" w:rsidP="000B0009">
      <w:r>
        <w:t>Since TiO</w:t>
      </w:r>
      <w:r>
        <w:rPr>
          <w:vertAlign w:val="subscript"/>
        </w:rPr>
        <w:t>2</w:t>
      </w:r>
      <w:r>
        <w:t xml:space="preserve"> is used in the great majority of coloured pharmaceutical and dietary supplement tablets and capsules, either as a sole colourant or in combination with other pigments to produce a range of colours, it is estimated that TiO</w:t>
      </w:r>
      <w:r>
        <w:rPr>
          <w:vertAlign w:val="subscript"/>
        </w:rPr>
        <w:t>2</w:t>
      </w:r>
      <w:r>
        <w:t xml:space="preserve"> is used in thousands of medicinal and dietary supplement products globally.  This is especially significant since medicinal product manufacturers and global regulatory authorities have carefully reviewed drug and dietary supplement products for potential hazards within the context of clinical trials and other safety studies involving animals and humans </w:t>
      </w:r>
      <w:sdt>
        <w:sdtPr>
          <w:id w:val="790943929"/>
          <w:citation/>
        </w:sdtPr>
        <w:sdtContent>
          <w:r>
            <w:fldChar w:fldCharType="begin"/>
          </w:r>
          <w:r>
            <w:instrText xml:space="preserve"> CITATION Col16 \l 2057 </w:instrText>
          </w:r>
          <w:r>
            <w:fldChar w:fldCharType="separate"/>
          </w:r>
          <w:r>
            <w:rPr>
              <w:noProof/>
            </w:rPr>
            <w:t>(Colorcon, 2016)</w:t>
          </w:r>
          <w:r>
            <w:fldChar w:fldCharType="end"/>
          </w:r>
        </w:sdtContent>
      </w:sdt>
      <w:r>
        <w:t xml:space="preserve">. </w:t>
      </w:r>
    </w:p>
    <w:p w:rsidR="000B0009" w:rsidRDefault="000B0009" w:rsidP="000B0009">
      <w:r>
        <w:t>Therefore, there would be a need for complete reformulation of very many products with a high effort not only in terms of R&amp;D.  A change in the formulation of a medicinal product requires comprehensive studies of efficacy, safety and stability of the new formulations.  New stability studies would last for several years (the shelf-life of most medicines is three or more years).  A technical dossier showing compatibility, stability and drug efficacy would need to be developed, which is expected to cost several million Euros per medicinal product.  Since TiO</w:t>
      </w:r>
      <w:r>
        <w:rPr>
          <w:vertAlign w:val="subscript"/>
        </w:rPr>
        <w:t>2</w:t>
      </w:r>
      <w:r>
        <w:t xml:space="preserve"> is used in hundreds of pharmaceutical products in Europe, the total industry costs for a change could easily be in the range of billions of Euros.  Only after all of these activities have been carried out, which may take years, could reformulated products be brought on the market to replace the existing portfolio in the EEA. </w:t>
      </w:r>
    </w:p>
    <w:p w:rsidR="000B0009" w:rsidRDefault="000B0009" w:rsidP="000B0009">
      <w:r>
        <w:t xml:space="preserve">Finally, it is worth noting that testing the stability of the newly changed formulations would necessitate an unprecedented volume of tests.  Their organisational and financial challenges would exceed anything previously seen in this field </w:t>
      </w:r>
      <w:sdt>
        <w:sdtPr>
          <w:id w:val="-1833675606"/>
          <w:citation/>
        </w:sdtPr>
        <w:sdtContent>
          <w:r>
            <w:fldChar w:fldCharType="begin"/>
          </w:r>
          <w:r>
            <w:instrText xml:space="preserve"> CITATION VCI16 \l 2057 </w:instrText>
          </w:r>
          <w:r>
            <w:fldChar w:fldCharType="separate"/>
          </w:r>
          <w:r>
            <w:rPr>
              <w:noProof/>
            </w:rPr>
            <w:t>(VCI, 2016)</w:t>
          </w:r>
          <w:r>
            <w:fldChar w:fldCharType="end"/>
          </w:r>
        </w:sdtContent>
      </w:sdt>
      <w:r>
        <w:t>.</w:t>
      </w:r>
    </w:p>
    <w:p w:rsidR="000B0009" w:rsidRDefault="000B0009" w:rsidP="000B0009">
      <w:pPr>
        <w:pStyle w:val="berschrift5"/>
      </w:pPr>
      <w:r>
        <w:t>Market and economic losses</w:t>
      </w:r>
    </w:p>
    <w:p w:rsidR="000B0009" w:rsidRDefault="000B0009" w:rsidP="000B0009">
      <w:r>
        <w:t>There are several elements that would lead to economic losses:</w:t>
      </w:r>
    </w:p>
    <w:p w:rsidR="000B0009" w:rsidRPr="000B0009" w:rsidRDefault="000B0009" w:rsidP="000B0009">
      <w:pPr>
        <w:pStyle w:val="Bulletlist"/>
        <w:numPr>
          <w:ilvl w:val="0"/>
          <w:numId w:val="3"/>
        </w:numPr>
        <w:rPr>
          <w:lang w:val="en-US"/>
        </w:rPr>
      </w:pPr>
      <w:r w:rsidRPr="000B0009">
        <w:rPr>
          <w:b/>
          <w:lang w:val="en-US"/>
        </w:rPr>
        <w:t>Possibilities for an exemption from a restriction on the use of TiO</w:t>
      </w:r>
      <w:r w:rsidRPr="000B0009">
        <w:rPr>
          <w:b/>
          <w:vertAlign w:val="subscript"/>
          <w:lang w:val="en-US"/>
        </w:rPr>
        <w:t>2</w:t>
      </w:r>
      <w:r w:rsidRPr="000B0009">
        <w:rPr>
          <w:lang w:val="en-US"/>
        </w:rPr>
        <w:t>:  according to a 2007 opinion by the Committee for Medicinal Products for Human Use (CHMP) of the European Medicines Agency, “</w:t>
      </w:r>
      <w:r w:rsidRPr="000B0009">
        <w:rPr>
          <w:i/>
          <w:lang w:val="en-US"/>
        </w:rPr>
        <w:t xml:space="preserve">in the event that CMR toxicity has been identified for an excipient, the rule is to avoid and replace this excipient. In the rare cases where this would not be possible, the use of such CMR excipients in a medicinal product would only be considered after careful evaluation of the benefits of the medicinal product in the target patient population versus the potential risks (…) any risk identified for an excipient and in particular a CMR substance, would be acceptable only on condition that this excipient cannot be substituted with a safer available alternative, or that the toxicological effects in animal models are considered not relevant for humans (e.g. species specific, very large safety ratio), or where the overall benefit/risk balance for the product outweighs the safety concern with the product.  Overall, the use of any excipient with a known potential toxicity, and which could not be avoided or replaced, would only be </w:t>
      </w:r>
      <w:proofErr w:type="spellStart"/>
      <w:r w:rsidRPr="000B0009">
        <w:rPr>
          <w:i/>
          <w:lang w:val="en-US"/>
        </w:rPr>
        <w:t>authorised</w:t>
      </w:r>
      <w:proofErr w:type="spellEnd"/>
      <w:r w:rsidRPr="000B0009">
        <w:rPr>
          <w:i/>
          <w:lang w:val="en-US"/>
        </w:rPr>
        <w:t xml:space="preserve"> if the safety profile was considered to be clinically acceptable in the conditions of use, taking into account the duration of treatment, the sensitivity of the target population and the benefit-risk ratio for the particular therapeutic indication</w:t>
      </w:r>
      <w:r w:rsidRPr="000B0009">
        <w:rPr>
          <w:lang w:val="en-US"/>
        </w:rPr>
        <w:t xml:space="preserve">” </w:t>
      </w:r>
      <w:sdt>
        <w:sdtPr>
          <w:id w:val="1141542683"/>
          <w:citation/>
        </w:sdtPr>
        <w:sdtContent>
          <w:r>
            <w:fldChar w:fldCharType="begin"/>
          </w:r>
          <w:r w:rsidRPr="000B0009">
            <w:rPr>
              <w:lang w:val="en-US"/>
            </w:rPr>
            <w:instrText xml:space="preserve"> CITATION Eur072 \l 2057 </w:instrText>
          </w:r>
          <w:r>
            <w:fldChar w:fldCharType="separate"/>
          </w:r>
          <w:r w:rsidRPr="000B0009">
            <w:rPr>
              <w:noProof/>
              <w:lang w:val="en-US"/>
            </w:rPr>
            <w:t>(European Medicines Agency, 2007)</w:t>
          </w:r>
          <w:r>
            <w:fldChar w:fldCharType="end"/>
          </w:r>
        </w:sdtContent>
      </w:sdt>
      <w:r w:rsidRPr="000B0009">
        <w:rPr>
          <w:lang w:val="en-US"/>
        </w:rPr>
        <w:t>.  As a result, and given the discussion presented earlier on food additives and how the use of TiO</w:t>
      </w:r>
      <w:r w:rsidRPr="000B0009">
        <w:rPr>
          <w:vertAlign w:val="subscript"/>
          <w:lang w:val="en-US"/>
        </w:rPr>
        <w:t>2</w:t>
      </w:r>
      <w:r w:rsidRPr="000B0009">
        <w:rPr>
          <w:lang w:val="en-US"/>
        </w:rPr>
        <w:t xml:space="preserve"> in food might continue after the introduction of the proposed classification, it is possible that TiO</w:t>
      </w:r>
      <w:r w:rsidRPr="000B0009">
        <w:rPr>
          <w:vertAlign w:val="subscript"/>
          <w:lang w:val="en-US"/>
        </w:rPr>
        <w:t>2</w:t>
      </w:r>
      <w:r w:rsidRPr="000B0009">
        <w:rPr>
          <w:lang w:val="en-US"/>
        </w:rPr>
        <w:t xml:space="preserve"> use in pharmaceuticals might continue given that inhalation exposure is generally of no relevance to medicine consumption.  The cost of this review and approval process cannot be estimated; however the large number of impacted products could make this a costly exercise.</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0"/>
        </w:numPr>
        <w:ind w:left="360"/>
        <w:rPr>
          <w:lang w:val="en-US"/>
        </w:rPr>
      </w:pPr>
      <w:r w:rsidRPr="000B0009">
        <w:rPr>
          <w:lang w:val="en-US"/>
        </w:rPr>
        <w:t>It can be envisaged, however, that pharmaceutical companies would in many cases elect not to use TiO</w:t>
      </w:r>
      <w:r w:rsidRPr="000B0009">
        <w:rPr>
          <w:vertAlign w:val="subscript"/>
          <w:lang w:val="en-US"/>
        </w:rPr>
        <w:t>2</w:t>
      </w:r>
      <w:r w:rsidRPr="000B0009">
        <w:rPr>
          <w:lang w:val="en-US"/>
        </w:rPr>
        <w:t xml:space="preserve"> due to perceptions about its safety whether substantiated or not.</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0"/>
        </w:numPr>
        <w:ind w:left="360"/>
        <w:rPr>
          <w:lang w:val="en-US"/>
        </w:rPr>
      </w:pPr>
      <w:r w:rsidRPr="000B0009">
        <w:rPr>
          <w:lang w:val="en-US"/>
        </w:rPr>
        <w:lastRenderedPageBreak/>
        <w:t>If the use of TiO</w:t>
      </w:r>
      <w:r w:rsidRPr="000B0009">
        <w:rPr>
          <w:vertAlign w:val="subscript"/>
          <w:lang w:val="en-US"/>
        </w:rPr>
        <w:t>2</w:t>
      </w:r>
      <w:r w:rsidRPr="000B0009">
        <w:rPr>
          <w:lang w:val="en-US"/>
        </w:rPr>
        <w:t xml:space="preserve"> in the EEA were to be prohibited, it could be expected that countries outside the EEA would follow suit.  Then the manufacturers would have to carry out the same activities as mentioned above, for example re-registration.  This could take additional years and lead to additional high costs.  These thousands of regulatory induced variations would not confer any additional benefit to the patients;</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b/>
          <w:lang w:val="en-US"/>
        </w:rPr>
        <w:t>Increase in the manufacturing cost</w:t>
      </w:r>
      <w:r w:rsidRPr="000B0009">
        <w:rPr>
          <w:lang w:val="en-US"/>
        </w:rPr>
        <w:t xml:space="preserve">:  if an exemption were granted to allow a particular use of a </w:t>
      </w:r>
      <w:proofErr w:type="spellStart"/>
      <w:r w:rsidRPr="000B0009">
        <w:rPr>
          <w:lang w:val="en-US"/>
        </w:rPr>
        <w:t>Carc</w:t>
      </w:r>
      <w:proofErr w:type="spellEnd"/>
      <w:r w:rsidRPr="000B0009">
        <w:rPr>
          <w:lang w:val="en-US"/>
        </w:rPr>
        <w:t xml:space="preserve"> Cat 1B substance in pharmaceuticals, the need to comply with worker safety legislation would mean additional costs for the protection of workers from inhalation of TiO</w:t>
      </w:r>
      <w:r w:rsidRPr="000B0009">
        <w:rPr>
          <w:vertAlign w:val="subscript"/>
          <w:lang w:val="en-US"/>
        </w:rPr>
        <w:t>2</w:t>
      </w:r>
      <w:r w:rsidRPr="000B0009">
        <w:rPr>
          <w:lang w:val="en-US"/>
        </w:rPr>
        <w:t xml:space="preserve"> powders.  This would increase the cost of manufacturing medicines and thus could lead to loss of competitiveness and market share.  According to BAH, for some small companies the costs associated with the continued use of TiO</w:t>
      </w:r>
      <w:r w:rsidRPr="000B0009">
        <w:rPr>
          <w:vertAlign w:val="subscript"/>
          <w:lang w:val="en-US"/>
        </w:rPr>
        <w:t>2</w:t>
      </w:r>
      <w:r w:rsidRPr="000B0009">
        <w:rPr>
          <w:lang w:val="en-US"/>
        </w:rPr>
        <w:t xml:space="preserve"> might be so high that the companies would be forced to stop manufacturing some of their products;</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b/>
          <w:lang w:val="en-US"/>
        </w:rPr>
        <w:t>Patient perceptions</w:t>
      </w:r>
      <w:r w:rsidRPr="000B0009">
        <w:rPr>
          <w:lang w:val="en-US"/>
        </w:rPr>
        <w:t>:  it would clearly be confusing for patients to be informed that an ingredient used in so many different medicinal products is actually a carcinogen.  While there is essentially no safety risk associated with consuming pharmaceuticals, dietary supplements and foods containing TiO</w:t>
      </w:r>
      <w:r w:rsidRPr="000B0009">
        <w:rPr>
          <w:vertAlign w:val="subscript"/>
          <w:lang w:val="en-US"/>
        </w:rPr>
        <w:t>2</w:t>
      </w:r>
      <w:r w:rsidRPr="000B0009">
        <w:rPr>
          <w:lang w:val="en-US"/>
        </w:rPr>
        <w:t>, it is unlikely that patients and the public at large would be sufficiently informed to know that the critical route of exposure is inhalation and may become reluctant to orally consume medication they perceive as potentially detrimental to their health</w:t>
      </w:r>
      <w:r>
        <w:rPr>
          <w:rStyle w:val="Funotenzeichen"/>
        </w:rPr>
        <w:footnoteReference w:id="7"/>
      </w:r>
      <w:r w:rsidRPr="000B0009">
        <w:rPr>
          <w:lang w:val="en-US"/>
        </w:rPr>
        <w:t>.  Such perceptions could have an adverse impact on the sales of pharmaceuticals and nutraceuticals and would inevitably cause some companies to try to unnecessarily reformulate their products due to concern over consumer perceptions.</w:t>
      </w:r>
    </w:p>
    <w:p w:rsidR="000B0009" w:rsidRDefault="000B0009" w:rsidP="000B0009">
      <w:pPr>
        <w:pStyle w:val="berschrift4"/>
      </w:pPr>
      <w:r>
        <w:t>Social impacts</w:t>
      </w:r>
    </w:p>
    <w:p w:rsidR="000B0009" w:rsidRDefault="000B0009" w:rsidP="000B0009">
      <w:pPr>
        <w:pStyle w:val="berschrift5"/>
      </w:pPr>
      <w:r>
        <w:t>Employment impacts</w:t>
      </w:r>
    </w:p>
    <w:p w:rsidR="000B0009" w:rsidRDefault="000B0009" w:rsidP="000B0009">
      <w:r>
        <w:t>Employment impacts cannot be estimated as they would largely depend on whether TiO</w:t>
      </w:r>
      <w:r>
        <w:rPr>
          <w:vertAlign w:val="subscript"/>
        </w:rPr>
        <w:t>2</w:t>
      </w:r>
      <w:r>
        <w:t xml:space="preserve"> would remain an approved excipient.  If reformulation became necessary, the large cost of reformulation and variations to marketing authorisations could have an impact on the levels of employment, particularly among smaller companies in the pharmaceuticals sector.</w:t>
      </w:r>
    </w:p>
    <w:p w:rsidR="000B0009" w:rsidRDefault="000B0009" w:rsidP="000B0009">
      <w:pPr>
        <w:pStyle w:val="berschrift5"/>
      </w:pPr>
      <w:r>
        <w:t>Impacts on the welfare of consumers</w:t>
      </w:r>
    </w:p>
    <w:p w:rsidR="000B0009" w:rsidRDefault="000B0009" w:rsidP="000B0009">
      <w:r>
        <w:t>The proposed classification for TiO</w:t>
      </w:r>
      <w:r>
        <w:rPr>
          <w:vertAlign w:val="subscript"/>
        </w:rPr>
        <w:t>2</w:t>
      </w:r>
      <w:r>
        <w:t xml:space="preserve"> could have notable impacts on consumer choice and welfare.  The following impacts should be noted:</w:t>
      </w:r>
    </w:p>
    <w:p w:rsidR="000B0009" w:rsidRPr="000B0009" w:rsidRDefault="000B0009" w:rsidP="000B0009">
      <w:pPr>
        <w:pStyle w:val="Bulletlist"/>
        <w:numPr>
          <w:ilvl w:val="0"/>
          <w:numId w:val="3"/>
        </w:numPr>
        <w:rPr>
          <w:lang w:val="en-US"/>
        </w:rPr>
      </w:pPr>
      <w:r w:rsidRPr="000B0009">
        <w:rPr>
          <w:b/>
          <w:lang w:val="en-US"/>
        </w:rPr>
        <w:t>Loss of consumer products from the market</w:t>
      </w:r>
      <w:r w:rsidRPr="000B0009">
        <w:rPr>
          <w:lang w:val="en-US"/>
        </w:rPr>
        <w:t>:  if a reformulation is required, it can be considered certain that reformulation of some products would prove too costly with a consequent removal of products from the market;</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b/>
          <w:lang w:val="en-US"/>
        </w:rPr>
        <w:t>Increased cost and loss of technical performance</w:t>
      </w:r>
      <w:r w:rsidRPr="000B0009">
        <w:rPr>
          <w:lang w:val="en-US"/>
        </w:rPr>
        <w:t>:  the cost of reformulation would most likely be passed on to consumers (patients);</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b/>
          <w:lang w:val="en-US"/>
        </w:rPr>
        <w:t>Loss of consumer satisfaction</w:t>
      </w:r>
      <w:r w:rsidRPr="000B0009">
        <w:rPr>
          <w:lang w:val="en-US"/>
        </w:rPr>
        <w:t>: clearly, if TiO</w:t>
      </w:r>
      <w:r w:rsidRPr="000B0009">
        <w:rPr>
          <w:vertAlign w:val="subscript"/>
          <w:lang w:val="en-US"/>
        </w:rPr>
        <w:t>2</w:t>
      </w:r>
      <w:r w:rsidRPr="000B0009">
        <w:rPr>
          <w:lang w:val="en-US"/>
        </w:rPr>
        <w:t xml:space="preserve"> is classified as a carcinogen, its continued use in medicinal products would cause significant confusion and alarm among patients.  If TiO</w:t>
      </w:r>
      <w:r w:rsidRPr="000B0009">
        <w:rPr>
          <w:vertAlign w:val="subscript"/>
          <w:lang w:val="en-US"/>
        </w:rPr>
        <w:t>2</w:t>
      </w:r>
      <w:r w:rsidRPr="000B0009">
        <w:rPr>
          <w:lang w:val="en-US"/>
        </w:rPr>
        <w:t xml:space="preserve"> is substituted, the unsightly appearance of medicinal products without any real health benefit would cause dissatisfaction and reduce patients’ confidence in the quality of the products.  Moreover, TiO</w:t>
      </w:r>
      <w:r w:rsidRPr="000B0009">
        <w:rPr>
          <w:vertAlign w:val="subscript"/>
          <w:lang w:val="en-US"/>
        </w:rPr>
        <w:t>2</w:t>
      </w:r>
      <w:r w:rsidRPr="000B0009">
        <w:rPr>
          <w:lang w:val="en-US"/>
        </w:rPr>
        <w:t xml:space="preserve"> has a very high level of stability under UV light enabling further protection of the APIs of medicinal products, as is the case with the capsule shells of opaque capsules, for example.  Its </w:t>
      </w:r>
      <w:r w:rsidRPr="000B0009">
        <w:rPr>
          <w:lang w:val="en-US"/>
        </w:rPr>
        <w:lastRenderedPageBreak/>
        <w:t>substitution (as well as its removal from the packaging) could lead to shorter shelf lives and expiry dates for medicinal products;</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b/>
          <w:lang w:val="en-US"/>
        </w:rPr>
        <w:t>Adverse impacts on public health</w:t>
      </w:r>
      <w:r w:rsidRPr="000B0009">
        <w:rPr>
          <w:lang w:val="en-US"/>
        </w:rPr>
        <w:t>:  whether TiO</w:t>
      </w:r>
      <w:r w:rsidRPr="000B0009">
        <w:rPr>
          <w:vertAlign w:val="subscript"/>
          <w:lang w:val="en-US"/>
        </w:rPr>
        <w:t>2</w:t>
      </w:r>
      <w:r w:rsidRPr="000B0009">
        <w:rPr>
          <w:lang w:val="en-US"/>
        </w:rPr>
        <w:t xml:space="preserve"> would be reformulated out of products or would continue to be used with higher manufacturing costs, ultimately the increased cost of medication would be passed on to the national health services of EEA Member States.  If reformulation took place, pharmaceuticals manufacturers might choose to use a potential TiO</w:t>
      </w:r>
      <w:r w:rsidRPr="000B0009">
        <w:rPr>
          <w:vertAlign w:val="subscript"/>
          <w:lang w:val="en-US"/>
        </w:rPr>
        <w:t>2</w:t>
      </w:r>
      <w:r w:rsidRPr="000B0009">
        <w:rPr>
          <w:lang w:val="en-US"/>
        </w:rPr>
        <w:t xml:space="preserve"> replacement with a less well understood safety profile and/or shorter history of use, thereby increasing the risk of harm to consumers.  In addition, the use of TiO</w:t>
      </w:r>
      <w:r w:rsidRPr="000B0009">
        <w:rPr>
          <w:vertAlign w:val="subscript"/>
          <w:lang w:val="en-US"/>
        </w:rPr>
        <w:t>2</w:t>
      </w:r>
      <w:r w:rsidRPr="000B0009">
        <w:rPr>
          <w:lang w:val="en-US"/>
        </w:rPr>
        <w:t xml:space="preserve"> alongside other </w:t>
      </w:r>
      <w:proofErr w:type="spellStart"/>
      <w:r w:rsidRPr="000B0009">
        <w:rPr>
          <w:lang w:val="en-US"/>
        </w:rPr>
        <w:t>colourants</w:t>
      </w:r>
      <w:proofErr w:type="spellEnd"/>
      <w:r w:rsidRPr="000B0009">
        <w:rPr>
          <w:lang w:val="en-US"/>
        </w:rPr>
        <w:t xml:space="preserve"> enables pharmaceuticals manufacturers to produce medicinal products with a great variety of </w:t>
      </w:r>
      <w:proofErr w:type="spellStart"/>
      <w:r w:rsidRPr="000B0009">
        <w:rPr>
          <w:lang w:val="en-US"/>
        </w:rPr>
        <w:t>colours</w:t>
      </w:r>
      <w:proofErr w:type="spellEnd"/>
      <w:r w:rsidRPr="000B0009">
        <w:rPr>
          <w:lang w:val="en-US"/>
        </w:rPr>
        <w:t xml:space="preserve">.  </w:t>
      </w:r>
      <w:proofErr w:type="spellStart"/>
      <w:r w:rsidRPr="000B0009">
        <w:rPr>
          <w:lang w:val="en-US"/>
        </w:rPr>
        <w:t>Coloured</w:t>
      </w:r>
      <w:proofErr w:type="spellEnd"/>
      <w:r w:rsidRPr="000B0009">
        <w:rPr>
          <w:lang w:val="en-US"/>
        </w:rPr>
        <w:t xml:space="preserve"> pharmaceutical products are highly desirable, since they support brand identification and reduce the potential for medication errors.  Without TiO</w:t>
      </w:r>
      <w:r w:rsidRPr="000B0009">
        <w:rPr>
          <w:vertAlign w:val="subscript"/>
          <w:lang w:val="en-US"/>
        </w:rPr>
        <w:t>2</w:t>
      </w:r>
      <w:r w:rsidRPr="000B0009">
        <w:rPr>
          <w:lang w:val="en-US"/>
        </w:rPr>
        <w:t xml:space="preserve">, the available </w:t>
      </w:r>
      <w:proofErr w:type="spellStart"/>
      <w:r w:rsidRPr="000B0009">
        <w:rPr>
          <w:lang w:val="en-US"/>
        </w:rPr>
        <w:t>colour</w:t>
      </w:r>
      <w:proofErr w:type="spellEnd"/>
      <w:r w:rsidRPr="000B0009">
        <w:rPr>
          <w:lang w:val="en-US"/>
        </w:rPr>
        <w:t xml:space="preserve"> palette would be much more limited and as the number of possible </w:t>
      </w:r>
      <w:proofErr w:type="spellStart"/>
      <w:r w:rsidRPr="000B0009">
        <w:rPr>
          <w:lang w:val="en-US"/>
        </w:rPr>
        <w:t>colour</w:t>
      </w:r>
      <w:proofErr w:type="spellEnd"/>
      <w:r w:rsidRPr="000B0009">
        <w:rPr>
          <w:lang w:val="en-US"/>
        </w:rPr>
        <w:t xml:space="preserve"> options for pharmaceutical products decreases, the probability of medication errors increases.</w:t>
      </w:r>
    </w:p>
    <w:p w:rsidR="000B0009" w:rsidRDefault="000B0009" w:rsidP="000B0009">
      <w:pPr>
        <w:pStyle w:val="berschrift4"/>
      </w:pPr>
      <w:r>
        <w:t>Competitiveness and competition impacts</w:t>
      </w:r>
    </w:p>
    <w:p w:rsidR="000B0009" w:rsidRDefault="000B0009" w:rsidP="000B0009">
      <w:pPr>
        <w:pStyle w:val="berschrift5"/>
      </w:pPr>
      <w:r>
        <w:t>Impacts on the competitiveness of EEA-based companies</w:t>
      </w:r>
    </w:p>
    <w:p w:rsidR="000B0009" w:rsidRDefault="000B0009" w:rsidP="000B0009">
      <w:r>
        <w:t>EEA pharmaceuticals companies also sell their medicinal products outside the EEA.  An increase in their cost of manufacture and their market prices would lead to declining sales figures outside the EEA.</w:t>
      </w:r>
    </w:p>
    <w:p w:rsidR="000B0009" w:rsidRDefault="000B0009" w:rsidP="000B0009">
      <w:pPr>
        <w:pStyle w:val="berschrift5"/>
      </w:pPr>
      <w:r>
        <w:t>Impacts on intra-EEA competition</w:t>
      </w:r>
    </w:p>
    <w:p w:rsidR="000B0009" w:rsidRDefault="000B0009" w:rsidP="000B0009">
      <w:r>
        <w:t>Particularly for SMEs it would be difficult to invest in the higher safety requirements for manufacturing, or in reformulating products.  It could be that some smaller companies would prove unable to hold on to their full portfolio or face the risk of business closure.  A concentration of the business activity to some larger companies would be a possibility.</w:t>
      </w:r>
    </w:p>
    <w:p w:rsidR="000B0009" w:rsidRDefault="000B0009"/>
    <w:p w:rsidR="000B0009" w:rsidRDefault="000B0009" w:rsidP="000B0009">
      <w:pPr>
        <w:pStyle w:val="berschrift3"/>
        <w:rPr>
          <w:b/>
          <w:bCs/>
        </w:rPr>
      </w:pPr>
      <w:bookmarkStart w:id="21" w:name="_Toc470188669"/>
      <w:r>
        <w:rPr>
          <w:b/>
          <w:bCs/>
        </w:rPr>
        <w:t>Medical devices</w:t>
      </w:r>
      <w:bookmarkEnd w:id="21"/>
    </w:p>
    <w:p w:rsidR="000B0009" w:rsidRDefault="000B0009" w:rsidP="000B0009">
      <w:pPr>
        <w:pStyle w:val="berschrift4"/>
        <w:rPr>
          <w:lang w:eastAsia="en-GB"/>
        </w:rPr>
      </w:pPr>
      <w:r>
        <w:rPr>
          <w:lang w:eastAsia="en-GB"/>
        </w:rPr>
        <w:t>Key market descriptors</w:t>
      </w:r>
    </w:p>
    <w:p w:rsidR="000B0009" w:rsidRDefault="000B0009" w:rsidP="000B0009">
      <w:pPr>
        <w:rPr>
          <w:lang w:eastAsia="en-GB"/>
        </w:rPr>
      </w:pPr>
      <w:r>
        <w:rPr>
          <w:lang w:eastAsia="en-GB"/>
        </w:rPr>
        <w:t>Information available is limited to dental restoration products.  The Federation of the European Dental Industry (FIDE) represents nearly 600 companies located in Austria, Belgium, Denmark, France, Italy, Luxembourg, the Netherlands, Spain and the UK.  Among them, Germany, Italy, the UK, France and Spain are the most important locations for manufacturers of dental restoration products that contain TiO</w:t>
      </w:r>
      <w:r>
        <w:rPr>
          <w:vertAlign w:val="subscript"/>
          <w:lang w:eastAsia="en-GB"/>
        </w:rPr>
        <w:t>2</w:t>
      </w:r>
      <w:r>
        <w:rPr>
          <w:lang w:eastAsia="en-GB"/>
        </w:rPr>
        <w:t>.  Many companies (85 %) of the dental industry in Europe are SMEs.</w:t>
      </w:r>
    </w:p>
    <w:p w:rsidR="000B0009" w:rsidRDefault="000B0009" w:rsidP="000B0009">
      <w:pPr>
        <w:rPr>
          <w:lang w:eastAsia="en-GB"/>
        </w:rPr>
      </w:pPr>
      <w:r>
        <w:rPr>
          <w:lang w:eastAsia="en-GB"/>
        </w:rPr>
        <w:t>The volumes of TiO</w:t>
      </w:r>
      <w:r>
        <w:rPr>
          <w:vertAlign w:val="subscript"/>
          <w:lang w:eastAsia="en-GB"/>
        </w:rPr>
        <w:t>2</w:t>
      </w:r>
      <w:r>
        <w:rPr>
          <w:lang w:eastAsia="en-GB"/>
        </w:rPr>
        <w:t xml:space="preserve">-based products manufactured range from a few hundred kilograms to 100 tonnes per company per year. </w:t>
      </w:r>
    </w:p>
    <w:p w:rsidR="000B0009" w:rsidRDefault="000B0009" w:rsidP="000B0009">
      <w:pPr>
        <w:rPr>
          <w:lang w:eastAsia="en-GB"/>
        </w:rPr>
      </w:pPr>
      <w:r>
        <w:rPr>
          <w:lang w:eastAsia="en-GB"/>
        </w:rPr>
        <w:t>In addition, most devices contain small amounts of TiO</w:t>
      </w:r>
      <w:r>
        <w:rPr>
          <w:vertAlign w:val="subscript"/>
          <w:lang w:eastAsia="en-GB"/>
        </w:rPr>
        <w:t>2</w:t>
      </w:r>
      <w:r>
        <w:rPr>
          <w:lang w:eastAsia="en-GB"/>
        </w:rPr>
        <w:t xml:space="preserve"> as pigment in plastic parts, as discussed above.</w:t>
      </w:r>
    </w:p>
    <w:p w:rsidR="000B0009" w:rsidRDefault="000B0009" w:rsidP="000B0009">
      <w:pPr>
        <w:pStyle w:val="berschrift4"/>
      </w:pPr>
      <w:r>
        <w:t>Relevant legislation</w:t>
      </w:r>
    </w:p>
    <w:p w:rsidR="000B0009" w:rsidRDefault="000B0009" w:rsidP="000B0009">
      <w:r>
        <w:fldChar w:fldCharType="begin"/>
      </w:r>
      <w:r>
        <w:instrText xml:space="preserve"> REF _Ref464739895 \h  \* MERGEFORMAT </w:instrText>
      </w:r>
      <w:r>
        <w:fldChar w:fldCharType="separate"/>
      </w:r>
      <w:r>
        <w:rPr>
          <w:b/>
        </w:rPr>
        <w:t xml:space="preserve">Table </w:t>
      </w:r>
      <w:r>
        <w:rPr>
          <w:b/>
          <w:noProof/>
        </w:rPr>
        <w:t>4</w:t>
      </w:r>
      <w:r>
        <w:rPr>
          <w:b/>
        </w:rPr>
        <w:t>–</w:t>
      </w:r>
      <w:r>
        <w:rPr>
          <w:b/>
          <w:noProof/>
        </w:rPr>
        <w:t>20</w:t>
      </w:r>
      <w:r>
        <w:fldChar w:fldCharType="end"/>
      </w:r>
      <w:r>
        <w:t xml:space="preserve"> summarises the legislation that would be of relevance to the use of TiO</w:t>
      </w:r>
      <w:r>
        <w:rPr>
          <w:vertAlign w:val="subscript"/>
        </w:rPr>
        <w:t>2</w:t>
      </w:r>
      <w:r>
        <w:t xml:space="preserve"> in medical device applications in the EEA, after the adoption of the proposed hazard classification.  Additional detail is available in Annex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56"/>
        <w:gridCol w:w="4452"/>
      </w:tblGrid>
      <w:tr w:rsidR="000B0009" w:rsidRPr="000B0009" w:rsidTr="000B0009">
        <w:tc>
          <w:tcPr>
            <w:tcW w:w="9072" w:type="dxa"/>
            <w:gridSpan w:val="2"/>
            <w:tcBorders>
              <w:top w:val="single" w:sz="4" w:space="0" w:color="auto"/>
              <w:left w:val="single" w:sz="4" w:space="0" w:color="auto"/>
              <w:bottom w:val="single" w:sz="4" w:space="0" w:color="auto"/>
              <w:right w:val="single" w:sz="4" w:space="0" w:color="auto"/>
            </w:tcBorders>
            <w:shd w:val="clear" w:color="auto" w:fill="569BBE"/>
            <w:hideMark/>
          </w:tcPr>
          <w:p w:rsidR="000B0009" w:rsidRDefault="000B0009">
            <w:pPr>
              <w:spacing w:after="0" w:line="276" w:lineRule="auto"/>
              <w:rPr>
                <w:sz w:val="20"/>
              </w:rPr>
            </w:pPr>
            <w:bookmarkStart w:id="22" w:name="_Ref464739895"/>
            <w:r>
              <w:rPr>
                <w:b/>
                <w:color w:val="FFFFFF" w:themeColor="background1"/>
                <w:sz w:val="20"/>
                <w:szCs w:val="20"/>
              </w:rPr>
              <w:t xml:space="preserve">Table </w:t>
            </w:r>
            <w:r>
              <w:fldChar w:fldCharType="begin"/>
            </w:r>
            <w:r>
              <w:rPr>
                <w:b/>
                <w:color w:val="FFFFFF" w:themeColor="background1"/>
                <w:sz w:val="20"/>
                <w:szCs w:val="20"/>
              </w:rPr>
              <w:instrText xml:space="preserve"> STYLEREF 1 \s </w:instrText>
            </w:r>
            <w:r>
              <w:fldChar w:fldCharType="separate"/>
            </w:r>
            <w:r>
              <w:rPr>
                <w:b/>
                <w:noProof/>
                <w:color w:val="FFFFFF" w:themeColor="background1"/>
                <w:sz w:val="20"/>
                <w:szCs w:val="20"/>
              </w:rPr>
              <w:t>4</w:t>
            </w:r>
            <w:r>
              <w:fldChar w:fldCharType="end"/>
            </w:r>
            <w:r>
              <w:rPr>
                <w:b/>
                <w:color w:val="FFFFFF" w:themeColor="background1"/>
                <w:sz w:val="20"/>
                <w:szCs w:val="20"/>
              </w:rPr>
              <w:t>–</w:t>
            </w:r>
            <w:r>
              <w:fldChar w:fldCharType="begin"/>
            </w:r>
            <w:r>
              <w:rPr>
                <w:b/>
                <w:color w:val="FFFFFF" w:themeColor="background1"/>
                <w:sz w:val="20"/>
                <w:szCs w:val="20"/>
              </w:rPr>
              <w:instrText xml:space="preserve"> SEQ Table \* ARABIC \s 1 </w:instrText>
            </w:r>
            <w:r>
              <w:fldChar w:fldCharType="separate"/>
            </w:r>
            <w:r>
              <w:rPr>
                <w:b/>
                <w:noProof/>
                <w:color w:val="FFFFFF" w:themeColor="background1"/>
                <w:sz w:val="20"/>
                <w:szCs w:val="20"/>
              </w:rPr>
              <w:t>20</w:t>
            </w:r>
            <w:r>
              <w:fldChar w:fldCharType="end"/>
            </w:r>
            <w:bookmarkEnd w:id="22"/>
            <w:r>
              <w:rPr>
                <w:b/>
                <w:color w:val="FFFFFF" w:themeColor="background1"/>
                <w:sz w:val="20"/>
                <w:szCs w:val="20"/>
              </w:rPr>
              <w:t>:  Relevance of different regulatory instruments to medical devices (dental restoration materials) applications of TiO</w:t>
            </w:r>
            <w:r>
              <w:rPr>
                <w:b/>
                <w:color w:val="FFFFFF" w:themeColor="background1"/>
                <w:sz w:val="20"/>
                <w:szCs w:val="20"/>
                <w:vertAlign w:val="subscript"/>
              </w:rPr>
              <w:t>2</w:t>
            </w:r>
            <w:r>
              <w:rPr>
                <w:b/>
                <w:color w:val="FFFFFF" w:themeColor="background1"/>
                <w:sz w:val="20"/>
                <w:szCs w:val="20"/>
              </w:rPr>
              <w:t xml:space="preserve"> following a harmonised classification of </w:t>
            </w:r>
            <w:proofErr w:type="spellStart"/>
            <w:r>
              <w:rPr>
                <w:b/>
                <w:color w:val="FFFFFF" w:themeColor="background1"/>
                <w:sz w:val="20"/>
                <w:szCs w:val="20"/>
              </w:rPr>
              <w:t>Carc</w:t>
            </w:r>
            <w:proofErr w:type="spellEnd"/>
            <w:r>
              <w:rPr>
                <w:b/>
                <w:color w:val="FFFFFF" w:themeColor="background1"/>
                <w:sz w:val="20"/>
                <w:szCs w:val="20"/>
              </w:rPr>
              <w:t xml:space="preserve"> Cat 1B</w:t>
            </w:r>
          </w:p>
        </w:tc>
      </w:tr>
      <w:tr w:rsidR="000B0009" w:rsidTr="000B0009">
        <w:tc>
          <w:tcPr>
            <w:tcW w:w="4536" w:type="dxa"/>
            <w:tcBorders>
              <w:top w:val="single" w:sz="4" w:space="0" w:color="auto"/>
              <w:left w:val="single" w:sz="4" w:space="0" w:color="auto"/>
              <w:bottom w:val="single" w:sz="4" w:space="0" w:color="auto"/>
              <w:right w:val="single" w:sz="4" w:space="0" w:color="auto"/>
            </w:tcBorders>
            <w:shd w:val="clear" w:color="auto" w:fill="569BBE"/>
            <w:vAlign w:val="bottom"/>
            <w:hideMark/>
          </w:tcPr>
          <w:p w:rsidR="000B0009" w:rsidRDefault="000B0009">
            <w:pPr>
              <w:spacing w:after="0" w:line="276" w:lineRule="auto"/>
              <w:rPr>
                <w:sz w:val="20"/>
                <w:szCs w:val="20"/>
              </w:rPr>
            </w:pPr>
            <w:r>
              <w:rPr>
                <w:b/>
                <w:color w:val="FFFFFF" w:themeColor="background1"/>
                <w:sz w:val="20"/>
                <w:szCs w:val="20"/>
              </w:rPr>
              <w:t>Relevant legislation</w:t>
            </w:r>
          </w:p>
        </w:tc>
        <w:tc>
          <w:tcPr>
            <w:tcW w:w="4536" w:type="dxa"/>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spacing w:after="0" w:line="276" w:lineRule="auto"/>
              <w:jc w:val="center"/>
              <w:rPr>
                <w:sz w:val="20"/>
                <w:szCs w:val="20"/>
              </w:rPr>
            </w:pPr>
            <w:r>
              <w:rPr>
                <w:b/>
                <w:color w:val="FFFFFF" w:themeColor="background1"/>
                <w:sz w:val="20"/>
                <w:szCs w:val="20"/>
              </w:rPr>
              <w:t>Relevant to medical devices</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lastRenderedPageBreak/>
              <w:t>CLP</w:t>
            </w:r>
          </w:p>
        </w:tc>
        <w:tc>
          <w:tcPr>
            <w:tcW w:w="4536" w:type="dxa"/>
            <w:tcBorders>
              <w:top w:val="single" w:sz="4" w:space="0" w:color="auto"/>
              <w:left w:val="single" w:sz="4" w:space="0" w:color="auto"/>
              <w:bottom w:val="single" w:sz="4" w:space="0" w:color="auto"/>
              <w:right w:val="single" w:sz="4" w:space="0" w:color="auto"/>
            </w:tcBorders>
            <w:shd w:val="clear" w:color="auto" w:fill="FF0000"/>
            <w:hideMark/>
          </w:tcPr>
          <w:p w:rsidR="000B0009" w:rsidRDefault="000B0009">
            <w:pPr>
              <w:spacing w:after="0" w:line="276" w:lineRule="auto"/>
              <w:jc w:val="center"/>
              <w:rPr>
                <w:sz w:val="20"/>
                <w:szCs w:val="20"/>
              </w:rPr>
            </w:pPr>
            <w:r>
              <w:rPr>
                <w:sz w:val="20"/>
                <w:szCs w:val="20"/>
              </w:rPr>
              <w:t>Yes</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Carcinogens and Mutagens at Work</w:t>
            </w:r>
          </w:p>
        </w:tc>
        <w:tc>
          <w:tcPr>
            <w:tcW w:w="4536" w:type="dxa"/>
            <w:tcBorders>
              <w:top w:val="single" w:sz="4" w:space="0" w:color="auto"/>
              <w:left w:val="single" w:sz="4" w:space="0" w:color="auto"/>
              <w:bottom w:val="single" w:sz="4" w:space="0" w:color="auto"/>
              <w:right w:val="single" w:sz="4" w:space="0" w:color="auto"/>
            </w:tcBorders>
            <w:shd w:val="clear" w:color="auto" w:fill="FF0000"/>
            <w:hideMark/>
          </w:tcPr>
          <w:p w:rsidR="000B0009" w:rsidRDefault="000B0009">
            <w:pPr>
              <w:spacing w:after="0" w:line="276" w:lineRule="auto"/>
              <w:jc w:val="center"/>
              <w:rPr>
                <w:sz w:val="20"/>
                <w:szCs w:val="20"/>
              </w:rPr>
            </w:pPr>
            <w:r>
              <w:rPr>
                <w:sz w:val="20"/>
                <w:szCs w:val="20"/>
              </w:rPr>
              <w:t>Yes</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Waste Framework</w:t>
            </w:r>
          </w:p>
        </w:tc>
        <w:tc>
          <w:tcPr>
            <w:tcW w:w="4536" w:type="dxa"/>
            <w:tcBorders>
              <w:top w:val="single" w:sz="4" w:space="0" w:color="auto"/>
              <w:left w:val="single" w:sz="4" w:space="0" w:color="auto"/>
              <w:bottom w:val="single" w:sz="4" w:space="0" w:color="auto"/>
              <w:right w:val="single" w:sz="4" w:space="0" w:color="auto"/>
            </w:tcBorders>
            <w:shd w:val="clear" w:color="auto" w:fill="FFC000"/>
            <w:hideMark/>
          </w:tcPr>
          <w:p w:rsidR="000B0009" w:rsidRDefault="000B0009">
            <w:pPr>
              <w:spacing w:after="0" w:line="276" w:lineRule="auto"/>
              <w:jc w:val="center"/>
              <w:rPr>
                <w:sz w:val="20"/>
                <w:szCs w:val="20"/>
              </w:rPr>
            </w:pPr>
            <w:r>
              <w:rPr>
                <w:sz w:val="20"/>
                <w:szCs w:val="20"/>
              </w:rPr>
              <w:t>Potentially</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Industrial Emissions</w:t>
            </w:r>
          </w:p>
        </w:tc>
        <w:tc>
          <w:tcPr>
            <w:tcW w:w="4536" w:type="dxa"/>
            <w:tcBorders>
              <w:top w:val="single" w:sz="4" w:space="0" w:color="auto"/>
              <w:left w:val="single" w:sz="4" w:space="0" w:color="auto"/>
              <w:bottom w:val="single" w:sz="4" w:space="0" w:color="auto"/>
              <w:right w:val="single" w:sz="4" w:space="0" w:color="auto"/>
            </w:tcBorders>
            <w:shd w:val="clear" w:color="auto" w:fill="FFC000"/>
            <w:hideMark/>
          </w:tcPr>
          <w:p w:rsidR="000B0009" w:rsidRDefault="000B0009">
            <w:pPr>
              <w:spacing w:after="0" w:line="276" w:lineRule="auto"/>
              <w:jc w:val="center"/>
              <w:rPr>
                <w:sz w:val="20"/>
                <w:szCs w:val="20"/>
              </w:rPr>
            </w:pPr>
            <w:r>
              <w:rPr>
                <w:sz w:val="20"/>
                <w:szCs w:val="20"/>
              </w:rPr>
              <w:t>Potentially</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REACH</w:t>
            </w:r>
          </w:p>
        </w:tc>
        <w:tc>
          <w:tcPr>
            <w:tcW w:w="4536" w:type="dxa"/>
            <w:tcBorders>
              <w:top w:val="single" w:sz="4" w:space="0" w:color="auto"/>
              <w:left w:val="single" w:sz="4" w:space="0" w:color="auto"/>
              <w:bottom w:val="single" w:sz="4" w:space="0" w:color="auto"/>
              <w:right w:val="single" w:sz="4" w:space="0" w:color="auto"/>
            </w:tcBorders>
            <w:shd w:val="clear" w:color="auto" w:fill="FFC000"/>
            <w:hideMark/>
          </w:tcPr>
          <w:p w:rsidR="000B0009" w:rsidRDefault="000B0009">
            <w:pPr>
              <w:spacing w:after="0" w:line="276" w:lineRule="auto"/>
              <w:jc w:val="center"/>
              <w:rPr>
                <w:sz w:val="20"/>
                <w:szCs w:val="20"/>
              </w:rPr>
            </w:pPr>
            <w:r>
              <w:rPr>
                <w:sz w:val="20"/>
                <w:szCs w:val="20"/>
              </w:rPr>
              <w:t>Potentially</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Cosmetics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Toy Safety</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Food Contact Materials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Food Additives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Medicinal Products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Construction Products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Biocides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Medical devices</w:t>
            </w:r>
          </w:p>
        </w:tc>
        <w:tc>
          <w:tcPr>
            <w:tcW w:w="4536" w:type="dxa"/>
            <w:tcBorders>
              <w:top w:val="single" w:sz="4" w:space="0" w:color="auto"/>
              <w:left w:val="single" w:sz="4" w:space="0" w:color="auto"/>
              <w:bottom w:val="single" w:sz="4" w:space="0" w:color="auto"/>
              <w:right w:val="single" w:sz="4" w:space="0" w:color="auto"/>
            </w:tcBorders>
            <w:shd w:val="clear" w:color="auto" w:fill="FF0000"/>
            <w:hideMark/>
          </w:tcPr>
          <w:p w:rsidR="000B0009" w:rsidRDefault="000B0009">
            <w:pPr>
              <w:spacing w:after="0" w:line="276" w:lineRule="auto"/>
              <w:jc w:val="center"/>
              <w:rPr>
                <w:sz w:val="20"/>
                <w:szCs w:val="20"/>
              </w:rPr>
            </w:pPr>
            <w:r>
              <w:rPr>
                <w:sz w:val="20"/>
                <w:szCs w:val="20"/>
              </w:rPr>
              <w:t>Yes</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RoHS</w:t>
            </w:r>
          </w:p>
        </w:tc>
        <w:tc>
          <w:tcPr>
            <w:tcW w:w="4536" w:type="dxa"/>
            <w:tcBorders>
              <w:top w:val="single" w:sz="4" w:space="0" w:color="auto"/>
              <w:left w:val="single" w:sz="4" w:space="0" w:color="auto"/>
              <w:bottom w:val="single" w:sz="4" w:space="0" w:color="auto"/>
              <w:right w:val="single" w:sz="4" w:space="0" w:color="auto"/>
            </w:tcBorders>
            <w:shd w:val="clear" w:color="auto" w:fill="FFC000"/>
            <w:hideMark/>
          </w:tcPr>
          <w:p w:rsidR="000B0009" w:rsidRDefault="000B0009">
            <w:pPr>
              <w:spacing w:after="0" w:line="276" w:lineRule="auto"/>
              <w:jc w:val="center"/>
              <w:rPr>
                <w:sz w:val="20"/>
                <w:szCs w:val="20"/>
              </w:rPr>
            </w:pPr>
            <w:r>
              <w:rPr>
                <w:sz w:val="20"/>
                <w:szCs w:val="20"/>
              </w:rPr>
              <w:t>Potentially</w:t>
            </w:r>
          </w:p>
        </w:tc>
      </w:tr>
      <w:tr w:rsidR="000B0009" w:rsidTr="000B0009">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rPr>
                <w:sz w:val="20"/>
                <w:szCs w:val="20"/>
              </w:rPr>
            </w:pPr>
            <w:r>
              <w:rPr>
                <w:sz w:val="20"/>
                <w:szCs w:val="20"/>
              </w:rPr>
              <w:t>Tobacco additives</w:t>
            </w:r>
          </w:p>
        </w:tc>
        <w:tc>
          <w:tcPr>
            <w:tcW w:w="4536" w:type="dxa"/>
            <w:tcBorders>
              <w:top w:val="single" w:sz="4" w:space="0" w:color="auto"/>
              <w:left w:val="single" w:sz="4" w:space="0" w:color="auto"/>
              <w:bottom w:val="single" w:sz="4" w:space="0" w:color="auto"/>
              <w:right w:val="single" w:sz="4" w:space="0" w:color="auto"/>
            </w:tcBorders>
            <w:hideMark/>
          </w:tcPr>
          <w:p w:rsidR="000B0009" w:rsidRDefault="000B0009">
            <w:pPr>
              <w:spacing w:after="0" w:line="276" w:lineRule="auto"/>
              <w:jc w:val="center"/>
              <w:rPr>
                <w:sz w:val="20"/>
                <w:szCs w:val="20"/>
              </w:rPr>
            </w:pPr>
            <w:r>
              <w:rPr>
                <w:sz w:val="20"/>
                <w:szCs w:val="20"/>
              </w:rPr>
              <w:t>No</w:t>
            </w:r>
          </w:p>
        </w:tc>
      </w:tr>
    </w:tbl>
    <w:p w:rsidR="000B0009" w:rsidRDefault="000B0009" w:rsidP="000B0009">
      <w:pPr>
        <w:pStyle w:val="berschrift4"/>
      </w:pPr>
      <w:r>
        <w:t>Impacts on the marketing and use of titanium dioxide-containing products</w:t>
      </w:r>
    </w:p>
    <w:p w:rsidR="000B0009" w:rsidRDefault="000B0009" w:rsidP="000B0009">
      <w:pPr>
        <w:pStyle w:val="berschrift5"/>
      </w:pPr>
      <w:r>
        <w:t>Possibilities and cost of reformulation</w:t>
      </w:r>
    </w:p>
    <w:p w:rsidR="000B0009" w:rsidRDefault="000B0009" w:rsidP="000B0009">
      <w:pPr>
        <w:rPr>
          <w:lang w:eastAsia="en-GB"/>
        </w:rPr>
      </w:pPr>
      <w:r>
        <w:rPr>
          <w:lang w:eastAsia="en-GB"/>
        </w:rPr>
        <w:t>In the field of dental restoration products, there are currently no feasible alternatives available.  A replacement of TiO</w:t>
      </w:r>
      <w:r>
        <w:rPr>
          <w:vertAlign w:val="subscript"/>
          <w:lang w:eastAsia="en-GB"/>
        </w:rPr>
        <w:t>2</w:t>
      </w:r>
      <w:r>
        <w:rPr>
          <w:lang w:eastAsia="en-GB"/>
        </w:rPr>
        <w:t xml:space="preserve"> by another white pigment is not possible, because alternatives either do not achieve the same shading effect or must be used in much higher concentrations, which could affect the performance of the product or result in undesired toxicological effects compromising the biocompatibility of the products </w:t>
      </w:r>
      <w:sdt>
        <w:sdtPr>
          <w:rPr>
            <w:lang w:eastAsia="en-GB"/>
          </w:rPr>
          <w:id w:val="1041862561"/>
          <w:citation/>
        </w:sdtPr>
        <w:sdtContent>
          <w:r>
            <w:rPr>
              <w:lang w:eastAsia="en-GB"/>
            </w:rPr>
            <w:fldChar w:fldCharType="begin"/>
          </w:r>
          <w:r>
            <w:rPr>
              <w:lang w:eastAsia="en-GB"/>
            </w:rPr>
            <w:instrText xml:space="preserve"> CITATION Ger16 \l 2057 </w:instrText>
          </w:r>
          <w:r>
            <w:rPr>
              <w:lang w:eastAsia="en-GB"/>
            </w:rPr>
            <w:fldChar w:fldCharType="separate"/>
          </w:r>
          <w:r>
            <w:rPr>
              <w:noProof/>
              <w:lang w:eastAsia="en-GB"/>
            </w:rPr>
            <w:t>(German Medicines Manufacturers Association, 2016)</w:t>
          </w:r>
          <w:r>
            <w:rPr>
              <w:lang w:eastAsia="en-GB"/>
            </w:rPr>
            <w:fldChar w:fldCharType="end"/>
          </w:r>
        </w:sdtContent>
      </w:sdt>
      <w:r>
        <w:rPr>
          <w:lang w:eastAsia="en-GB"/>
        </w:rPr>
        <w:t xml:space="preserve">.  Some alternative white pigments are hazardous (e.g. </w:t>
      </w:r>
      <w:proofErr w:type="spellStart"/>
      <w:r>
        <w:rPr>
          <w:lang w:eastAsia="en-GB"/>
        </w:rPr>
        <w:t>ZnO</w:t>
      </w:r>
      <w:proofErr w:type="spellEnd"/>
      <w:r>
        <w:rPr>
          <w:lang w:eastAsia="en-GB"/>
        </w:rPr>
        <w:t xml:space="preserve"> in respect of the aquatic environment) or show similar inhalation hazards as TiO</w:t>
      </w:r>
      <w:r>
        <w:rPr>
          <w:vertAlign w:val="subscript"/>
          <w:lang w:eastAsia="en-GB"/>
        </w:rPr>
        <w:t>2</w:t>
      </w:r>
      <w:r>
        <w:rPr>
          <w:lang w:eastAsia="en-GB"/>
        </w:rPr>
        <w:t>, based on their particle size.</w:t>
      </w:r>
    </w:p>
    <w:p w:rsidR="000B0009" w:rsidRDefault="000B0009" w:rsidP="000B0009">
      <w:pPr>
        <w:rPr>
          <w:lang w:eastAsia="en-GB"/>
        </w:rPr>
      </w:pPr>
      <w:r>
        <w:rPr>
          <w:lang w:eastAsia="en-GB"/>
        </w:rPr>
        <w:t>Due to their poor refractive indices, the loading of the alternatives would probably increase by a factor of 10-100 in comparison to TiO</w:t>
      </w:r>
      <w:r>
        <w:rPr>
          <w:vertAlign w:val="subscript"/>
          <w:lang w:eastAsia="en-GB"/>
        </w:rPr>
        <w:t>2</w:t>
      </w:r>
      <w:r>
        <w:rPr>
          <w:lang w:eastAsia="en-GB"/>
        </w:rPr>
        <w:t xml:space="preserve">.  This would consequently mean the use of a lower polymer loading.  This change to the formulation would lead to significant changes to the physical properties of the materials to the extent that that they would no longer meet the existing requirements. </w:t>
      </w:r>
    </w:p>
    <w:p w:rsidR="000B0009" w:rsidRDefault="000B0009" w:rsidP="000B0009">
      <w:pPr>
        <w:rPr>
          <w:lang w:eastAsia="en-GB"/>
        </w:rPr>
      </w:pPr>
      <w:r>
        <w:rPr>
          <w:lang w:eastAsia="en-GB"/>
        </w:rPr>
        <w:t>In practice, the aesthetic restorative treatment would no longer be feasible because TiO</w:t>
      </w:r>
      <w:r>
        <w:rPr>
          <w:vertAlign w:val="subscript"/>
          <w:lang w:eastAsia="en-GB"/>
        </w:rPr>
        <w:t>2</w:t>
      </w:r>
      <w:r>
        <w:rPr>
          <w:lang w:eastAsia="en-GB"/>
        </w:rPr>
        <w:t xml:space="preserve"> is an essential basic element for the colour scheme and the adjustment of translucency and opacity of the materials.  The result would be that essential materials could no longer be produced.  This would result in the complete reformulation of many products involving significant effort:</w:t>
      </w:r>
    </w:p>
    <w:p w:rsidR="000B0009" w:rsidRPr="000B0009" w:rsidRDefault="000B0009" w:rsidP="000B0009">
      <w:pPr>
        <w:pStyle w:val="Bulletlist"/>
        <w:numPr>
          <w:ilvl w:val="0"/>
          <w:numId w:val="3"/>
        </w:numPr>
        <w:rPr>
          <w:lang w:val="en-US" w:eastAsia="en-GB"/>
        </w:rPr>
      </w:pPr>
      <w:r w:rsidRPr="000B0009">
        <w:rPr>
          <w:lang w:val="en-US" w:eastAsia="en-GB"/>
        </w:rPr>
        <w:t>Performance and aesthetics of products would need to be maintained and verified.  TiO</w:t>
      </w:r>
      <w:r w:rsidRPr="000B0009">
        <w:rPr>
          <w:vertAlign w:val="subscript"/>
          <w:lang w:val="en-US" w:eastAsia="en-GB"/>
        </w:rPr>
        <w:t>2</w:t>
      </w:r>
      <w:r w:rsidRPr="000B0009">
        <w:rPr>
          <w:lang w:val="en-US" w:eastAsia="en-GB"/>
        </w:rPr>
        <w:t xml:space="preserve"> safeguards the stability and hygienic properties of the products and for dental impression materials helps make the impressions </w:t>
      </w:r>
      <w:proofErr w:type="spellStart"/>
      <w:r w:rsidRPr="000B0009">
        <w:rPr>
          <w:lang w:val="en-US" w:eastAsia="en-GB"/>
        </w:rPr>
        <w:t>scannable</w:t>
      </w:r>
      <w:proofErr w:type="spellEnd"/>
      <w:r w:rsidRPr="000B0009">
        <w:rPr>
          <w:lang w:val="en-US" w:eastAsia="en-GB"/>
        </w:rPr>
        <w:t xml:space="preserve"> (e.g. allows the easy scanning of impressions in the digital workflow for producing indirect restorations);</w:t>
      </w:r>
    </w:p>
    <w:p w:rsidR="000B0009" w:rsidRPr="000B0009" w:rsidRDefault="000B0009" w:rsidP="000B0009">
      <w:pPr>
        <w:pStyle w:val="Bulletlist"/>
        <w:numPr>
          <w:ilvl w:val="0"/>
          <w:numId w:val="3"/>
        </w:numPr>
        <w:rPr>
          <w:lang w:val="en-US" w:eastAsia="en-GB"/>
        </w:rPr>
      </w:pPr>
      <w:r w:rsidRPr="000B0009">
        <w:rPr>
          <w:lang w:val="en-US" w:eastAsia="en-GB"/>
        </w:rPr>
        <w:t>Handling properties (usability of products) would have to be demonstrated;</w:t>
      </w:r>
    </w:p>
    <w:p w:rsidR="000B0009" w:rsidRPr="000B0009" w:rsidRDefault="000B0009" w:rsidP="000B0009">
      <w:pPr>
        <w:pStyle w:val="Bulletlist"/>
        <w:numPr>
          <w:ilvl w:val="0"/>
          <w:numId w:val="3"/>
        </w:numPr>
        <w:rPr>
          <w:lang w:val="en-US" w:eastAsia="en-GB"/>
        </w:rPr>
      </w:pPr>
      <w:r w:rsidRPr="000B0009">
        <w:rPr>
          <w:lang w:val="en-US" w:eastAsia="en-GB"/>
        </w:rPr>
        <w:t>The shelf-life of products would need to be verified (this step alone can take several years);</w:t>
      </w:r>
    </w:p>
    <w:p w:rsidR="000B0009" w:rsidRPr="000B0009" w:rsidRDefault="000B0009" w:rsidP="000B0009">
      <w:pPr>
        <w:pStyle w:val="Bulletlist"/>
        <w:numPr>
          <w:ilvl w:val="0"/>
          <w:numId w:val="3"/>
        </w:numPr>
        <w:rPr>
          <w:lang w:val="en-US" w:eastAsia="en-GB"/>
        </w:rPr>
      </w:pPr>
      <w:r w:rsidRPr="000B0009">
        <w:rPr>
          <w:lang w:val="en-US" w:eastAsia="en-GB"/>
        </w:rPr>
        <w:t>Possibly, biological re-evaluations would be needed including animal testing according to ISO 10993-series</w:t>
      </w:r>
      <w:r>
        <w:rPr>
          <w:rStyle w:val="Funotenzeichen"/>
          <w:lang w:eastAsia="en-GB"/>
        </w:rPr>
        <w:footnoteReference w:id="8"/>
      </w:r>
      <w:r w:rsidRPr="000B0009">
        <w:rPr>
          <w:lang w:val="en-US" w:eastAsia="en-GB"/>
        </w:rPr>
        <w:t xml:space="preserve"> and ISO 7405</w:t>
      </w:r>
      <w:r>
        <w:rPr>
          <w:rStyle w:val="Funotenzeichen"/>
          <w:lang w:eastAsia="en-GB"/>
        </w:rPr>
        <w:footnoteReference w:id="9"/>
      </w:r>
      <w:r w:rsidRPr="000B0009">
        <w:rPr>
          <w:lang w:val="en-US" w:eastAsia="en-GB"/>
        </w:rPr>
        <w:t>; and</w:t>
      </w:r>
    </w:p>
    <w:p w:rsidR="000B0009" w:rsidRPr="000B0009" w:rsidRDefault="000B0009" w:rsidP="000B0009">
      <w:pPr>
        <w:pStyle w:val="Bulletlist"/>
        <w:numPr>
          <w:ilvl w:val="0"/>
          <w:numId w:val="3"/>
        </w:numPr>
        <w:rPr>
          <w:lang w:val="en-US" w:eastAsia="en-GB"/>
        </w:rPr>
      </w:pPr>
      <w:r w:rsidRPr="000B0009">
        <w:rPr>
          <w:lang w:val="en-US" w:eastAsia="en-GB"/>
        </w:rPr>
        <w:t xml:space="preserve">Possibly clinical evaluations (including clinical studies) would be needed. These re-evaluations would be needed to verify the fulfilment of essential requirements of the Medical Devices Directive to prepare a new declaration of conformity (EC marking). </w:t>
      </w:r>
    </w:p>
    <w:p w:rsidR="000B0009" w:rsidRDefault="000B0009" w:rsidP="000B0009">
      <w:pPr>
        <w:rPr>
          <w:lang w:eastAsia="en-GB"/>
        </w:rPr>
      </w:pPr>
      <w:r>
        <w:rPr>
          <w:lang w:eastAsia="en-GB"/>
        </w:rPr>
        <w:lastRenderedPageBreak/>
        <w:t>Only after all these activities could reformulated products be brought onto the market to replace the existing product portfolio in the EEA.  As there are many products that would be affected, the aforementioned activities would take years and be accompanied by significant costs for each product.</w:t>
      </w:r>
    </w:p>
    <w:p w:rsidR="000B0009" w:rsidRDefault="000B0009" w:rsidP="000B0009">
      <w:r>
        <w:rPr>
          <w:lang w:eastAsia="en-GB"/>
        </w:rPr>
        <w:t>The replacement of TiO</w:t>
      </w:r>
      <w:r>
        <w:rPr>
          <w:vertAlign w:val="subscript"/>
          <w:lang w:eastAsia="en-GB"/>
        </w:rPr>
        <w:t>2</w:t>
      </w:r>
      <w:r>
        <w:rPr>
          <w:lang w:eastAsia="en-GB"/>
        </w:rPr>
        <w:t xml:space="preserve"> would require re-registrations in some non-EEA countries which could take additional years and lead to additional high costs. </w:t>
      </w:r>
    </w:p>
    <w:p w:rsidR="000B0009" w:rsidRDefault="000B0009" w:rsidP="000B0009">
      <w:pPr>
        <w:pStyle w:val="berschrift5"/>
      </w:pPr>
      <w:r>
        <w:t>Market and economic losses</w:t>
      </w:r>
    </w:p>
    <w:p w:rsidR="000B0009" w:rsidRDefault="000B0009" w:rsidP="000B0009">
      <w:pPr>
        <w:rPr>
          <w:lang w:eastAsia="en-GB"/>
        </w:rPr>
      </w:pPr>
      <w:r>
        <w:rPr>
          <w:b/>
          <w:lang w:eastAsia="en-GB"/>
        </w:rPr>
        <w:t>Possibilities for continued use of TiO</w:t>
      </w:r>
      <w:r>
        <w:rPr>
          <w:b/>
          <w:vertAlign w:val="subscript"/>
          <w:lang w:eastAsia="en-GB"/>
        </w:rPr>
        <w:t>2</w:t>
      </w:r>
      <w:r>
        <w:rPr>
          <w:b/>
          <w:lang w:eastAsia="en-GB"/>
        </w:rPr>
        <w:t xml:space="preserve"> through an exemption under the new Medical Devices Regulation</w:t>
      </w:r>
      <w:r>
        <w:rPr>
          <w:lang w:eastAsia="en-GB"/>
        </w:rPr>
        <w:t>:  the new Medical Device Regulation (NB. expected to be published at the end of 2016 or the beginning of 2017) allows the use of CMR substances as per paragraph 7.4.2 of Annex I (General Safety and Performance Requirements) as long as justification is provided (this includes exposure data and an analysis of alternatives).  Continued use of TiO</w:t>
      </w:r>
      <w:r>
        <w:rPr>
          <w:vertAlign w:val="subscript"/>
          <w:lang w:eastAsia="en-GB"/>
        </w:rPr>
        <w:t>2</w:t>
      </w:r>
      <w:r>
        <w:rPr>
          <w:lang w:eastAsia="en-GB"/>
        </w:rPr>
        <w:t xml:space="preserve"> would be more complicated, but not impossible, as inhalation exposure and risks can be readily shown to be low; however, a certain effort would be needed to prepare the full documentation.  Due to the high number of products this effort (either internal or by external experts in case of SMEs) would be significant.</w:t>
      </w:r>
    </w:p>
    <w:p w:rsidR="000B0009" w:rsidRDefault="000B0009" w:rsidP="000B0009">
      <w:pPr>
        <w:rPr>
          <w:lang w:eastAsia="en-GB"/>
        </w:rPr>
      </w:pPr>
      <w:r>
        <w:rPr>
          <w:lang w:eastAsia="en-GB"/>
        </w:rPr>
        <w:t>Much more critical would be the future availability of the raw material. The proposed classification would cause significant market upset and would affect the availability of all TiO</w:t>
      </w:r>
      <w:r>
        <w:rPr>
          <w:vertAlign w:val="subscript"/>
          <w:lang w:eastAsia="en-GB"/>
        </w:rPr>
        <w:t>2</w:t>
      </w:r>
      <w:r>
        <w:rPr>
          <w:lang w:eastAsia="en-GB"/>
        </w:rPr>
        <w:t xml:space="preserve"> products on the market. Change of the supplier would result in significant efforts for product re-qualification to comply with all Medical Device Regulation requirements.  SMEs would need substantial external support (especially toxicologists) to achieve this.</w:t>
      </w:r>
    </w:p>
    <w:p w:rsidR="000B0009" w:rsidRDefault="000B0009" w:rsidP="000B0009">
      <w:pPr>
        <w:rPr>
          <w:lang w:eastAsia="en-GB"/>
        </w:rPr>
      </w:pPr>
      <w:r>
        <w:rPr>
          <w:b/>
          <w:lang w:eastAsia="en-GB"/>
        </w:rPr>
        <w:t>Market pressures</w:t>
      </w:r>
      <w:r>
        <w:rPr>
          <w:lang w:eastAsia="en-GB"/>
        </w:rPr>
        <w:t xml:space="preserve">:  medical devices are not excluded from the requirements of the REACH Regulation. Substances and mixtures which are used in medical devices are comprehensively under an obligation to be registered and approved as appropriate.  Medical devices are only exempted from REACH Title IV (Information in the Supply Chain) if they are used invasively or used in direct physical contact with the human body.  This means that medical devices, such as dental fillings, that are introduced directly into the tooth by the dentist are exempted from REACH Title IV but that the Regulation’s Title IV would apply if the medical device is processed by a dental technician before application on the patient. This implies a lot of work without additional benefit for the patients </w:t>
      </w:r>
      <w:sdt>
        <w:sdtPr>
          <w:rPr>
            <w:lang w:eastAsia="en-GB"/>
          </w:rPr>
          <w:id w:val="320393344"/>
          <w:citation/>
        </w:sdtPr>
        <w:sdtContent>
          <w:r>
            <w:rPr>
              <w:lang w:eastAsia="en-GB"/>
            </w:rPr>
            <w:fldChar w:fldCharType="begin"/>
          </w:r>
          <w:r>
            <w:rPr>
              <w:lang w:eastAsia="en-GB"/>
            </w:rPr>
            <w:instrText xml:space="preserve"> CITATION Ger16 \l 2057 </w:instrText>
          </w:r>
          <w:r>
            <w:rPr>
              <w:lang w:eastAsia="en-GB"/>
            </w:rPr>
            <w:fldChar w:fldCharType="separate"/>
          </w:r>
          <w:r>
            <w:rPr>
              <w:noProof/>
              <w:lang w:eastAsia="en-GB"/>
            </w:rPr>
            <w:t>(German Medicines Manufacturers Association, 2016)</w:t>
          </w:r>
          <w:r>
            <w:rPr>
              <w:lang w:eastAsia="en-GB"/>
            </w:rPr>
            <w:fldChar w:fldCharType="end"/>
          </w:r>
        </w:sdtContent>
      </w:sdt>
      <w:r>
        <w:rPr>
          <w:lang w:eastAsia="en-GB"/>
        </w:rPr>
        <w:t>.</w:t>
      </w:r>
    </w:p>
    <w:p w:rsidR="000B0009" w:rsidRDefault="000B0009" w:rsidP="000B0009">
      <w:pPr>
        <w:rPr>
          <w:lang w:eastAsia="en-GB"/>
        </w:rPr>
      </w:pPr>
      <w:r>
        <w:rPr>
          <w:lang w:eastAsia="en-GB"/>
        </w:rPr>
        <w:t>In addition, Annex I (paragraph 7.4.5) to the new Medical Devices Regulation prescribes the following: “</w:t>
      </w:r>
      <w:r>
        <w:rPr>
          <w:i/>
          <w:lang w:eastAsia="en-GB"/>
        </w:rPr>
        <w:t>If devices, parts thereof or materials used therein as referred to in Section 7.4.1 contain substances referred to in points (a) or (b) of Section 7.4.1 in a concentration above 0.1% weight by weight (w/w), these devices shall be labelled on the device itself and/or on the packaging for each unit or, where appropriate, on the sales packaging, with the list of such substances</w:t>
      </w:r>
      <w:r>
        <w:rPr>
          <w:lang w:eastAsia="en-GB"/>
        </w:rPr>
        <w:t xml:space="preserve">….”.  Due to these labelling obligations, users (dentists) and patients would be aware of the presence of a </w:t>
      </w:r>
      <w:proofErr w:type="spellStart"/>
      <w:r>
        <w:rPr>
          <w:lang w:eastAsia="en-GB"/>
        </w:rPr>
        <w:t>Carc</w:t>
      </w:r>
      <w:proofErr w:type="spellEnd"/>
      <w:r>
        <w:rPr>
          <w:lang w:eastAsia="en-GB"/>
        </w:rPr>
        <w:t xml:space="preserve"> Cat 1B substance in the product. Even if no significant user and patient exposure by inhalation would be expected, there would be strongly negative perceptions against the continued use of such products on patients.  </w:t>
      </w:r>
    </w:p>
    <w:p w:rsidR="000B0009" w:rsidRDefault="000B0009" w:rsidP="000B0009">
      <w:pPr>
        <w:pStyle w:val="berschrift4"/>
        <w:rPr>
          <w:lang w:eastAsia="en-GB"/>
        </w:rPr>
      </w:pPr>
      <w:r>
        <w:rPr>
          <w:lang w:eastAsia="en-GB"/>
        </w:rPr>
        <w:t xml:space="preserve">Social impacts </w:t>
      </w:r>
    </w:p>
    <w:p w:rsidR="000B0009" w:rsidRDefault="000B0009" w:rsidP="000B0009">
      <w:pPr>
        <w:pStyle w:val="berschrift5"/>
        <w:rPr>
          <w:lang w:eastAsia="en-GB"/>
        </w:rPr>
      </w:pPr>
      <w:r>
        <w:rPr>
          <w:lang w:eastAsia="en-GB"/>
        </w:rPr>
        <w:t>Employment impacts</w:t>
      </w:r>
    </w:p>
    <w:p w:rsidR="000B0009" w:rsidRDefault="000B0009" w:rsidP="000B0009">
      <w:pPr>
        <w:rPr>
          <w:lang w:eastAsia="en-GB"/>
        </w:rPr>
      </w:pPr>
      <w:r>
        <w:rPr>
          <w:lang w:eastAsia="en-GB"/>
        </w:rPr>
        <w:t>FIDE has suggested that, in the dental products industry, many companies are SMEs.  Smaller companies could be particularly overwhelmed by the high costs associated with implementing safety measures for TiO</w:t>
      </w:r>
      <w:r>
        <w:rPr>
          <w:vertAlign w:val="subscript"/>
          <w:lang w:eastAsia="en-GB"/>
        </w:rPr>
        <w:t>2</w:t>
      </w:r>
      <w:r>
        <w:rPr>
          <w:lang w:eastAsia="en-GB"/>
        </w:rPr>
        <w:t xml:space="preserve"> handling during manufacture or the replacement of TiO</w:t>
      </w:r>
      <w:r>
        <w:rPr>
          <w:vertAlign w:val="subscript"/>
          <w:lang w:eastAsia="en-GB"/>
        </w:rPr>
        <w:t>2</w:t>
      </w:r>
      <w:r>
        <w:rPr>
          <w:lang w:eastAsia="en-GB"/>
        </w:rPr>
        <w:t>and there would be a risk that some of these companies could not survive and employees would be made redundant.  In addition, for multinational companies there would be a risk that manufacturing would be relocated from EEA-based sites to non-EEA based sites. This could lead to a significant loss in employment in the EEA.  A specific estimate of likely job losses cannot be provided.</w:t>
      </w:r>
    </w:p>
    <w:p w:rsidR="000B0009" w:rsidRDefault="000B0009" w:rsidP="000B0009">
      <w:pPr>
        <w:pStyle w:val="berschrift5"/>
        <w:rPr>
          <w:lang w:eastAsia="en-GB"/>
        </w:rPr>
      </w:pPr>
      <w:r>
        <w:rPr>
          <w:lang w:eastAsia="en-GB"/>
        </w:rPr>
        <w:lastRenderedPageBreak/>
        <w:t>Impacts on the welfare of consumers (patients)</w:t>
      </w:r>
    </w:p>
    <w:p w:rsidR="000B0009" w:rsidRDefault="000B0009" w:rsidP="000B0009">
      <w:pPr>
        <w:rPr>
          <w:lang w:eastAsia="en-GB"/>
        </w:rPr>
      </w:pPr>
      <w:r>
        <w:rPr>
          <w:lang w:eastAsia="en-GB"/>
        </w:rPr>
        <w:t>Consumers in this context are the patients receiving dental work using the impression materials that currently contain TiO</w:t>
      </w:r>
      <w:r>
        <w:rPr>
          <w:vertAlign w:val="subscript"/>
          <w:lang w:eastAsia="en-GB"/>
        </w:rPr>
        <w:t>2</w:t>
      </w:r>
      <w:r>
        <w:rPr>
          <w:lang w:eastAsia="en-GB"/>
        </w:rPr>
        <w:t>.  Impacts on patients would vary depending on whether reformulation with an inferior alternative could take place:</w:t>
      </w:r>
    </w:p>
    <w:p w:rsidR="000B0009" w:rsidRPr="000B0009" w:rsidRDefault="000B0009" w:rsidP="000B0009">
      <w:pPr>
        <w:pStyle w:val="Bulletlist"/>
        <w:numPr>
          <w:ilvl w:val="0"/>
          <w:numId w:val="3"/>
        </w:numPr>
        <w:rPr>
          <w:lang w:val="en-US" w:eastAsia="en-GB"/>
        </w:rPr>
      </w:pPr>
      <w:r w:rsidRPr="000B0009">
        <w:rPr>
          <w:lang w:val="en-US" w:eastAsia="en-GB"/>
        </w:rPr>
        <w:t>If TiO</w:t>
      </w:r>
      <w:r w:rsidRPr="000B0009">
        <w:rPr>
          <w:vertAlign w:val="subscript"/>
          <w:lang w:val="en-US" w:eastAsia="en-GB"/>
        </w:rPr>
        <w:t>2</w:t>
      </w:r>
      <w:r w:rsidRPr="000B0009">
        <w:rPr>
          <w:lang w:val="en-US" w:eastAsia="en-GB"/>
        </w:rPr>
        <w:t xml:space="preserve"> would continue to be used (in line with the provisions of the new Medical Devices Regulation), the proposed classification as carcinogenic would cause a substantial uncertainty among patients and would lead to a refusal of products containing TiO</w:t>
      </w:r>
      <w:r w:rsidRPr="000B0009">
        <w:rPr>
          <w:vertAlign w:val="subscript"/>
          <w:lang w:val="en-US" w:eastAsia="en-GB"/>
        </w:rPr>
        <w:t>2</w:t>
      </w:r>
      <w:r w:rsidRPr="000B0009">
        <w:rPr>
          <w:lang w:val="en-US" w:eastAsia="en-GB"/>
        </w:rPr>
        <w:t>; and</w:t>
      </w:r>
    </w:p>
    <w:p w:rsidR="000B0009" w:rsidRPr="000B0009" w:rsidRDefault="000B0009" w:rsidP="000B0009">
      <w:pPr>
        <w:pStyle w:val="Bulletlist"/>
        <w:numPr>
          <w:ilvl w:val="0"/>
          <w:numId w:val="0"/>
        </w:numPr>
        <w:ind w:left="709"/>
        <w:rPr>
          <w:lang w:val="en-US" w:eastAsia="en-GB"/>
        </w:rPr>
      </w:pPr>
    </w:p>
    <w:p w:rsidR="000B0009" w:rsidRDefault="000B0009" w:rsidP="000B0009">
      <w:pPr>
        <w:pStyle w:val="Bulletlist"/>
        <w:numPr>
          <w:ilvl w:val="0"/>
          <w:numId w:val="3"/>
        </w:numPr>
        <w:rPr>
          <w:lang w:eastAsia="en-GB"/>
        </w:rPr>
      </w:pPr>
      <w:r w:rsidRPr="000B0009">
        <w:rPr>
          <w:lang w:val="en-US" w:eastAsia="en-GB"/>
        </w:rPr>
        <w:t>If TiO</w:t>
      </w:r>
      <w:r w:rsidRPr="000B0009">
        <w:rPr>
          <w:vertAlign w:val="subscript"/>
          <w:lang w:val="en-US" w:eastAsia="en-GB"/>
        </w:rPr>
        <w:t>2</w:t>
      </w:r>
      <w:r w:rsidRPr="000B0009">
        <w:rPr>
          <w:lang w:val="en-US" w:eastAsia="en-GB"/>
        </w:rPr>
        <w:t xml:space="preserve"> were removed from the formulations, its replacement would not constitute an improvement in health, patient safety or environmental protection, but would cause technological regression as it would generate costlier products of poorer performance and aesthetics.  </w:t>
      </w:r>
      <w:proofErr w:type="spellStart"/>
      <w:r>
        <w:rPr>
          <w:lang w:eastAsia="en-GB"/>
        </w:rPr>
        <w:t>Patients</w:t>
      </w:r>
      <w:proofErr w:type="spellEnd"/>
      <w:r>
        <w:rPr>
          <w:lang w:eastAsia="en-GB"/>
        </w:rPr>
        <w:t xml:space="preserve"> </w:t>
      </w:r>
      <w:proofErr w:type="spellStart"/>
      <w:r>
        <w:rPr>
          <w:lang w:eastAsia="en-GB"/>
        </w:rPr>
        <w:t>would</w:t>
      </w:r>
      <w:proofErr w:type="spellEnd"/>
      <w:r>
        <w:rPr>
          <w:lang w:eastAsia="en-GB"/>
        </w:rPr>
        <w:t xml:space="preserve"> </w:t>
      </w:r>
      <w:proofErr w:type="spellStart"/>
      <w:r>
        <w:rPr>
          <w:lang w:eastAsia="en-GB"/>
        </w:rPr>
        <w:t>experience</w:t>
      </w:r>
      <w:proofErr w:type="spellEnd"/>
      <w:r>
        <w:rPr>
          <w:lang w:eastAsia="en-GB"/>
        </w:rPr>
        <w:t xml:space="preserve"> a </w:t>
      </w:r>
      <w:proofErr w:type="spellStart"/>
      <w:r>
        <w:rPr>
          <w:lang w:eastAsia="en-GB"/>
        </w:rPr>
        <w:t>loss</w:t>
      </w:r>
      <w:proofErr w:type="spellEnd"/>
      <w:r>
        <w:rPr>
          <w:lang w:eastAsia="en-GB"/>
        </w:rPr>
        <w:t xml:space="preserve"> </w:t>
      </w:r>
      <w:proofErr w:type="spellStart"/>
      <w:r>
        <w:rPr>
          <w:lang w:eastAsia="en-GB"/>
        </w:rPr>
        <w:t>of</w:t>
      </w:r>
      <w:proofErr w:type="spellEnd"/>
      <w:r>
        <w:rPr>
          <w:lang w:eastAsia="en-GB"/>
        </w:rPr>
        <w:t xml:space="preserve"> </w:t>
      </w:r>
      <w:proofErr w:type="spellStart"/>
      <w:r>
        <w:rPr>
          <w:lang w:eastAsia="en-GB"/>
        </w:rPr>
        <w:t>satisfaction</w:t>
      </w:r>
      <w:proofErr w:type="spellEnd"/>
      <w:r>
        <w:rPr>
          <w:lang w:eastAsia="en-GB"/>
        </w:rPr>
        <w:t>.</w:t>
      </w:r>
    </w:p>
    <w:p w:rsidR="000B0009" w:rsidRDefault="000B0009" w:rsidP="000B0009">
      <w:pPr>
        <w:pStyle w:val="berschrift4"/>
        <w:rPr>
          <w:lang w:eastAsia="en-GB"/>
        </w:rPr>
      </w:pPr>
      <w:r>
        <w:rPr>
          <w:lang w:eastAsia="en-GB"/>
        </w:rPr>
        <w:t>Competitiveness and competition impacts</w:t>
      </w:r>
    </w:p>
    <w:p w:rsidR="000B0009" w:rsidRDefault="000B0009" w:rsidP="000B0009">
      <w:pPr>
        <w:pStyle w:val="berschrift5"/>
        <w:rPr>
          <w:lang w:eastAsia="en-GB"/>
        </w:rPr>
      </w:pPr>
      <w:r>
        <w:rPr>
          <w:lang w:eastAsia="en-GB"/>
        </w:rPr>
        <w:t>Competitiveness of EEA businesses</w:t>
      </w:r>
    </w:p>
    <w:p w:rsidR="000B0009" w:rsidRDefault="000B0009" w:rsidP="000B0009">
      <w:pPr>
        <w:rPr>
          <w:lang w:eastAsia="en-GB"/>
        </w:rPr>
      </w:pPr>
      <w:r>
        <w:rPr>
          <w:lang w:eastAsia="en-GB"/>
        </w:rPr>
        <w:t>For dental materials – and probably most medical devices – the justification for keeping TiO</w:t>
      </w:r>
      <w:r>
        <w:rPr>
          <w:vertAlign w:val="subscript"/>
          <w:lang w:eastAsia="en-GB"/>
        </w:rPr>
        <w:t>2</w:t>
      </w:r>
      <w:r>
        <w:rPr>
          <w:lang w:eastAsia="en-GB"/>
        </w:rPr>
        <w:t xml:space="preserve">-containing products on the market in line with the new Medical Devices Regulation is that it would not be particularly burdensome due to the non-existent or very low risk of inhalation exposure to the substance.  However, the administrative burden of securing an exemption under the Regulation would be significant due to the large number of affected products.  In addition, the measures that would be required for the protection of workers’ health at the workplace from exposure to a </w:t>
      </w:r>
      <w:proofErr w:type="spellStart"/>
      <w:r>
        <w:rPr>
          <w:lang w:eastAsia="en-GB"/>
        </w:rPr>
        <w:t>Carc</w:t>
      </w:r>
      <w:proofErr w:type="spellEnd"/>
      <w:r>
        <w:rPr>
          <w:lang w:eastAsia="en-GB"/>
        </w:rPr>
        <w:t xml:space="preserve"> Cat 1B could generate significant new costs.  Such costs would not be faced by non-EEA manufacturers of dental materials.  Due to this, EEA-based manufacturing companies of medical devices would have a clear disadvantage compared to their non-EEA competitors. </w:t>
      </w:r>
    </w:p>
    <w:p w:rsidR="000B0009" w:rsidRDefault="000B0009" w:rsidP="000B0009">
      <w:pPr>
        <w:pStyle w:val="berschrift5"/>
        <w:rPr>
          <w:lang w:eastAsia="en-GB"/>
        </w:rPr>
      </w:pPr>
      <w:r>
        <w:rPr>
          <w:lang w:eastAsia="en-GB"/>
        </w:rPr>
        <w:t>Intra-EEA competition</w:t>
      </w:r>
    </w:p>
    <w:p w:rsidR="000B0009" w:rsidRDefault="000B0009" w:rsidP="000B0009">
      <w:r>
        <w:rPr>
          <w:lang w:eastAsia="en-GB"/>
        </w:rPr>
        <w:t>For SMEs in particular, it would be very hard to make the necessary investments for the further protection of their workers from inhalation exposure to TiO</w:t>
      </w:r>
      <w:r>
        <w:rPr>
          <w:vertAlign w:val="subscript"/>
          <w:lang w:eastAsia="en-GB"/>
        </w:rPr>
        <w:t>2</w:t>
      </w:r>
      <w:r>
        <w:rPr>
          <w:lang w:eastAsia="en-GB"/>
        </w:rPr>
        <w:t>.  Under the financial pressure of the additional worker protection measures, SMEs’ profits would be adversely affected and some small companies might be priced out of the market.  This could promote an increase in the market shares of the larger players and the consolidation of the industry (which would decrease the level of competition).</w:t>
      </w:r>
    </w:p>
    <w:p w:rsidR="000B0009" w:rsidRDefault="000B0009"/>
    <w:p w:rsidR="000B0009" w:rsidRDefault="000B0009" w:rsidP="000B0009">
      <w:pPr>
        <w:pStyle w:val="berschrift3"/>
        <w:rPr>
          <w:b/>
          <w:bCs/>
        </w:rPr>
      </w:pPr>
      <w:bookmarkStart w:id="23" w:name="_Toc470188672"/>
      <w:r>
        <w:rPr>
          <w:b/>
          <w:bCs/>
        </w:rPr>
        <w:t>Summary</w:t>
      </w:r>
      <w:bookmarkEnd w:id="23"/>
    </w:p>
    <w:p w:rsidR="000B0009" w:rsidRDefault="000B0009" w:rsidP="000B0009">
      <w:r>
        <w:rPr>
          <w:b/>
        </w:rPr>
        <w:fldChar w:fldCharType="begin"/>
      </w:r>
      <w:r>
        <w:rPr>
          <w:b/>
        </w:rPr>
        <w:instrText xml:space="preserve"> REF _Ref465945250 \h  \* MERGEFORMAT </w:instrText>
      </w:r>
      <w:r>
        <w:rPr>
          <w:b/>
        </w:rPr>
      </w:r>
      <w:r>
        <w:rPr>
          <w:b/>
        </w:rPr>
        <w:fldChar w:fldCharType="separate"/>
      </w:r>
      <w:r>
        <w:rPr>
          <w:b/>
        </w:rPr>
        <w:t xml:space="preserve">Table </w:t>
      </w:r>
      <w:r>
        <w:rPr>
          <w:b/>
          <w:noProof/>
        </w:rPr>
        <w:t>4</w:t>
      </w:r>
      <w:r>
        <w:rPr>
          <w:b/>
        </w:rPr>
        <w:t>–</w:t>
      </w:r>
      <w:r>
        <w:rPr>
          <w:b/>
          <w:noProof/>
        </w:rPr>
        <w:t>21</w:t>
      </w:r>
      <w:r>
        <w:rPr>
          <w:b/>
        </w:rPr>
        <w:fldChar w:fldCharType="end"/>
      </w:r>
      <w:r>
        <w:t xml:space="preserve"> summarises the key market metrics presented above for the different applications of TiO</w:t>
      </w:r>
      <w:r>
        <w:rPr>
          <w:vertAlign w:val="subscript"/>
        </w:rPr>
        <w:t>2</w:t>
      </w:r>
      <w:r>
        <w:t>.</w:t>
      </w:r>
    </w:p>
    <w:p w:rsidR="000B0009" w:rsidRDefault="000B0009" w:rsidP="000B0009">
      <w:r>
        <w:t>As shown in the table, whilst for the major applications of TiO</w:t>
      </w:r>
      <w:r>
        <w:rPr>
          <w:vertAlign w:val="subscript"/>
        </w:rPr>
        <w:t>2</w:t>
      </w:r>
      <w:r>
        <w:t xml:space="preserve"> detailed information is available, for the majority of minor applications, information is incomplete or non-existent.  As demonstrated throughout this Section 4 of the report is difficult to estimate what the exact outcome of the proposed classification might be.  The proposed classification might have different impacts in different contexts.  It could result in:</w:t>
      </w:r>
    </w:p>
    <w:p w:rsidR="000B0009" w:rsidRPr="000B0009" w:rsidRDefault="000B0009" w:rsidP="000B0009">
      <w:pPr>
        <w:pStyle w:val="Bulletlist"/>
        <w:numPr>
          <w:ilvl w:val="0"/>
          <w:numId w:val="3"/>
        </w:numPr>
        <w:rPr>
          <w:lang w:val="en-US"/>
        </w:rPr>
      </w:pPr>
      <w:r w:rsidRPr="000B0009">
        <w:rPr>
          <w:lang w:val="en-US"/>
        </w:rPr>
        <w:t>An outright ban on use due to the existing regulatory framework (DIY paints, coating and construction products, detergents, etc.);</w:t>
      </w:r>
    </w:p>
    <w:p w:rsidR="000B0009" w:rsidRPr="000B0009" w:rsidRDefault="000B0009" w:rsidP="000B0009">
      <w:pPr>
        <w:pStyle w:val="Bulletlist"/>
        <w:numPr>
          <w:ilvl w:val="0"/>
          <w:numId w:val="3"/>
        </w:numPr>
        <w:rPr>
          <w:lang w:val="en-US"/>
        </w:rPr>
      </w:pPr>
      <w:r w:rsidRPr="000B0009">
        <w:rPr>
          <w:lang w:val="en-US"/>
        </w:rPr>
        <w:t>A ban under the existing regulatory framework unless an exemption or derogation can be secured and the probability of achieving this uncertain (cosmetics, food, pharmaceuticals, biocides);</w:t>
      </w:r>
    </w:p>
    <w:p w:rsidR="000B0009" w:rsidRPr="000B0009" w:rsidRDefault="000B0009" w:rsidP="000B0009">
      <w:pPr>
        <w:pStyle w:val="Bulletlist"/>
        <w:numPr>
          <w:ilvl w:val="0"/>
          <w:numId w:val="3"/>
        </w:numPr>
        <w:rPr>
          <w:lang w:val="en-US"/>
        </w:rPr>
      </w:pPr>
      <w:r w:rsidRPr="000B0009">
        <w:rPr>
          <w:lang w:val="en-US"/>
        </w:rPr>
        <w:t xml:space="preserve">A ban under industry-led initiatives which may allow scope for exemptions (see the Exclusion Policy of </w:t>
      </w:r>
      <w:proofErr w:type="spellStart"/>
      <w:r w:rsidRPr="000B0009">
        <w:rPr>
          <w:lang w:val="en-US"/>
        </w:rPr>
        <w:t>EuPIA</w:t>
      </w:r>
      <w:proofErr w:type="spellEnd"/>
      <w:r w:rsidRPr="000B0009">
        <w:rPr>
          <w:lang w:val="en-US"/>
        </w:rPr>
        <w:t xml:space="preserve"> for carcinogens in printing inks); or</w:t>
      </w:r>
    </w:p>
    <w:p w:rsidR="000B0009" w:rsidRPr="000B0009" w:rsidRDefault="000B0009" w:rsidP="000B0009">
      <w:pPr>
        <w:pStyle w:val="Bulletlist"/>
        <w:numPr>
          <w:ilvl w:val="0"/>
          <w:numId w:val="3"/>
        </w:numPr>
        <w:rPr>
          <w:lang w:val="en-US"/>
        </w:rPr>
      </w:pPr>
      <w:r w:rsidRPr="000B0009">
        <w:rPr>
          <w:lang w:val="en-US"/>
        </w:rPr>
        <w:lastRenderedPageBreak/>
        <w:t>An increase in manufacturing costs which might or not result in the removal of some TiO</w:t>
      </w:r>
      <w:r w:rsidRPr="000B0009">
        <w:rPr>
          <w:vertAlign w:val="subscript"/>
          <w:lang w:val="en-US"/>
        </w:rPr>
        <w:t>2</w:t>
      </w:r>
      <w:r w:rsidRPr="000B0009">
        <w:rPr>
          <w:lang w:val="en-US"/>
        </w:rPr>
        <w:t>-containing products from the market.</w:t>
      </w:r>
    </w:p>
    <w:p w:rsidR="000B0009" w:rsidRDefault="000B0009" w:rsidP="000B0009">
      <w:r>
        <w:t>More widely, the extent to which the additional regulatory burden, supply chain and consumer perceptions and wider market dynamics would affect the use of TiO</w:t>
      </w:r>
      <w:r>
        <w:rPr>
          <w:vertAlign w:val="subscript"/>
        </w:rPr>
        <w:t>2</w:t>
      </w:r>
      <w:r>
        <w:t xml:space="preserve"> and the marketing of products that rely on/contain TiO</w:t>
      </w:r>
      <w:r>
        <w:rPr>
          <w:vertAlign w:val="subscript"/>
        </w:rPr>
        <w:t>2</w:t>
      </w:r>
      <w:r>
        <w:t xml:space="preserve"> cannot be defined with accuracy.</w:t>
      </w:r>
    </w:p>
    <w:p w:rsidR="000B0009" w:rsidRDefault="000B0009" w:rsidP="000B0009">
      <w:r>
        <w:t>There are also several cost elements that would arise on which limited reliable information is currently available across the range of TiO</w:t>
      </w:r>
      <w:r>
        <w:rPr>
          <w:vertAlign w:val="subscript"/>
        </w:rPr>
        <w:t>2</w:t>
      </w:r>
      <w:r>
        <w:t>’s applications, for instance:</w:t>
      </w:r>
    </w:p>
    <w:p w:rsidR="000B0009" w:rsidRPr="000B0009" w:rsidRDefault="000B0009" w:rsidP="000B0009">
      <w:pPr>
        <w:pStyle w:val="Bulletlist"/>
        <w:numPr>
          <w:ilvl w:val="0"/>
          <w:numId w:val="3"/>
        </w:numPr>
        <w:rPr>
          <w:lang w:val="en-US"/>
        </w:rPr>
      </w:pPr>
      <w:r w:rsidRPr="000B0009">
        <w:rPr>
          <w:lang w:val="en-US"/>
        </w:rPr>
        <w:t>The true cost of implementing improved worker protection controls:  a wide range of estimates have been provided but whether such costs would be incurred (as opposed to operation shutdowns or business relocation) cannot be estimated with certainty;</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Changes to the cost of disposal of TiO</w:t>
      </w:r>
      <w:r w:rsidRPr="000B0009">
        <w:rPr>
          <w:vertAlign w:val="subscript"/>
          <w:lang w:val="en-US"/>
        </w:rPr>
        <w:t>2</w:t>
      </w:r>
      <w:r w:rsidRPr="000B0009">
        <w:rPr>
          <w:lang w:val="en-US"/>
        </w:rPr>
        <w:t xml:space="preserve"> containing waste are uncertain.  Whilst there is scope for a wide range of wastes becoming labelled as hazardous, the existing legislative framework allows for exemptions under Article 7(3) of the Waste Framework Directive so that re-classification of such wastes be avoided;</w:t>
      </w:r>
    </w:p>
    <w:p w:rsidR="000B0009" w:rsidRPr="000B0009" w:rsidRDefault="000B0009" w:rsidP="000B0009">
      <w:pPr>
        <w:pStyle w:val="Bulletlist"/>
        <w:numPr>
          <w:ilvl w:val="0"/>
          <w:numId w:val="0"/>
        </w:numPr>
        <w:rPr>
          <w:lang w:val="en-US"/>
        </w:rPr>
      </w:pPr>
    </w:p>
    <w:p w:rsidR="000B0009" w:rsidRPr="000B0009" w:rsidRDefault="000B0009" w:rsidP="000B0009">
      <w:pPr>
        <w:pStyle w:val="Bulletlist"/>
        <w:numPr>
          <w:ilvl w:val="0"/>
          <w:numId w:val="3"/>
        </w:numPr>
        <w:rPr>
          <w:lang w:val="en-US"/>
        </w:rPr>
      </w:pPr>
      <w:r w:rsidRPr="000B0009">
        <w:rPr>
          <w:lang w:val="en-US"/>
        </w:rPr>
        <w:t>The cost of reformulation of products that contain TiO</w:t>
      </w:r>
      <w:r w:rsidRPr="000B0009">
        <w:rPr>
          <w:vertAlign w:val="subscript"/>
          <w:lang w:val="en-US"/>
        </w:rPr>
        <w:t>2</w:t>
      </w:r>
      <w:r w:rsidRPr="000B0009">
        <w:rPr>
          <w:lang w:val="en-US"/>
        </w:rPr>
        <w:t xml:space="preserve">:  in some cases, some estimates have been provided for different applications, but the cost in each sector and across sectors cannot be estimated.  In addition, in some cases, for example pharmaceuticals, reformulation would also mean applications for variations to existing marketing </w:t>
      </w:r>
      <w:proofErr w:type="spellStart"/>
      <w:r w:rsidRPr="000B0009">
        <w:rPr>
          <w:lang w:val="en-US"/>
        </w:rPr>
        <w:t>authorisations</w:t>
      </w:r>
      <w:proofErr w:type="spellEnd"/>
      <w:r w:rsidRPr="000B0009">
        <w:rPr>
          <w:lang w:val="en-US"/>
        </w:rPr>
        <w:t>.  These could be accompanied by a substantial cost which cannot be estimated at present; and</w:t>
      </w:r>
    </w:p>
    <w:p w:rsidR="000B0009" w:rsidRPr="000B0009" w:rsidRDefault="000B0009" w:rsidP="000B0009">
      <w:pPr>
        <w:pStyle w:val="Bulletlist"/>
        <w:numPr>
          <w:ilvl w:val="0"/>
          <w:numId w:val="0"/>
        </w:numPr>
        <w:ind w:left="360"/>
        <w:rPr>
          <w:lang w:val="en-US"/>
        </w:rPr>
      </w:pPr>
    </w:p>
    <w:p w:rsidR="000B0009" w:rsidRPr="000B0009" w:rsidRDefault="000B0009" w:rsidP="000B0009">
      <w:pPr>
        <w:pStyle w:val="Bulletlist"/>
        <w:numPr>
          <w:ilvl w:val="0"/>
          <w:numId w:val="3"/>
        </w:numPr>
        <w:rPr>
          <w:lang w:val="en-US"/>
        </w:rPr>
      </w:pPr>
      <w:r w:rsidRPr="000B0009">
        <w:rPr>
          <w:lang w:val="en-US"/>
        </w:rPr>
        <w:t>The cost of transportation of goods – if the TiO</w:t>
      </w:r>
      <w:r w:rsidRPr="000B0009">
        <w:rPr>
          <w:vertAlign w:val="subscript"/>
          <w:lang w:val="en-US"/>
        </w:rPr>
        <w:t>2</w:t>
      </w:r>
      <w:r w:rsidRPr="000B0009">
        <w:rPr>
          <w:lang w:val="en-US"/>
        </w:rPr>
        <w:t xml:space="preserve"> manufacturing basis in the EEA collapsed, TiO</w:t>
      </w:r>
      <w:r w:rsidRPr="000B0009">
        <w:rPr>
          <w:vertAlign w:val="subscript"/>
          <w:lang w:val="en-US"/>
        </w:rPr>
        <w:t>2</w:t>
      </w:r>
      <w:r w:rsidRPr="000B0009">
        <w:rPr>
          <w:lang w:val="en-US"/>
        </w:rPr>
        <w:t xml:space="preserve"> pigment would need to be imported in substantial volumes from outside the EEA.  At the same time, significant volumes of articles treated with or containing TiO</w:t>
      </w:r>
      <w:r w:rsidRPr="000B0009">
        <w:rPr>
          <w:vertAlign w:val="subscript"/>
          <w:lang w:val="en-US"/>
        </w:rPr>
        <w:t>2</w:t>
      </w:r>
      <w:r w:rsidRPr="000B0009">
        <w:rPr>
          <w:lang w:val="en-US"/>
        </w:rPr>
        <w:t xml:space="preserve"> would be imported into the EEA due to the reduction in the use of TiO</w:t>
      </w:r>
      <w:r w:rsidRPr="000B0009">
        <w:rPr>
          <w:vertAlign w:val="subscript"/>
          <w:lang w:val="en-US"/>
        </w:rPr>
        <w:t>2</w:t>
      </w:r>
      <w:r w:rsidRPr="000B0009">
        <w:rPr>
          <w:lang w:val="en-US"/>
        </w:rPr>
        <w:t xml:space="preserve"> pigments and formulations in the EEA.  Information that would allow us to estimate the additional cost of this trade is not available.</w:t>
      </w:r>
    </w:p>
    <w:p w:rsidR="000B0009" w:rsidRPr="000B0009" w:rsidRDefault="000B0009" w:rsidP="000B0009">
      <w:pPr>
        <w:pStyle w:val="Bulletlist"/>
        <w:numPr>
          <w:ilvl w:val="0"/>
          <w:numId w:val="0"/>
        </w:numPr>
        <w:rPr>
          <w:lang w:val="en-US"/>
        </w:rPr>
      </w:pPr>
    </w:p>
    <w:p w:rsidR="000B0009" w:rsidRDefault="000B0009" w:rsidP="000B0009">
      <w:r>
        <w:t xml:space="preserve">     </w:t>
      </w:r>
    </w:p>
    <w:p w:rsidR="000B0009" w:rsidRDefault="000B0009" w:rsidP="000B0009">
      <w:pPr>
        <w:spacing w:after="0"/>
        <w:jc w:val="left"/>
        <w:sectPr w:rsidR="000B0009">
          <w:pgSz w:w="11906" w:h="16838"/>
          <w:pgMar w:top="1418" w:right="1440" w:bottom="851" w:left="1440" w:header="708"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639"/>
        <w:gridCol w:w="2513"/>
        <w:gridCol w:w="1791"/>
        <w:gridCol w:w="2399"/>
        <w:gridCol w:w="1770"/>
        <w:gridCol w:w="2222"/>
        <w:gridCol w:w="2225"/>
      </w:tblGrid>
      <w:tr w:rsidR="000B0009" w:rsidRPr="000B0009" w:rsidTr="000B0009">
        <w:trPr>
          <w:cantSplit/>
          <w:trHeight w:val="255"/>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pStyle w:val="Beschriftung"/>
              <w:keepNext w:val="0"/>
              <w:spacing w:line="276" w:lineRule="auto"/>
              <w:jc w:val="left"/>
              <w:rPr>
                <w:color w:val="FFFFFF" w:themeColor="background1"/>
              </w:rPr>
            </w:pPr>
            <w:bookmarkStart w:id="24" w:name="_Ref465945250"/>
            <w:r>
              <w:rPr>
                <w:color w:val="FFFFFF" w:themeColor="background1"/>
              </w:rPr>
              <w:lastRenderedPageBreak/>
              <w:t xml:space="preserve">Table </w:t>
            </w:r>
            <w:r>
              <w:fldChar w:fldCharType="begin"/>
            </w:r>
            <w:r>
              <w:rPr>
                <w:color w:val="FFFFFF" w:themeColor="background1"/>
              </w:rPr>
              <w:instrText xml:space="preserve"> STYLEREF 1 \s </w:instrText>
            </w:r>
            <w:r>
              <w:fldChar w:fldCharType="separate"/>
            </w:r>
            <w:r>
              <w:rPr>
                <w:noProof/>
                <w:color w:val="FFFFFF" w:themeColor="background1"/>
              </w:rPr>
              <w:t>4</w:t>
            </w:r>
            <w:r>
              <w:fldChar w:fldCharType="end"/>
            </w:r>
            <w:r>
              <w:rPr>
                <w:color w:val="FFFFFF" w:themeColor="background1"/>
              </w:rPr>
              <w:t>–</w:t>
            </w:r>
            <w:r>
              <w:fldChar w:fldCharType="begin"/>
            </w:r>
            <w:r>
              <w:rPr>
                <w:color w:val="FFFFFF" w:themeColor="background1"/>
              </w:rPr>
              <w:instrText xml:space="preserve"> SEQ Table \* ARABIC \s 1 </w:instrText>
            </w:r>
            <w:r>
              <w:fldChar w:fldCharType="separate"/>
            </w:r>
            <w:r>
              <w:rPr>
                <w:noProof/>
                <w:color w:val="FFFFFF" w:themeColor="background1"/>
              </w:rPr>
              <w:t>21</w:t>
            </w:r>
            <w:r>
              <w:fldChar w:fldCharType="end"/>
            </w:r>
            <w:bookmarkEnd w:id="24"/>
            <w:r>
              <w:rPr>
                <w:color w:val="FFFFFF" w:themeColor="background1"/>
              </w:rPr>
              <w:t>:  Summary of key metrics of markets for the different applications of TiO</w:t>
            </w:r>
            <w:r>
              <w:rPr>
                <w:color w:val="FFFFFF" w:themeColor="background1"/>
                <w:vertAlign w:val="subscript"/>
              </w:rPr>
              <w:t>2</w:t>
            </w:r>
            <w:r>
              <w:rPr>
                <w:color w:val="FFFFFF" w:themeColor="background1"/>
              </w:rPr>
              <w:t xml:space="preserve"> </w:t>
            </w:r>
          </w:p>
        </w:tc>
      </w:tr>
      <w:tr w:rsidR="000B0009" w:rsidTr="000B0009">
        <w:trPr>
          <w:cantSplit/>
          <w:trHeight w:val="255"/>
          <w:tblHeader/>
        </w:trPr>
        <w:tc>
          <w:tcPr>
            <w:tcW w:w="563" w:type="pct"/>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pStyle w:val="Table"/>
              <w:spacing w:line="276" w:lineRule="auto"/>
              <w:jc w:val="left"/>
              <w:rPr>
                <w:b/>
                <w:color w:val="FFFFFF" w:themeColor="background1"/>
              </w:rPr>
            </w:pPr>
            <w:proofErr w:type="spellStart"/>
            <w:r>
              <w:rPr>
                <w:b/>
                <w:color w:val="FFFFFF" w:themeColor="background1"/>
              </w:rPr>
              <w:t>Application</w:t>
            </w:r>
            <w:proofErr w:type="spellEnd"/>
            <w:r>
              <w:rPr>
                <w:b/>
                <w:color w:val="FFFFFF" w:themeColor="background1"/>
              </w:rPr>
              <w:t xml:space="preserve"> </w:t>
            </w:r>
            <w:proofErr w:type="spellStart"/>
            <w:r>
              <w:rPr>
                <w:b/>
                <w:color w:val="FFFFFF" w:themeColor="background1"/>
              </w:rPr>
              <w:t>area</w:t>
            </w:r>
            <w:proofErr w:type="spellEnd"/>
          </w:p>
        </w:tc>
        <w:tc>
          <w:tcPr>
            <w:tcW w:w="863" w:type="pct"/>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pStyle w:val="Table"/>
              <w:spacing w:line="276" w:lineRule="auto"/>
              <w:jc w:val="center"/>
              <w:rPr>
                <w:b/>
                <w:color w:val="FFFFFF" w:themeColor="background1"/>
              </w:rPr>
            </w:pPr>
            <w:proofErr w:type="spellStart"/>
            <w:r>
              <w:rPr>
                <w:b/>
                <w:color w:val="FFFFFF" w:themeColor="background1"/>
              </w:rPr>
              <w:t>Potentially</w:t>
            </w:r>
            <w:proofErr w:type="spellEnd"/>
            <w:r>
              <w:rPr>
                <w:b/>
                <w:color w:val="FFFFFF" w:themeColor="background1"/>
              </w:rPr>
              <w:t xml:space="preserve"> </w:t>
            </w:r>
            <w:proofErr w:type="spellStart"/>
            <w:r>
              <w:rPr>
                <w:b/>
                <w:color w:val="FFFFFF" w:themeColor="background1"/>
              </w:rPr>
              <w:t>affected</w:t>
            </w:r>
            <w:proofErr w:type="spellEnd"/>
            <w:r>
              <w:rPr>
                <w:b/>
                <w:color w:val="FFFFFF" w:themeColor="background1"/>
              </w:rPr>
              <w:t xml:space="preserve"> </w:t>
            </w:r>
            <w:proofErr w:type="spellStart"/>
            <w:r>
              <w:rPr>
                <w:b/>
                <w:color w:val="FFFFFF" w:themeColor="background1"/>
              </w:rPr>
              <w:t>turnover</w:t>
            </w:r>
            <w:proofErr w:type="spellEnd"/>
          </w:p>
        </w:tc>
        <w:tc>
          <w:tcPr>
            <w:tcW w:w="615" w:type="pct"/>
            <w:tcBorders>
              <w:top w:val="single" w:sz="4" w:space="0" w:color="auto"/>
              <w:left w:val="single" w:sz="4" w:space="0" w:color="auto"/>
              <w:bottom w:val="single" w:sz="4" w:space="0" w:color="auto"/>
              <w:right w:val="nil"/>
            </w:tcBorders>
            <w:shd w:val="clear" w:color="auto" w:fill="569BBE"/>
            <w:vAlign w:val="center"/>
            <w:hideMark/>
          </w:tcPr>
          <w:p w:rsidR="000B0009" w:rsidRDefault="000B0009">
            <w:pPr>
              <w:pStyle w:val="Table"/>
              <w:spacing w:line="276" w:lineRule="auto"/>
              <w:jc w:val="center"/>
              <w:rPr>
                <w:b/>
                <w:color w:val="FFFFFF" w:themeColor="background1"/>
              </w:rPr>
            </w:pPr>
            <w:r>
              <w:rPr>
                <w:b/>
                <w:color w:val="FFFFFF" w:themeColor="background1"/>
              </w:rPr>
              <w:t>GVA</w:t>
            </w:r>
          </w:p>
        </w:tc>
        <w:tc>
          <w:tcPr>
            <w:tcW w:w="824" w:type="pct"/>
            <w:tcBorders>
              <w:top w:val="single" w:sz="4" w:space="0" w:color="auto"/>
              <w:left w:val="single" w:sz="4" w:space="0" w:color="auto"/>
              <w:bottom w:val="single" w:sz="4" w:space="0" w:color="auto"/>
              <w:right w:val="nil"/>
            </w:tcBorders>
            <w:shd w:val="clear" w:color="auto" w:fill="569BBE"/>
            <w:vAlign w:val="center"/>
            <w:hideMark/>
          </w:tcPr>
          <w:p w:rsidR="000B0009" w:rsidRDefault="000B0009">
            <w:pPr>
              <w:pStyle w:val="Table"/>
              <w:spacing w:line="276" w:lineRule="auto"/>
              <w:jc w:val="center"/>
              <w:rPr>
                <w:b/>
                <w:color w:val="FFFFFF" w:themeColor="background1"/>
              </w:rPr>
            </w:pPr>
            <w:proofErr w:type="spellStart"/>
            <w:r>
              <w:rPr>
                <w:b/>
                <w:color w:val="FFFFFF" w:themeColor="background1"/>
              </w:rPr>
              <w:t>Number</w:t>
            </w:r>
            <w:proofErr w:type="spellEnd"/>
            <w:r>
              <w:rPr>
                <w:b/>
                <w:color w:val="FFFFFF" w:themeColor="background1"/>
              </w:rPr>
              <w:t xml:space="preserve"> </w:t>
            </w:r>
            <w:proofErr w:type="spellStart"/>
            <w:r>
              <w:rPr>
                <w:b/>
                <w:color w:val="FFFFFF" w:themeColor="background1"/>
              </w:rPr>
              <w:t>of</w:t>
            </w:r>
            <w:proofErr w:type="spellEnd"/>
            <w:r>
              <w:rPr>
                <w:b/>
                <w:color w:val="FFFFFF" w:themeColor="background1"/>
              </w:rPr>
              <w:t xml:space="preserve"> </w:t>
            </w:r>
            <w:proofErr w:type="spellStart"/>
            <w:r>
              <w:rPr>
                <w:b/>
                <w:color w:val="FFFFFF" w:themeColor="background1"/>
              </w:rPr>
              <w:t>companies</w:t>
            </w:r>
            <w:proofErr w:type="spellEnd"/>
          </w:p>
        </w:tc>
        <w:tc>
          <w:tcPr>
            <w:tcW w:w="608" w:type="pct"/>
            <w:tcBorders>
              <w:top w:val="single" w:sz="4" w:space="0" w:color="auto"/>
              <w:left w:val="single" w:sz="4" w:space="0" w:color="auto"/>
              <w:bottom w:val="single" w:sz="4" w:space="0" w:color="auto"/>
              <w:right w:val="nil"/>
            </w:tcBorders>
            <w:shd w:val="clear" w:color="auto" w:fill="569BBE"/>
            <w:vAlign w:val="center"/>
            <w:hideMark/>
          </w:tcPr>
          <w:p w:rsidR="000B0009" w:rsidRDefault="000B0009">
            <w:pPr>
              <w:pStyle w:val="Table"/>
              <w:spacing w:line="276" w:lineRule="auto"/>
              <w:jc w:val="center"/>
              <w:rPr>
                <w:b/>
                <w:color w:val="FFFFFF" w:themeColor="background1"/>
              </w:rPr>
            </w:pPr>
            <w:r>
              <w:rPr>
                <w:b/>
                <w:color w:val="FFFFFF" w:themeColor="background1"/>
              </w:rPr>
              <w:t xml:space="preserve">Share </w:t>
            </w:r>
            <w:proofErr w:type="spellStart"/>
            <w:r>
              <w:rPr>
                <w:b/>
                <w:color w:val="FFFFFF" w:themeColor="background1"/>
              </w:rPr>
              <w:t>of</w:t>
            </w:r>
            <w:proofErr w:type="spellEnd"/>
            <w:r>
              <w:rPr>
                <w:b/>
                <w:color w:val="FFFFFF" w:themeColor="background1"/>
              </w:rPr>
              <w:t xml:space="preserve"> SMEs</w:t>
            </w:r>
          </w:p>
        </w:tc>
        <w:tc>
          <w:tcPr>
            <w:tcW w:w="763" w:type="pct"/>
            <w:tcBorders>
              <w:top w:val="single" w:sz="4" w:space="0" w:color="auto"/>
              <w:left w:val="single" w:sz="4" w:space="0" w:color="auto"/>
              <w:bottom w:val="single" w:sz="4" w:space="0" w:color="auto"/>
              <w:right w:val="nil"/>
            </w:tcBorders>
            <w:shd w:val="clear" w:color="auto" w:fill="569BBE"/>
            <w:vAlign w:val="center"/>
            <w:hideMark/>
          </w:tcPr>
          <w:p w:rsidR="000B0009" w:rsidRDefault="000B0009">
            <w:pPr>
              <w:pStyle w:val="Table"/>
              <w:spacing w:line="276" w:lineRule="auto"/>
              <w:jc w:val="center"/>
              <w:rPr>
                <w:b/>
                <w:color w:val="FFFFFF" w:themeColor="background1"/>
              </w:rPr>
            </w:pPr>
            <w:proofErr w:type="spellStart"/>
            <w:r>
              <w:rPr>
                <w:b/>
                <w:color w:val="FFFFFF" w:themeColor="background1"/>
              </w:rPr>
              <w:t>Number</w:t>
            </w:r>
            <w:proofErr w:type="spellEnd"/>
            <w:r>
              <w:rPr>
                <w:b/>
                <w:color w:val="FFFFFF" w:themeColor="background1"/>
              </w:rPr>
              <w:t xml:space="preserve"> </w:t>
            </w:r>
            <w:proofErr w:type="spellStart"/>
            <w:r>
              <w:rPr>
                <w:b/>
                <w:color w:val="FFFFFF" w:themeColor="background1"/>
              </w:rPr>
              <w:t>of</w:t>
            </w:r>
            <w:proofErr w:type="spellEnd"/>
            <w:r>
              <w:rPr>
                <w:b/>
                <w:color w:val="FFFFFF" w:themeColor="background1"/>
              </w:rPr>
              <w:t xml:space="preserve"> </w:t>
            </w:r>
            <w:proofErr w:type="spellStart"/>
            <w:r>
              <w:rPr>
                <w:b/>
                <w:color w:val="FFFFFF" w:themeColor="background1"/>
              </w:rPr>
              <w:t>workers</w:t>
            </w:r>
            <w:proofErr w:type="spellEnd"/>
          </w:p>
        </w:tc>
        <w:tc>
          <w:tcPr>
            <w:tcW w:w="764" w:type="pct"/>
            <w:tcBorders>
              <w:top w:val="single" w:sz="4" w:space="0" w:color="auto"/>
              <w:left w:val="single" w:sz="4" w:space="0" w:color="auto"/>
              <w:bottom w:val="single" w:sz="4" w:space="0" w:color="auto"/>
              <w:right w:val="single" w:sz="4" w:space="0" w:color="auto"/>
            </w:tcBorders>
            <w:shd w:val="clear" w:color="auto" w:fill="569BBE"/>
            <w:vAlign w:val="center"/>
            <w:hideMark/>
          </w:tcPr>
          <w:p w:rsidR="000B0009" w:rsidRDefault="000B0009">
            <w:pPr>
              <w:pStyle w:val="Table"/>
              <w:spacing w:line="276" w:lineRule="auto"/>
              <w:jc w:val="center"/>
              <w:rPr>
                <w:b/>
                <w:color w:val="FFFFFF" w:themeColor="background1"/>
              </w:rPr>
            </w:pPr>
            <w:r>
              <w:rPr>
                <w:b/>
                <w:color w:val="FFFFFF" w:themeColor="background1"/>
              </w:rPr>
              <w:t xml:space="preserve">Downstream </w:t>
            </w:r>
            <w:proofErr w:type="spellStart"/>
            <w:r>
              <w:rPr>
                <w:b/>
                <w:color w:val="FFFFFF" w:themeColor="background1"/>
              </w:rPr>
              <w:t>markets</w:t>
            </w:r>
            <w:proofErr w:type="spellEnd"/>
          </w:p>
        </w:tc>
      </w:tr>
      <w:tr w:rsidR="000B0009" w:rsidRP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tabs>
                <w:tab w:val="left" w:pos="3131"/>
              </w:tabs>
              <w:spacing w:line="276" w:lineRule="auto"/>
              <w:jc w:val="left"/>
              <w:rPr>
                <w:sz w:val="19"/>
                <w:szCs w:val="19"/>
              </w:rPr>
            </w:pPr>
            <w:proofErr w:type="spellStart"/>
            <w:r>
              <w:rPr>
                <w:sz w:val="19"/>
                <w:szCs w:val="19"/>
              </w:rPr>
              <w:t>Paints</w:t>
            </w:r>
            <w:proofErr w:type="spellEnd"/>
            <w:r>
              <w:rPr>
                <w:sz w:val="19"/>
                <w:szCs w:val="19"/>
              </w:rPr>
              <w:t xml:space="preserve"> &amp; </w:t>
            </w:r>
            <w:proofErr w:type="spellStart"/>
            <w:r>
              <w:rPr>
                <w:sz w:val="19"/>
                <w:szCs w:val="19"/>
              </w:rPr>
              <w:t>coatings</w:t>
            </w:r>
            <w:proofErr w:type="spellEnd"/>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lang w:val="fr-FR"/>
              </w:rPr>
            </w:pPr>
            <w:r>
              <w:rPr>
                <w:sz w:val="19"/>
                <w:szCs w:val="19"/>
                <w:lang w:val="fr-FR"/>
              </w:rPr>
              <w:t>Arch: €6.2 billion/y</w:t>
            </w:r>
          </w:p>
          <w:p w:rsidR="000B0009" w:rsidRDefault="000B0009">
            <w:pPr>
              <w:pStyle w:val="Table"/>
              <w:spacing w:line="276" w:lineRule="auto"/>
              <w:jc w:val="center"/>
              <w:rPr>
                <w:sz w:val="19"/>
                <w:szCs w:val="19"/>
                <w:lang w:val="fr-FR"/>
              </w:rPr>
            </w:pPr>
            <w:proofErr w:type="spellStart"/>
            <w:r>
              <w:rPr>
                <w:sz w:val="19"/>
                <w:szCs w:val="19"/>
                <w:lang w:val="fr-FR"/>
              </w:rPr>
              <w:t>Ind</w:t>
            </w:r>
            <w:proofErr w:type="spellEnd"/>
            <w:r>
              <w:rPr>
                <w:sz w:val="19"/>
                <w:szCs w:val="19"/>
                <w:lang w:val="fr-FR"/>
              </w:rPr>
              <w:t>: €8.2 billion/y</w:t>
            </w:r>
          </w:p>
          <w:p w:rsidR="000B0009" w:rsidRDefault="000B0009">
            <w:pPr>
              <w:pStyle w:val="Table"/>
              <w:spacing w:line="276" w:lineRule="auto"/>
              <w:jc w:val="center"/>
              <w:rPr>
                <w:sz w:val="19"/>
                <w:szCs w:val="19"/>
                <w:lang w:val="fr-FR"/>
              </w:rPr>
            </w:pPr>
            <w:proofErr w:type="spellStart"/>
            <w:r>
              <w:rPr>
                <w:sz w:val="19"/>
                <w:szCs w:val="19"/>
                <w:lang w:val="fr-FR"/>
              </w:rPr>
              <w:t>Constr</w:t>
            </w:r>
            <w:proofErr w:type="spellEnd"/>
            <w:r>
              <w:rPr>
                <w:sz w:val="19"/>
                <w:szCs w:val="19"/>
                <w:lang w:val="fr-FR"/>
              </w:rPr>
              <w:t>: €0.55 billion/y</w:t>
            </w:r>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lang w:val="en-GB"/>
              </w:rPr>
            </w:pPr>
            <w:r>
              <w:rPr>
                <w:sz w:val="19"/>
                <w:szCs w:val="19"/>
              </w:rPr>
              <w:t xml:space="preserve">€5 </w:t>
            </w:r>
            <w:proofErr w:type="spellStart"/>
            <w:r>
              <w:rPr>
                <w:sz w:val="19"/>
                <w:szCs w:val="19"/>
              </w:rPr>
              <w:t>billion</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800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85%</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110,000</w:t>
            </w:r>
          </w:p>
        </w:tc>
        <w:tc>
          <w:tcPr>
            <w:tcW w:w="764"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 w:val="19"/>
                <w:szCs w:val="19"/>
                <w:lang w:val="en-US"/>
              </w:rPr>
            </w:pPr>
            <w:r w:rsidRPr="000B0009">
              <w:rPr>
                <w:sz w:val="19"/>
                <w:szCs w:val="19"/>
                <w:lang w:val="en-US"/>
              </w:rPr>
              <w:t>Value: €750 billion</w:t>
            </w:r>
          </w:p>
          <w:p w:rsidR="000B0009" w:rsidRPr="000B0009" w:rsidRDefault="000B0009">
            <w:pPr>
              <w:pStyle w:val="Table"/>
              <w:spacing w:line="276" w:lineRule="auto"/>
              <w:jc w:val="center"/>
              <w:rPr>
                <w:sz w:val="19"/>
                <w:szCs w:val="19"/>
                <w:lang w:val="en-US"/>
              </w:rPr>
            </w:pPr>
            <w:r w:rsidRPr="000B0009">
              <w:rPr>
                <w:sz w:val="19"/>
                <w:szCs w:val="19"/>
                <w:lang w:val="en-US"/>
              </w:rPr>
              <w:t>Workers: 1,000,000</w:t>
            </w:r>
          </w:p>
          <w:p w:rsidR="000B0009" w:rsidRPr="000B0009" w:rsidRDefault="000B0009">
            <w:pPr>
              <w:pStyle w:val="Table"/>
              <w:spacing w:line="276" w:lineRule="auto"/>
              <w:jc w:val="center"/>
              <w:rPr>
                <w:sz w:val="19"/>
                <w:szCs w:val="19"/>
                <w:lang w:val="en-US"/>
              </w:rPr>
            </w:pPr>
            <w:r w:rsidRPr="000B0009">
              <w:rPr>
                <w:sz w:val="19"/>
                <w:szCs w:val="19"/>
                <w:lang w:val="en-US"/>
              </w:rPr>
              <w:t xml:space="preserve">(incl. 30,000 in DIY retail) </w:t>
            </w:r>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r>
              <w:rPr>
                <w:sz w:val="19"/>
                <w:szCs w:val="19"/>
              </w:rPr>
              <w:t>Plastics</w:t>
            </w:r>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€270 </w:t>
            </w:r>
            <w:proofErr w:type="spellStart"/>
            <w:r>
              <w:rPr>
                <w:sz w:val="19"/>
                <w:szCs w:val="19"/>
              </w:rPr>
              <w:t>billion</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 xml:space="preserve">€118.4 </w:t>
            </w:r>
            <w:proofErr w:type="spellStart"/>
            <w:r>
              <w:rPr>
                <w:sz w:val="19"/>
                <w:szCs w:val="19"/>
              </w:rPr>
              <w:t>billion</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55,000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&gt;&gt;50%</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1,500,000</w:t>
            </w:r>
          </w:p>
        </w:tc>
        <w:tc>
          <w:tcPr>
            <w:tcW w:w="76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Value: €650 </w:t>
            </w:r>
            <w:proofErr w:type="spellStart"/>
            <w:r>
              <w:rPr>
                <w:sz w:val="19"/>
                <w:szCs w:val="19"/>
              </w:rPr>
              <w:t>billion</w:t>
            </w:r>
            <w:proofErr w:type="spellEnd"/>
          </w:p>
          <w:p w:rsidR="000B0009" w:rsidRDefault="000B0009">
            <w:pPr>
              <w:pStyle w:val="Table"/>
              <w:spacing w:line="276" w:lineRule="auto"/>
              <w:jc w:val="center"/>
              <w:rPr>
                <w:sz w:val="19"/>
                <w:szCs w:val="19"/>
              </w:rPr>
            </w:pPr>
            <w:proofErr w:type="spellStart"/>
            <w:r>
              <w:rPr>
                <w:sz w:val="19"/>
                <w:szCs w:val="19"/>
              </w:rPr>
              <w:t>Workers</w:t>
            </w:r>
            <w:proofErr w:type="spellEnd"/>
            <w:r>
              <w:rPr>
                <w:sz w:val="19"/>
                <w:szCs w:val="19"/>
              </w:rPr>
              <w:t>: 4,500,000</w:t>
            </w:r>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r>
              <w:rPr>
                <w:sz w:val="19"/>
                <w:szCs w:val="19"/>
              </w:rPr>
              <w:t xml:space="preserve">Paper </w:t>
            </w:r>
            <w:proofErr w:type="spellStart"/>
            <w:r>
              <w:rPr>
                <w:sz w:val="19"/>
                <w:szCs w:val="19"/>
              </w:rPr>
              <w:t>and</w:t>
            </w:r>
            <w:proofErr w:type="spellEnd"/>
            <w:r>
              <w:rPr>
                <w:sz w:val="19"/>
                <w:szCs w:val="19"/>
              </w:rPr>
              <w:t xml:space="preserve"> </w:t>
            </w:r>
            <w:proofErr w:type="spellStart"/>
            <w:r>
              <w:rPr>
                <w:sz w:val="19"/>
                <w:szCs w:val="19"/>
              </w:rPr>
              <w:t>wallcoverings</w:t>
            </w:r>
            <w:proofErr w:type="spellEnd"/>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&gt;€1.7 </w:t>
            </w:r>
            <w:proofErr w:type="spellStart"/>
            <w:r>
              <w:rPr>
                <w:sz w:val="19"/>
                <w:szCs w:val="19"/>
              </w:rPr>
              <w:t>billion</w:t>
            </w:r>
            <w:proofErr w:type="spellEnd"/>
          </w:p>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xml:space="preserve">: €75 </w:t>
            </w:r>
            <w:proofErr w:type="spellStart"/>
            <w:r>
              <w:rPr>
                <w:sz w:val="19"/>
                <w:szCs w:val="19"/>
              </w:rPr>
              <w:t>billion</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 xml:space="preserve">&gt;€0.34 </w:t>
            </w:r>
            <w:proofErr w:type="spellStart"/>
            <w:r>
              <w:rPr>
                <w:sz w:val="19"/>
                <w:szCs w:val="19"/>
              </w:rPr>
              <w:t>billion</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Wallcoverings</w:t>
            </w:r>
            <w:proofErr w:type="spellEnd"/>
            <w:r>
              <w:rPr>
                <w:sz w:val="19"/>
                <w:szCs w:val="19"/>
              </w:rPr>
              <w:t xml:space="preserve">: 54 CEPI </w:t>
            </w:r>
            <w:proofErr w:type="spellStart"/>
            <w:r>
              <w:rPr>
                <w:sz w:val="19"/>
                <w:szCs w:val="19"/>
              </w:rPr>
              <w:t>members</w:t>
            </w:r>
            <w:proofErr w:type="spellEnd"/>
            <w:r>
              <w:rPr>
                <w:sz w:val="19"/>
                <w:szCs w:val="19"/>
              </w:rPr>
              <w:t>:  515</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&gt;&gt;50%</w:t>
            </w:r>
          </w:p>
          <w:p w:rsidR="000B0009" w:rsidRDefault="000B0009">
            <w:pPr>
              <w:pStyle w:val="Table"/>
              <w:spacing w:line="276" w:lineRule="auto"/>
              <w:jc w:val="center"/>
              <w:rPr>
                <w:sz w:val="19"/>
                <w:szCs w:val="19"/>
              </w:rPr>
            </w:pPr>
            <w:r>
              <w:rPr>
                <w:sz w:val="19"/>
                <w:szCs w:val="19"/>
              </w:rPr>
              <w:t>(</w:t>
            </w:r>
            <w:proofErr w:type="spellStart"/>
            <w:r>
              <w:rPr>
                <w:sz w:val="19"/>
                <w:szCs w:val="19"/>
              </w:rPr>
              <w:t>perhaps</w:t>
            </w:r>
            <w:proofErr w:type="spellEnd"/>
            <w:r>
              <w:rPr>
                <w:sz w:val="19"/>
                <w:szCs w:val="19"/>
              </w:rPr>
              <w:t xml:space="preserve"> not </w:t>
            </w:r>
            <w:proofErr w:type="spellStart"/>
            <w:r>
              <w:rPr>
                <w:sz w:val="19"/>
                <w:szCs w:val="19"/>
              </w:rPr>
              <w:t>for</w:t>
            </w:r>
            <w:proofErr w:type="spellEnd"/>
            <w:r>
              <w:rPr>
                <w:sz w:val="19"/>
                <w:szCs w:val="19"/>
              </w:rPr>
              <w:t xml:space="preserve"> </w:t>
            </w:r>
            <w:proofErr w:type="spellStart"/>
            <w:r>
              <w:rPr>
                <w:sz w:val="19"/>
                <w:szCs w:val="19"/>
              </w:rPr>
              <w:t>laminates</w:t>
            </w:r>
            <w:proofErr w:type="spellEnd"/>
            <w:r>
              <w:rPr>
                <w:sz w:val="19"/>
                <w:szCs w:val="19"/>
              </w:rPr>
              <w:t>)</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208,000</w:t>
            </w:r>
          </w:p>
        </w:tc>
        <w:tc>
          <w:tcPr>
            <w:tcW w:w="76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Value: €4.9 </w:t>
            </w:r>
            <w:proofErr w:type="spellStart"/>
            <w:r>
              <w:rPr>
                <w:sz w:val="19"/>
                <w:szCs w:val="19"/>
              </w:rPr>
              <w:t>billion</w:t>
            </w:r>
            <w:proofErr w:type="spellEnd"/>
          </w:p>
          <w:p w:rsidR="000B0009" w:rsidRDefault="000B0009">
            <w:pPr>
              <w:pStyle w:val="Table"/>
              <w:spacing w:line="276" w:lineRule="auto"/>
              <w:jc w:val="center"/>
              <w:rPr>
                <w:sz w:val="19"/>
                <w:szCs w:val="19"/>
              </w:rPr>
            </w:pPr>
            <w:proofErr w:type="spellStart"/>
            <w:r>
              <w:rPr>
                <w:sz w:val="19"/>
                <w:szCs w:val="19"/>
              </w:rPr>
              <w:t>Workers</w:t>
            </w:r>
            <w:proofErr w:type="spellEnd"/>
            <w:r>
              <w:rPr>
                <w:sz w:val="19"/>
                <w:szCs w:val="19"/>
              </w:rPr>
              <w:t>: 1,051,700</w:t>
            </w:r>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proofErr w:type="spellStart"/>
            <w:r>
              <w:rPr>
                <w:sz w:val="19"/>
                <w:szCs w:val="19"/>
              </w:rPr>
              <w:t>Inks</w:t>
            </w:r>
            <w:proofErr w:type="spellEnd"/>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&gt;€3.3 </w:t>
            </w:r>
            <w:proofErr w:type="spellStart"/>
            <w:r>
              <w:rPr>
                <w:sz w:val="19"/>
                <w:szCs w:val="19"/>
              </w:rPr>
              <w:t>billion</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Included</w:t>
            </w:r>
            <w:proofErr w:type="spellEnd"/>
            <w:r>
              <w:rPr>
                <w:sz w:val="19"/>
                <w:szCs w:val="19"/>
              </w:rPr>
              <w:t xml:space="preserve"> in </w:t>
            </w:r>
            <w:proofErr w:type="spellStart"/>
            <w:r>
              <w:rPr>
                <w:sz w:val="19"/>
                <w:szCs w:val="19"/>
              </w:rPr>
              <w:t>paints</w:t>
            </w:r>
            <w:proofErr w:type="spellEnd"/>
            <w:r>
              <w:rPr>
                <w:sz w:val="19"/>
                <w:szCs w:val="19"/>
              </w:rPr>
              <w:t xml:space="preserve"> &amp; </w:t>
            </w:r>
            <w:proofErr w:type="spellStart"/>
            <w:r>
              <w:rPr>
                <w:sz w:val="19"/>
                <w:szCs w:val="19"/>
              </w:rPr>
              <w:t>coatings</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&gt;150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&gt;85%</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Included</w:t>
            </w:r>
            <w:proofErr w:type="spellEnd"/>
            <w:r>
              <w:rPr>
                <w:sz w:val="19"/>
                <w:szCs w:val="19"/>
              </w:rPr>
              <w:t xml:space="preserve"> in </w:t>
            </w:r>
            <w:proofErr w:type="spellStart"/>
            <w:r>
              <w:rPr>
                <w:sz w:val="19"/>
                <w:szCs w:val="19"/>
              </w:rPr>
              <w:t>paints</w:t>
            </w:r>
            <w:proofErr w:type="spellEnd"/>
            <w:r>
              <w:rPr>
                <w:sz w:val="19"/>
                <w:szCs w:val="19"/>
              </w:rPr>
              <w:t xml:space="preserve"> </w:t>
            </w:r>
            <w:proofErr w:type="spellStart"/>
            <w:r>
              <w:rPr>
                <w:sz w:val="19"/>
                <w:szCs w:val="19"/>
              </w:rPr>
              <w:t>above</w:t>
            </w:r>
            <w:proofErr w:type="spellEnd"/>
          </w:p>
        </w:tc>
        <w:tc>
          <w:tcPr>
            <w:tcW w:w="76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Value: €200 </w:t>
            </w:r>
            <w:proofErr w:type="spellStart"/>
            <w:r>
              <w:rPr>
                <w:sz w:val="19"/>
                <w:szCs w:val="19"/>
              </w:rPr>
              <w:t>billion</w:t>
            </w:r>
            <w:proofErr w:type="spellEnd"/>
          </w:p>
          <w:p w:rsidR="000B0009" w:rsidRDefault="000B0009">
            <w:pPr>
              <w:pStyle w:val="Table"/>
              <w:spacing w:line="276" w:lineRule="auto"/>
              <w:jc w:val="center"/>
              <w:rPr>
                <w:sz w:val="19"/>
                <w:szCs w:val="19"/>
              </w:rPr>
            </w:pPr>
            <w:proofErr w:type="spellStart"/>
            <w:r>
              <w:rPr>
                <w:sz w:val="19"/>
                <w:szCs w:val="19"/>
              </w:rPr>
              <w:t>Workers</w:t>
            </w:r>
            <w:proofErr w:type="spellEnd"/>
            <w:r>
              <w:rPr>
                <w:sz w:val="19"/>
                <w:szCs w:val="19"/>
              </w:rPr>
              <w:t>: &gt;50,000</w:t>
            </w:r>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proofErr w:type="spellStart"/>
            <w:r>
              <w:rPr>
                <w:sz w:val="19"/>
                <w:szCs w:val="19"/>
              </w:rPr>
              <w:t>Construction</w:t>
            </w:r>
            <w:proofErr w:type="spellEnd"/>
            <w:r>
              <w:rPr>
                <w:sz w:val="19"/>
                <w:szCs w:val="19"/>
              </w:rPr>
              <w:t xml:space="preserve"> </w:t>
            </w:r>
            <w:proofErr w:type="spellStart"/>
            <w:r>
              <w:rPr>
                <w:sz w:val="19"/>
                <w:szCs w:val="19"/>
              </w:rPr>
              <w:t>products</w:t>
            </w:r>
            <w:proofErr w:type="spellEnd"/>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Included</w:t>
            </w:r>
            <w:proofErr w:type="spellEnd"/>
            <w:r>
              <w:rPr>
                <w:sz w:val="19"/>
                <w:szCs w:val="19"/>
              </w:rPr>
              <w:t xml:space="preserve"> in </w:t>
            </w:r>
            <w:proofErr w:type="spellStart"/>
            <w:r>
              <w:rPr>
                <w:sz w:val="19"/>
                <w:szCs w:val="19"/>
              </w:rPr>
              <w:t>paints</w:t>
            </w:r>
            <w:proofErr w:type="spellEnd"/>
            <w:r>
              <w:rPr>
                <w:sz w:val="19"/>
                <w:szCs w:val="19"/>
              </w:rPr>
              <w:t xml:space="preserve"> &amp; </w:t>
            </w:r>
            <w:proofErr w:type="spellStart"/>
            <w:r>
              <w:rPr>
                <w:sz w:val="19"/>
                <w:szCs w:val="19"/>
              </w:rPr>
              <w:t>coatings</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Adhesives</w:t>
            </w:r>
            <w:proofErr w:type="spellEnd"/>
            <w:r>
              <w:rPr>
                <w:sz w:val="19"/>
                <w:szCs w:val="19"/>
              </w:rPr>
              <w:t xml:space="preserve"> &amp; </w:t>
            </w:r>
            <w:proofErr w:type="spellStart"/>
            <w:r>
              <w:rPr>
                <w:sz w:val="19"/>
                <w:szCs w:val="19"/>
              </w:rPr>
              <w:t>sealants</w:t>
            </w:r>
            <w:proofErr w:type="spellEnd"/>
            <w:r>
              <w:rPr>
                <w:sz w:val="19"/>
                <w:szCs w:val="19"/>
              </w:rPr>
              <w:t>: 450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&gt;&gt;50%</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Adhesives</w:t>
            </w:r>
            <w:proofErr w:type="spellEnd"/>
            <w:r>
              <w:rPr>
                <w:sz w:val="19"/>
                <w:szCs w:val="19"/>
              </w:rPr>
              <w:t xml:space="preserve"> &amp; </w:t>
            </w:r>
            <w:proofErr w:type="spellStart"/>
            <w:r>
              <w:rPr>
                <w:sz w:val="19"/>
                <w:szCs w:val="19"/>
              </w:rPr>
              <w:t>sealants</w:t>
            </w:r>
            <w:proofErr w:type="spellEnd"/>
            <w:r>
              <w:rPr>
                <w:sz w:val="19"/>
                <w:szCs w:val="19"/>
              </w:rPr>
              <w:t xml:space="preserve">: 41,000  </w:t>
            </w:r>
          </w:p>
        </w:tc>
        <w:tc>
          <w:tcPr>
            <w:tcW w:w="76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r>
      <w:tr w:rsidR="000B0009" w:rsidRP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proofErr w:type="spellStart"/>
            <w:r>
              <w:rPr>
                <w:sz w:val="19"/>
                <w:szCs w:val="19"/>
              </w:rPr>
              <w:t>Fibres</w:t>
            </w:r>
            <w:proofErr w:type="spellEnd"/>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€7.5-10 </w:t>
            </w:r>
            <w:proofErr w:type="spellStart"/>
            <w:r>
              <w:rPr>
                <w:sz w:val="19"/>
                <w:szCs w:val="19"/>
              </w:rPr>
              <w:t>billion</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42</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&gt;50%</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20,000</w:t>
            </w:r>
          </w:p>
        </w:tc>
        <w:tc>
          <w:tcPr>
            <w:tcW w:w="764"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 w:val="19"/>
                <w:szCs w:val="19"/>
                <w:lang w:val="en-US"/>
              </w:rPr>
            </w:pPr>
            <w:r w:rsidRPr="000B0009">
              <w:rPr>
                <w:sz w:val="19"/>
                <w:szCs w:val="19"/>
                <w:lang w:val="en-US"/>
              </w:rPr>
              <w:t>Could be included in plastics above</w:t>
            </w:r>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proofErr w:type="spellStart"/>
            <w:r>
              <w:rPr>
                <w:sz w:val="19"/>
                <w:szCs w:val="19"/>
              </w:rPr>
              <w:t>Catalysts</w:t>
            </w:r>
            <w:proofErr w:type="spellEnd"/>
          </w:p>
        </w:tc>
        <w:tc>
          <w:tcPr>
            <w:tcW w:w="4437" w:type="pct"/>
            <w:gridSpan w:val="6"/>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r>
              <w:rPr>
                <w:sz w:val="19"/>
                <w:szCs w:val="19"/>
              </w:rPr>
              <w:t xml:space="preserve">Food, </w:t>
            </w:r>
            <w:proofErr w:type="spellStart"/>
            <w:r>
              <w:rPr>
                <w:sz w:val="19"/>
                <w:szCs w:val="19"/>
              </w:rPr>
              <w:t>feed</w:t>
            </w:r>
            <w:proofErr w:type="spellEnd"/>
            <w:r>
              <w:rPr>
                <w:sz w:val="19"/>
                <w:szCs w:val="19"/>
              </w:rPr>
              <w:t xml:space="preserve"> </w:t>
            </w:r>
            <w:proofErr w:type="spellStart"/>
            <w:r>
              <w:rPr>
                <w:sz w:val="19"/>
                <w:szCs w:val="19"/>
              </w:rPr>
              <w:t>and</w:t>
            </w:r>
            <w:proofErr w:type="spellEnd"/>
            <w:r>
              <w:rPr>
                <w:sz w:val="19"/>
                <w:szCs w:val="19"/>
              </w:rPr>
              <w:t xml:space="preserve"> </w:t>
            </w:r>
            <w:proofErr w:type="spellStart"/>
            <w:r>
              <w:rPr>
                <w:sz w:val="19"/>
                <w:szCs w:val="19"/>
              </w:rPr>
              <w:t>packaging</w:t>
            </w:r>
            <w:proofErr w:type="spellEnd"/>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76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r>
              <w:rPr>
                <w:sz w:val="19"/>
                <w:szCs w:val="19"/>
              </w:rPr>
              <w:t>Pharmaceuticals</w:t>
            </w:r>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xml:space="preserve">: €192 </w:t>
            </w:r>
            <w:proofErr w:type="spellStart"/>
            <w:r>
              <w:rPr>
                <w:sz w:val="19"/>
                <w:szCs w:val="19"/>
              </w:rPr>
              <w:t>billion</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1,900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725,000</w:t>
            </w:r>
          </w:p>
        </w:tc>
        <w:tc>
          <w:tcPr>
            <w:tcW w:w="76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proofErr w:type="spellStart"/>
            <w:r>
              <w:rPr>
                <w:sz w:val="19"/>
                <w:szCs w:val="19"/>
              </w:rPr>
              <w:t>Cosmetics</w:t>
            </w:r>
            <w:proofErr w:type="spellEnd"/>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xml:space="preserve">: €77 </w:t>
            </w:r>
            <w:proofErr w:type="spellStart"/>
            <w:r>
              <w:rPr>
                <w:sz w:val="19"/>
                <w:szCs w:val="19"/>
              </w:rPr>
              <w:t>billion</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xml:space="preserve">: €8 </w:t>
            </w:r>
            <w:proofErr w:type="spellStart"/>
            <w:r>
              <w:rPr>
                <w:sz w:val="19"/>
                <w:szCs w:val="19"/>
              </w:rPr>
              <w:t>billion</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Ingredients</w:t>
            </w:r>
            <w:proofErr w:type="spellEnd"/>
            <w:r>
              <w:rPr>
                <w:sz w:val="19"/>
                <w:szCs w:val="19"/>
              </w:rPr>
              <w:t>: 100</w:t>
            </w:r>
          </w:p>
          <w:p w:rsidR="000B0009" w:rsidRDefault="000B0009">
            <w:pPr>
              <w:pStyle w:val="Table"/>
              <w:spacing w:line="276" w:lineRule="auto"/>
              <w:jc w:val="center"/>
              <w:rPr>
                <w:sz w:val="19"/>
                <w:szCs w:val="19"/>
              </w:rPr>
            </w:pPr>
            <w:proofErr w:type="spellStart"/>
            <w:r>
              <w:rPr>
                <w:sz w:val="19"/>
                <w:szCs w:val="19"/>
              </w:rPr>
              <w:t>Cosmetic</w:t>
            </w:r>
            <w:proofErr w:type="spellEnd"/>
            <w:r>
              <w:rPr>
                <w:sz w:val="19"/>
                <w:szCs w:val="19"/>
              </w:rPr>
              <w:t xml:space="preserve"> </w:t>
            </w:r>
            <w:proofErr w:type="spellStart"/>
            <w:r>
              <w:rPr>
                <w:sz w:val="19"/>
                <w:szCs w:val="19"/>
              </w:rPr>
              <w:t>products</w:t>
            </w:r>
            <w:proofErr w:type="spellEnd"/>
            <w:r>
              <w:rPr>
                <w:sz w:val="19"/>
                <w:szCs w:val="19"/>
              </w:rPr>
              <w:t>: 5,000</w:t>
            </w:r>
          </w:p>
          <w:p w:rsidR="000B0009" w:rsidRDefault="000B0009">
            <w:pPr>
              <w:pStyle w:val="Table"/>
              <w:spacing w:line="276" w:lineRule="auto"/>
              <w:jc w:val="center"/>
              <w:rPr>
                <w:sz w:val="19"/>
                <w:szCs w:val="19"/>
              </w:rPr>
            </w:pPr>
            <w:r>
              <w:rPr>
                <w:sz w:val="19"/>
                <w:szCs w:val="19"/>
              </w:rPr>
              <w:t>Distribution: 120,800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92%</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152,000</w:t>
            </w:r>
          </w:p>
        </w:tc>
        <w:tc>
          <w:tcPr>
            <w:tcW w:w="764" w:type="pct"/>
            <w:tcBorders>
              <w:top w:val="single" w:sz="4" w:space="0" w:color="auto"/>
              <w:left w:val="single" w:sz="4" w:space="0" w:color="auto"/>
              <w:bottom w:val="single" w:sz="4" w:space="0" w:color="auto"/>
              <w:right w:val="single" w:sz="4" w:space="0" w:color="auto"/>
            </w:tcBorders>
          </w:tcPr>
          <w:p w:rsidR="000B0009" w:rsidRDefault="000B0009">
            <w:pPr>
              <w:pStyle w:val="Table"/>
              <w:spacing w:line="276" w:lineRule="auto"/>
              <w:jc w:val="center"/>
              <w:rPr>
                <w:sz w:val="19"/>
                <w:szCs w:val="19"/>
              </w:rPr>
            </w:pPr>
            <w:r>
              <w:rPr>
                <w:sz w:val="19"/>
                <w:szCs w:val="19"/>
              </w:rPr>
              <w:t xml:space="preserve">GVA: €21 </w:t>
            </w:r>
            <w:proofErr w:type="spellStart"/>
            <w:r>
              <w:rPr>
                <w:sz w:val="19"/>
                <w:szCs w:val="19"/>
              </w:rPr>
              <w:t>billion</w:t>
            </w:r>
            <w:proofErr w:type="spellEnd"/>
          </w:p>
          <w:p w:rsidR="000B0009" w:rsidRDefault="000B0009">
            <w:pPr>
              <w:pStyle w:val="Table"/>
              <w:spacing w:line="276" w:lineRule="auto"/>
              <w:jc w:val="center"/>
              <w:rPr>
                <w:sz w:val="19"/>
                <w:szCs w:val="19"/>
              </w:rPr>
            </w:pPr>
            <w:proofErr w:type="spellStart"/>
            <w:r>
              <w:rPr>
                <w:sz w:val="19"/>
                <w:szCs w:val="19"/>
              </w:rPr>
              <w:t>Workers</w:t>
            </w:r>
            <w:proofErr w:type="spellEnd"/>
            <w:r>
              <w:rPr>
                <w:sz w:val="19"/>
                <w:szCs w:val="19"/>
              </w:rPr>
              <w:t>: 1,600,000</w:t>
            </w:r>
          </w:p>
          <w:p w:rsidR="000B0009" w:rsidRDefault="000B0009">
            <w:pPr>
              <w:pStyle w:val="Table"/>
              <w:spacing w:line="276" w:lineRule="auto"/>
              <w:jc w:val="center"/>
              <w:rPr>
                <w:sz w:val="19"/>
                <w:szCs w:val="19"/>
              </w:rPr>
            </w:pPr>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r>
              <w:rPr>
                <w:sz w:val="19"/>
                <w:szCs w:val="19"/>
              </w:rPr>
              <w:t>Elastomers</w:t>
            </w:r>
          </w:p>
        </w:tc>
        <w:tc>
          <w:tcPr>
            <w:tcW w:w="4437" w:type="pct"/>
            <w:gridSpan w:val="6"/>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r>
              <w:rPr>
                <w:sz w:val="19"/>
                <w:szCs w:val="19"/>
              </w:rPr>
              <w:t>Pigments</w:t>
            </w:r>
          </w:p>
        </w:tc>
        <w:tc>
          <w:tcPr>
            <w:tcW w:w="863"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 w:val="19"/>
                <w:szCs w:val="19"/>
                <w:lang w:val="en-US"/>
              </w:rPr>
            </w:pPr>
            <w:r w:rsidRPr="000B0009">
              <w:rPr>
                <w:sz w:val="19"/>
                <w:szCs w:val="19"/>
                <w:lang w:val="en-US"/>
              </w:rPr>
              <w:t>TiO</w:t>
            </w:r>
            <w:r w:rsidRPr="000B0009">
              <w:rPr>
                <w:sz w:val="19"/>
                <w:szCs w:val="19"/>
                <w:vertAlign w:val="subscript"/>
                <w:lang w:val="en-US"/>
              </w:rPr>
              <w:t>2</w:t>
            </w:r>
            <w:r w:rsidRPr="000B0009">
              <w:rPr>
                <w:sz w:val="19"/>
                <w:szCs w:val="19"/>
                <w:lang w:val="en-US"/>
              </w:rPr>
              <w:t>-specific: Unknown</w:t>
            </w:r>
          </w:p>
          <w:p w:rsidR="000B0009" w:rsidRPr="000B0009" w:rsidRDefault="000B0009">
            <w:pPr>
              <w:pStyle w:val="Table"/>
              <w:spacing w:line="276" w:lineRule="auto"/>
              <w:jc w:val="center"/>
              <w:rPr>
                <w:sz w:val="19"/>
                <w:szCs w:val="19"/>
                <w:lang w:val="en-US"/>
              </w:rPr>
            </w:pPr>
            <w:r w:rsidRPr="000B0009">
              <w:rPr>
                <w:sz w:val="19"/>
                <w:szCs w:val="19"/>
                <w:lang w:val="en-US"/>
              </w:rPr>
              <w:t>Total sector: €8.1 billion</w:t>
            </w:r>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100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75%</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23,000</w:t>
            </w:r>
          </w:p>
        </w:tc>
        <w:tc>
          <w:tcPr>
            <w:tcW w:w="764" w:type="pct"/>
            <w:tcBorders>
              <w:top w:val="single" w:sz="4" w:space="0" w:color="auto"/>
              <w:left w:val="single" w:sz="4" w:space="0" w:color="auto"/>
              <w:bottom w:val="single" w:sz="4" w:space="0" w:color="auto"/>
              <w:right w:val="single" w:sz="4" w:space="0" w:color="auto"/>
            </w:tcBorders>
          </w:tcPr>
          <w:p w:rsidR="000B0009" w:rsidRDefault="000B0009">
            <w:pPr>
              <w:pStyle w:val="Table"/>
              <w:spacing w:line="276" w:lineRule="auto"/>
              <w:jc w:val="center"/>
              <w:rPr>
                <w:sz w:val="19"/>
                <w:szCs w:val="19"/>
              </w:rPr>
            </w:pPr>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proofErr w:type="spellStart"/>
            <w:r>
              <w:rPr>
                <w:sz w:val="19"/>
                <w:szCs w:val="19"/>
              </w:rPr>
              <w:t>Ceramics</w:t>
            </w:r>
            <w:proofErr w:type="spellEnd"/>
          </w:p>
        </w:tc>
        <w:tc>
          <w:tcPr>
            <w:tcW w:w="863" w:type="pct"/>
            <w:tcBorders>
              <w:top w:val="single" w:sz="4" w:space="0" w:color="auto"/>
              <w:left w:val="single" w:sz="4" w:space="0" w:color="auto"/>
              <w:bottom w:val="single" w:sz="4" w:space="0" w:color="auto"/>
              <w:right w:val="single" w:sz="4" w:space="0" w:color="auto"/>
            </w:tcBorders>
            <w:hideMark/>
          </w:tcPr>
          <w:p w:rsidR="000B0009" w:rsidRPr="000B0009" w:rsidRDefault="000B0009">
            <w:pPr>
              <w:pStyle w:val="Table"/>
              <w:spacing w:line="276" w:lineRule="auto"/>
              <w:jc w:val="center"/>
              <w:rPr>
                <w:sz w:val="19"/>
                <w:szCs w:val="19"/>
                <w:lang w:val="en-US"/>
              </w:rPr>
            </w:pPr>
            <w:r w:rsidRPr="000B0009">
              <w:rPr>
                <w:sz w:val="19"/>
                <w:szCs w:val="19"/>
                <w:lang w:val="en-US"/>
              </w:rPr>
              <w:t>€174 million</w:t>
            </w:r>
          </w:p>
          <w:p w:rsidR="000B0009" w:rsidRPr="000B0009" w:rsidRDefault="000B0009">
            <w:pPr>
              <w:pStyle w:val="Table"/>
              <w:spacing w:line="276" w:lineRule="auto"/>
              <w:jc w:val="center"/>
              <w:rPr>
                <w:sz w:val="19"/>
                <w:szCs w:val="19"/>
                <w:lang w:val="en-US"/>
              </w:rPr>
            </w:pPr>
            <w:r w:rsidRPr="000B0009">
              <w:rPr>
                <w:sz w:val="19"/>
                <w:szCs w:val="19"/>
                <w:lang w:val="en-US"/>
              </w:rPr>
              <w:t>Total ceramics and enamel: €3 billion</w:t>
            </w:r>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&gt;200</w:t>
            </w:r>
          </w:p>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2,000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&gt;80%</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&gt;50,000</w:t>
            </w:r>
          </w:p>
        </w:tc>
        <w:tc>
          <w:tcPr>
            <w:tcW w:w="76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r>
              <w:rPr>
                <w:sz w:val="19"/>
                <w:szCs w:val="19"/>
              </w:rPr>
              <w:t>Glass</w:t>
            </w:r>
          </w:p>
        </w:tc>
        <w:tc>
          <w:tcPr>
            <w:tcW w:w="8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615"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c>
          <w:tcPr>
            <w:tcW w:w="824"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70</w:t>
            </w:r>
          </w:p>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1,200</w:t>
            </w:r>
          </w:p>
        </w:tc>
        <w:tc>
          <w:tcPr>
            <w:tcW w:w="608"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10%</w:t>
            </w:r>
          </w:p>
        </w:tc>
        <w:tc>
          <w:tcPr>
            <w:tcW w:w="763" w:type="pct"/>
            <w:tcBorders>
              <w:top w:val="single" w:sz="4" w:space="0" w:color="auto"/>
              <w:left w:val="single" w:sz="4" w:space="0" w:color="auto"/>
              <w:bottom w:val="single" w:sz="4" w:space="0" w:color="auto"/>
              <w:right w:val="nil"/>
            </w:tcBorders>
            <w:hideMark/>
          </w:tcPr>
          <w:p w:rsidR="000B0009" w:rsidRDefault="000B0009">
            <w:pPr>
              <w:pStyle w:val="Table"/>
              <w:spacing w:line="276" w:lineRule="auto"/>
              <w:jc w:val="center"/>
              <w:rPr>
                <w:sz w:val="19"/>
                <w:szCs w:val="19"/>
              </w:rPr>
            </w:pPr>
            <w:r>
              <w:rPr>
                <w:sz w:val="19"/>
                <w:szCs w:val="19"/>
              </w:rPr>
              <w:t xml:space="preserve">Total </w:t>
            </w:r>
            <w:proofErr w:type="spellStart"/>
            <w:r>
              <w:rPr>
                <w:sz w:val="19"/>
                <w:szCs w:val="19"/>
              </w:rPr>
              <w:t>sector</w:t>
            </w:r>
            <w:proofErr w:type="spellEnd"/>
            <w:r>
              <w:rPr>
                <w:sz w:val="19"/>
                <w:szCs w:val="19"/>
              </w:rPr>
              <w:t xml:space="preserve">: 185,000 (incl. </w:t>
            </w:r>
            <w:proofErr w:type="spellStart"/>
            <w:r>
              <w:rPr>
                <w:sz w:val="19"/>
                <w:szCs w:val="19"/>
              </w:rPr>
              <w:t>processors</w:t>
            </w:r>
            <w:proofErr w:type="spellEnd"/>
            <w:r>
              <w:rPr>
                <w:sz w:val="19"/>
                <w:szCs w:val="19"/>
              </w:rPr>
              <w:t>)</w:t>
            </w:r>
          </w:p>
        </w:tc>
        <w:tc>
          <w:tcPr>
            <w:tcW w:w="764"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r>
              <w:rPr>
                <w:sz w:val="19"/>
                <w:szCs w:val="19"/>
              </w:rPr>
              <w:t xml:space="preserve">Medical </w:t>
            </w:r>
            <w:proofErr w:type="spellStart"/>
            <w:r>
              <w:rPr>
                <w:sz w:val="19"/>
                <w:szCs w:val="19"/>
              </w:rPr>
              <w:t>devices</w:t>
            </w:r>
            <w:proofErr w:type="spellEnd"/>
          </w:p>
        </w:tc>
        <w:tc>
          <w:tcPr>
            <w:tcW w:w="4437" w:type="pct"/>
            <w:gridSpan w:val="6"/>
            <w:vMerge w:val="restar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center"/>
              <w:rPr>
                <w:sz w:val="19"/>
                <w:szCs w:val="19"/>
              </w:rPr>
            </w:pPr>
            <w:proofErr w:type="spellStart"/>
            <w:r>
              <w:rPr>
                <w:sz w:val="19"/>
                <w:szCs w:val="19"/>
              </w:rPr>
              <w:t>No</w:t>
            </w:r>
            <w:proofErr w:type="spellEnd"/>
            <w:r>
              <w:rPr>
                <w:sz w:val="19"/>
                <w:szCs w:val="19"/>
              </w:rPr>
              <w:t xml:space="preserve"> </w:t>
            </w:r>
            <w:proofErr w:type="spellStart"/>
            <w:r>
              <w:rPr>
                <w:sz w:val="19"/>
                <w:szCs w:val="19"/>
              </w:rPr>
              <w:t>data</w:t>
            </w:r>
            <w:proofErr w:type="spellEnd"/>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proofErr w:type="spellStart"/>
            <w:r>
              <w:rPr>
                <w:sz w:val="19"/>
                <w:szCs w:val="19"/>
              </w:rPr>
              <w:lastRenderedPageBreak/>
              <w:t>Detergents</w:t>
            </w:r>
            <w:proofErr w:type="spellEnd"/>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0B0009" w:rsidRDefault="000B0009">
            <w:pPr>
              <w:spacing w:after="0" w:line="276" w:lineRule="auto"/>
              <w:jc w:val="left"/>
              <w:rPr>
                <w:color w:val="000000" w:themeColor="text1"/>
                <w:sz w:val="19"/>
                <w:szCs w:val="19"/>
              </w:rPr>
            </w:pPr>
          </w:p>
        </w:tc>
      </w:tr>
      <w:tr w:rsidR="000B0009" w:rsidTr="000B0009">
        <w:trPr>
          <w:cantSplit/>
          <w:trHeight w:val="255"/>
        </w:trPr>
        <w:tc>
          <w:tcPr>
            <w:tcW w:w="563" w:type="pct"/>
            <w:tcBorders>
              <w:top w:val="single" w:sz="4" w:space="0" w:color="auto"/>
              <w:left w:val="single" w:sz="4" w:space="0" w:color="auto"/>
              <w:bottom w:val="single" w:sz="4" w:space="0" w:color="auto"/>
              <w:right w:val="single" w:sz="4" w:space="0" w:color="auto"/>
            </w:tcBorders>
            <w:hideMark/>
          </w:tcPr>
          <w:p w:rsidR="000B0009" w:rsidRDefault="000B0009">
            <w:pPr>
              <w:pStyle w:val="Table"/>
              <w:spacing w:line="276" w:lineRule="auto"/>
              <w:jc w:val="left"/>
              <w:rPr>
                <w:sz w:val="19"/>
                <w:szCs w:val="19"/>
              </w:rPr>
            </w:pPr>
            <w:proofErr w:type="spellStart"/>
            <w:r>
              <w:rPr>
                <w:sz w:val="19"/>
                <w:szCs w:val="19"/>
              </w:rPr>
              <w:t>Biocides</w:t>
            </w:r>
            <w:proofErr w:type="spellEnd"/>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0B0009" w:rsidRDefault="000B0009">
            <w:pPr>
              <w:spacing w:after="0" w:line="276" w:lineRule="auto"/>
              <w:jc w:val="left"/>
              <w:rPr>
                <w:color w:val="000000" w:themeColor="text1"/>
                <w:sz w:val="19"/>
                <w:szCs w:val="19"/>
              </w:rPr>
            </w:pPr>
          </w:p>
        </w:tc>
      </w:tr>
    </w:tbl>
    <w:p w:rsidR="000B0009" w:rsidRDefault="000B0009" w:rsidP="000B0009"/>
    <w:p w:rsidR="000B0009" w:rsidRDefault="000B0009" w:rsidP="000B0009">
      <w:pPr>
        <w:spacing w:after="0"/>
        <w:jc w:val="left"/>
        <w:sectPr w:rsidR="000B0009">
          <w:pgSz w:w="16838" w:h="11906" w:orient="landscape"/>
          <w:pgMar w:top="1440" w:right="1418" w:bottom="1440" w:left="851" w:header="708" w:footer="709" w:gutter="0"/>
          <w:cols w:space="720"/>
        </w:sectPr>
      </w:pPr>
    </w:p>
    <w:p w:rsidR="000B0009" w:rsidRDefault="000B0009" w:rsidP="000B0009">
      <w:r>
        <w:lastRenderedPageBreak/>
        <w:t>Overall, there is significant uncertainty over the monetised scale of the impacts arising from the proposed classification for TiO</w:t>
      </w:r>
      <w:r>
        <w:rPr>
          <w:vertAlign w:val="subscript"/>
        </w:rPr>
        <w:t>2</w:t>
      </w:r>
      <w:r>
        <w:t>.  However, this cannot prevent us from reaching some clear, general conclusions:</w:t>
      </w:r>
    </w:p>
    <w:p w:rsidR="000B0009" w:rsidRPr="000B0009" w:rsidRDefault="000B0009" w:rsidP="000B0009">
      <w:pPr>
        <w:pStyle w:val="Bulletlist"/>
        <w:numPr>
          <w:ilvl w:val="0"/>
          <w:numId w:val="3"/>
        </w:numPr>
        <w:rPr>
          <w:lang w:val="en-US"/>
        </w:rPr>
      </w:pPr>
      <w:r w:rsidRPr="000B0009">
        <w:rPr>
          <w:lang w:val="en-US"/>
        </w:rPr>
        <w:t xml:space="preserve">The value of markets that would be affected would be very large.  The combined estimated value of paints, coatings, construction products, inks, plastics, </w:t>
      </w:r>
      <w:proofErr w:type="spellStart"/>
      <w:r w:rsidRPr="000B0009">
        <w:rPr>
          <w:lang w:val="en-US"/>
        </w:rPr>
        <w:t>fibres</w:t>
      </w:r>
      <w:proofErr w:type="spellEnd"/>
      <w:r w:rsidRPr="000B0009">
        <w:rPr>
          <w:lang w:val="en-US"/>
        </w:rPr>
        <w:t xml:space="preserve"> and wallcoverings that contain TiO</w:t>
      </w:r>
      <w:r w:rsidRPr="000B0009">
        <w:rPr>
          <w:vertAlign w:val="subscript"/>
          <w:lang w:val="en-US"/>
        </w:rPr>
        <w:t>2</w:t>
      </w:r>
      <w:r w:rsidRPr="000B0009">
        <w:rPr>
          <w:lang w:val="en-US"/>
        </w:rPr>
        <w:t xml:space="preserve"> exceeds €300 billion.  The value of downstream markets is a multiple of this.  For paints and coatings for instance, it can be estimated that downstream markets could be 50 times larger in value;</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The number of companies affected would be very large and most of those would be SMEs.  For instance, the report has reported the existence of 800 paint and ink manufacturers, 55,000 plastic converters, 55 wallcovering manufacturers, 5,000 cosmetics manufacturers.  Further downstream, distributors, formulators and users amount to hundreds of thousands of companies;</w:t>
      </w:r>
    </w:p>
    <w:p w:rsidR="000B0009" w:rsidRPr="000B0009" w:rsidRDefault="000B0009" w:rsidP="000B0009">
      <w:pPr>
        <w:pStyle w:val="Bulletlist"/>
        <w:numPr>
          <w:ilvl w:val="0"/>
          <w:numId w:val="0"/>
        </w:numPr>
        <w:rPr>
          <w:lang w:val="en-US"/>
        </w:rPr>
      </w:pPr>
    </w:p>
    <w:p w:rsidR="000B0009" w:rsidRPr="000B0009" w:rsidRDefault="000B0009" w:rsidP="000B0009">
      <w:pPr>
        <w:pStyle w:val="Bulletlist"/>
        <w:numPr>
          <w:ilvl w:val="0"/>
          <w:numId w:val="3"/>
        </w:numPr>
        <w:rPr>
          <w:lang w:val="en-US"/>
        </w:rPr>
      </w:pPr>
      <w:r w:rsidRPr="000B0009">
        <w:rPr>
          <w:lang w:val="en-US"/>
        </w:rPr>
        <w:t xml:space="preserve">The number of workers whose employment would be affected is also large.  Information available for paints, coatings, construction products, plastics, pigments, </w:t>
      </w:r>
      <w:proofErr w:type="spellStart"/>
      <w:r w:rsidRPr="000B0009">
        <w:rPr>
          <w:lang w:val="en-US"/>
        </w:rPr>
        <w:t>fibres</w:t>
      </w:r>
      <w:proofErr w:type="spellEnd"/>
      <w:r w:rsidRPr="000B0009">
        <w:rPr>
          <w:lang w:val="en-US"/>
        </w:rPr>
        <w:t xml:space="preserve"> and cosmetics suggest an overall employment of over 2 million workers involved in the manufacturing of formulations and articles that contain TiO</w:t>
      </w:r>
      <w:r w:rsidRPr="000B0009">
        <w:rPr>
          <w:vertAlign w:val="subscript"/>
          <w:lang w:val="en-US"/>
        </w:rPr>
        <w:t>2</w:t>
      </w:r>
      <w:r w:rsidRPr="000B0009">
        <w:rPr>
          <w:lang w:val="en-US"/>
        </w:rPr>
        <w:t>.  Further downstream, the number of workers handling and using these formulations and articles becomes very much larger: an estimated 1 million workers might use TiO</w:t>
      </w:r>
      <w:r w:rsidRPr="000B0009">
        <w:rPr>
          <w:vertAlign w:val="subscript"/>
          <w:lang w:val="en-US"/>
        </w:rPr>
        <w:t>2</w:t>
      </w:r>
      <w:r w:rsidRPr="000B0009">
        <w:rPr>
          <w:lang w:val="en-US"/>
        </w:rPr>
        <w:t>-containing paints and coatings and 4.5 million workers are using plastics containing TiO</w:t>
      </w:r>
      <w:r w:rsidRPr="000B0009">
        <w:rPr>
          <w:vertAlign w:val="subscript"/>
          <w:lang w:val="en-US"/>
        </w:rPr>
        <w:t>2</w:t>
      </w:r>
      <w:r w:rsidRPr="000B0009">
        <w:rPr>
          <w:lang w:val="en-US"/>
        </w:rPr>
        <w:t>;</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Consumer uses would be particularly affected.  The DIY sector would be subject to unprecedented pressure with a very large number of formulations (paints, coatings, adhesives, sealants, fillers, etc.) being labelled ‘for professional use only’.  The cost of renovation and maintenance of properties would significantly increase and become exclusive to professional builders and decorators, unless consumers disregard the rules.  The presence of a carcinogen in a multitude of products found in homes, offices, shops, vehicles, food and its packaging, pharmaceuticals, cosmetics, medical devices, toys, magazines would cause significant market upset, changes in aesthetics, increased costs and ultimately a great source of confusion and concern over exposure to TiO</w:t>
      </w:r>
      <w:r w:rsidRPr="000B0009">
        <w:rPr>
          <w:vertAlign w:val="subscript"/>
          <w:lang w:val="en-US"/>
        </w:rPr>
        <w:t>2</w:t>
      </w:r>
      <w:r w:rsidRPr="000B0009">
        <w:rPr>
          <w:lang w:val="en-US"/>
        </w:rPr>
        <w:t xml:space="preserve"> (which in most cases is minimal or non-existent); and</w:t>
      </w:r>
    </w:p>
    <w:p w:rsidR="000B0009" w:rsidRPr="000B0009" w:rsidRDefault="000B0009" w:rsidP="000B0009">
      <w:pPr>
        <w:pStyle w:val="Bulletlist"/>
        <w:numPr>
          <w:ilvl w:val="0"/>
          <w:numId w:val="0"/>
        </w:numPr>
        <w:ind w:left="709"/>
        <w:rPr>
          <w:lang w:val="en-US"/>
        </w:rPr>
      </w:pPr>
    </w:p>
    <w:p w:rsidR="000B0009" w:rsidRPr="000B0009" w:rsidRDefault="000B0009" w:rsidP="000B0009">
      <w:pPr>
        <w:pStyle w:val="Bulletlist"/>
        <w:numPr>
          <w:ilvl w:val="0"/>
          <w:numId w:val="3"/>
        </w:numPr>
        <w:rPr>
          <w:lang w:val="en-US"/>
        </w:rPr>
      </w:pPr>
      <w:r w:rsidRPr="000B0009">
        <w:rPr>
          <w:lang w:val="en-US"/>
        </w:rPr>
        <w:t>Industrial processes that involve TiO</w:t>
      </w:r>
      <w:r w:rsidRPr="000B0009">
        <w:rPr>
          <w:vertAlign w:val="subscript"/>
          <w:lang w:val="en-US"/>
        </w:rPr>
        <w:t>2</w:t>
      </w:r>
      <w:r w:rsidRPr="000B0009">
        <w:rPr>
          <w:lang w:val="en-US"/>
        </w:rPr>
        <w:t xml:space="preserve"> would become substantially more costly in the EEA as a result of compliance with existing regulation.  Unilaterally classifying a substance as ubiquitous as TiO</w:t>
      </w:r>
      <w:r w:rsidRPr="000B0009">
        <w:rPr>
          <w:vertAlign w:val="subscript"/>
          <w:lang w:val="en-US"/>
        </w:rPr>
        <w:t>2</w:t>
      </w:r>
      <w:r w:rsidRPr="000B0009">
        <w:rPr>
          <w:lang w:val="en-US"/>
        </w:rPr>
        <w:t xml:space="preserve"> as a </w:t>
      </w:r>
      <w:proofErr w:type="spellStart"/>
      <w:r w:rsidRPr="000B0009">
        <w:rPr>
          <w:lang w:val="en-US"/>
        </w:rPr>
        <w:t>Carc</w:t>
      </w:r>
      <w:proofErr w:type="spellEnd"/>
      <w:r w:rsidRPr="000B0009">
        <w:rPr>
          <w:lang w:val="en-US"/>
        </w:rPr>
        <w:t xml:space="preserve"> Cat 1B would seriously undermine the competitiveness of the EEA industry.  Mobility within supply chains would increase and relocation of production processes outside the EEA would become more attractive.</w:t>
      </w:r>
    </w:p>
    <w:p w:rsidR="000B0009" w:rsidRDefault="000B0009">
      <w:pPr>
        <w:rPr>
          <w:lang w:val="en-US"/>
        </w:rPr>
      </w:pPr>
    </w:p>
    <w:p w:rsidR="0033012C" w:rsidRDefault="0033012C" w:rsidP="0033012C">
      <w:pPr>
        <w:pStyle w:val="berschrift1"/>
        <w:rPr>
          <w:b/>
          <w:bCs/>
        </w:rPr>
      </w:pPr>
      <w:bookmarkStart w:id="25" w:name="_Toc470188699"/>
      <w:r>
        <w:rPr>
          <w:b/>
          <w:bCs/>
        </w:rPr>
        <w:lastRenderedPageBreak/>
        <w:t>Annex 1:  Legislation of relevance to the proposed hazard classification</w:t>
      </w:r>
      <w:bookmarkEnd w:id="25"/>
    </w:p>
    <w:p w:rsidR="0033012C" w:rsidRDefault="0033012C" w:rsidP="0033012C">
      <w:pPr>
        <w:pStyle w:val="berschrift2"/>
        <w:rPr>
          <w:b/>
        </w:rPr>
      </w:pPr>
      <w:bookmarkStart w:id="26" w:name="_Toc470188700"/>
      <w:r>
        <w:rPr>
          <w:b/>
        </w:rPr>
        <w:t>Legislative requirements</w:t>
      </w:r>
      <w:bookmarkEnd w:id="26"/>
    </w:p>
    <w:p w:rsidR="0033012C" w:rsidRDefault="0033012C" w:rsidP="0033012C">
      <w:pPr>
        <w:pStyle w:val="berschrift3"/>
        <w:rPr>
          <w:b/>
          <w:bCs/>
        </w:rPr>
      </w:pPr>
      <w:bookmarkStart w:id="27" w:name="_Toc470188710"/>
      <w:r>
        <w:rPr>
          <w:b/>
          <w:bCs/>
        </w:rPr>
        <w:t>Colouring matters for medicinal products</w:t>
      </w:r>
      <w:bookmarkEnd w:id="27"/>
    </w:p>
    <w:tbl>
      <w:tblPr>
        <w:tblW w:w="9105"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7"/>
        <w:gridCol w:w="1418"/>
        <w:gridCol w:w="6240"/>
      </w:tblGrid>
      <w:tr w:rsidR="0033012C" w:rsidRPr="0033012C" w:rsidTr="0033012C">
        <w:trPr>
          <w:cantSplit/>
          <w:trHeight w:val="255"/>
          <w:tblHeader/>
        </w:trPr>
        <w:tc>
          <w:tcPr>
            <w:tcW w:w="9100" w:type="dxa"/>
            <w:gridSpan w:val="3"/>
            <w:tcBorders>
              <w:top w:val="single" w:sz="4" w:space="0" w:color="000000"/>
              <w:left w:val="single" w:sz="4" w:space="0" w:color="000000"/>
              <w:bottom w:val="single" w:sz="4" w:space="0" w:color="000000"/>
              <w:right w:val="single" w:sz="4" w:space="0" w:color="000000"/>
            </w:tcBorders>
            <w:shd w:val="clear" w:color="auto" w:fill="569BBE"/>
            <w:tcMar>
              <w:top w:w="28" w:type="dxa"/>
              <w:left w:w="28" w:type="dxa"/>
              <w:bottom w:w="28" w:type="dxa"/>
              <w:right w:w="28" w:type="dxa"/>
            </w:tcMar>
            <w:vAlign w:val="center"/>
            <w:hideMark/>
          </w:tcPr>
          <w:p w:rsidR="0033012C" w:rsidRDefault="0033012C">
            <w:pPr>
              <w:spacing w:after="0" w:line="276" w:lineRule="auto"/>
              <w:ind w:right="11"/>
              <w:jc w:val="left"/>
              <w:textAlignment w:val="baseline"/>
              <w:rPr>
                <w:rFonts w:eastAsia="Arial"/>
                <w:b/>
                <w:color w:val="FFFFFF" w:themeColor="background1"/>
                <w:sz w:val="20"/>
                <w:szCs w:val="20"/>
              </w:rPr>
            </w:pPr>
            <w:r>
              <w:rPr>
                <w:b/>
                <w:color w:val="FFFFFF" w:themeColor="background1"/>
                <w:sz w:val="20"/>
                <w:szCs w:val="20"/>
              </w:rPr>
              <w:t xml:space="preserve">Table </w:t>
            </w:r>
            <w:r>
              <w:rPr>
                <w:b/>
                <w:color w:val="FFFFFF" w:themeColor="background1"/>
                <w:sz w:val="20"/>
                <w:szCs w:val="20"/>
              </w:rPr>
              <w:fldChar w:fldCharType="begin"/>
            </w:r>
            <w:r>
              <w:rPr>
                <w:b/>
                <w:color w:val="FFFFFF" w:themeColor="background1"/>
                <w:sz w:val="20"/>
                <w:szCs w:val="20"/>
              </w:rPr>
              <w:instrText xml:space="preserve"> STYLEREF 1 \s </w:instrText>
            </w:r>
            <w:r>
              <w:rPr>
                <w:b/>
                <w:color w:val="FFFFFF" w:themeColor="background1"/>
                <w:sz w:val="20"/>
                <w:szCs w:val="20"/>
              </w:rPr>
              <w:fldChar w:fldCharType="separate"/>
            </w:r>
            <w:r>
              <w:rPr>
                <w:b/>
                <w:noProof/>
                <w:color w:val="FFFFFF" w:themeColor="background1"/>
                <w:sz w:val="20"/>
                <w:szCs w:val="20"/>
              </w:rPr>
              <w:t>8</w:t>
            </w:r>
            <w:r>
              <w:rPr>
                <w:b/>
                <w:color w:val="FFFFFF" w:themeColor="background1"/>
                <w:sz w:val="20"/>
                <w:szCs w:val="20"/>
              </w:rPr>
              <w:fldChar w:fldCharType="end"/>
            </w:r>
            <w:r>
              <w:rPr>
                <w:b/>
                <w:color w:val="FFFFFF" w:themeColor="background1"/>
                <w:sz w:val="20"/>
                <w:szCs w:val="20"/>
              </w:rPr>
              <w:t>–</w:t>
            </w:r>
            <w:r>
              <w:rPr>
                <w:b/>
                <w:color w:val="FFFFFF" w:themeColor="background1"/>
                <w:sz w:val="20"/>
                <w:szCs w:val="20"/>
              </w:rPr>
              <w:fldChar w:fldCharType="begin"/>
            </w:r>
            <w:r>
              <w:rPr>
                <w:b/>
                <w:color w:val="FFFFFF" w:themeColor="background1"/>
                <w:sz w:val="20"/>
                <w:szCs w:val="20"/>
              </w:rPr>
              <w:instrText xml:space="preserve"> SEQ Table \* ARABIC \s 1 </w:instrText>
            </w:r>
            <w:r>
              <w:rPr>
                <w:b/>
                <w:color w:val="FFFFFF" w:themeColor="background1"/>
                <w:sz w:val="20"/>
                <w:szCs w:val="20"/>
              </w:rPr>
              <w:fldChar w:fldCharType="separate"/>
            </w:r>
            <w:r>
              <w:rPr>
                <w:b/>
                <w:noProof/>
                <w:color w:val="FFFFFF" w:themeColor="background1"/>
                <w:sz w:val="20"/>
                <w:szCs w:val="20"/>
              </w:rPr>
              <w:t>13</w:t>
            </w:r>
            <w:r>
              <w:rPr>
                <w:b/>
                <w:color w:val="FFFFFF" w:themeColor="background1"/>
                <w:sz w:val="20"/>
                <w:szCs w:val="20"/>
              </w:rPr>
              <w:fldChar w:fldCharType="end"/>
            </w:r>
            <w:r>
              <w:rPr>
                <w:b/>
                <w:color w:val="FFFFFF" w:themeColor="background1"/>
                <w:sz w:val="20"/>
                <w:szCs w:val="20"/>
              </w:rPr>
              <w:t xml:space="preserve">:  </w:t>
            </w:r>
            <w:r>
              <w:rPr>
                <w:b/>
                <w:color w:val="FFFFFF" w:themeColor="background1"/>
                <w:sz w:val="20"/>
                <w:szCs w:val="18"/>
              </w:rPr>
              <w:t>Key parameters of relevant legislation – Colouring matters for Medicinal Products</w:t>
            </w:r>
          </w:p>
        </w:tc>
      </w:tr>
      <w:tr w:rsidR="0033012C" w:rsidTr="0033012C">
        <w:trPr>
          <w:cantSplit/>
          <w:trHeight w:val="255"/>
          <w:tblHeader/>
        </w:trPr>
        <w:tc>
          <w:tcPr>
            <w:tcW w:w="2863" w:type="dxa"/>
            <w:gridSpan w:val="2"/>
            <w:tcBorders>
              <w:top w:val="single" w:sz="4" w:space="0" w:color="000000"/>
              <w:left w:val="single" w:sz="4" w:space="0" w:color="000000"/>
              <w:bottom w:val="single" w:sz="4" w:space="0" w:color="000000"/>
              <w:right w:val="single" w:sz="4" w:space="0" w:color="000000"/>
            </w:tcBorders>
            <w:shd w:val="clear" w:color="auto" w:fill="569BBE"/>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b/>
                <w:color w:val="FFFFFF" w:themeColor="background1"/>
                <w:sz w:val="20"/>
                <w:szCs w:val="20"/>
              </w:rPr>
            </w:pPr>
            <w:r>
              <w:rPr>
                <w:rFonts w:eastAsia="Arial"/>
                <w:b/>
                <w:color w:val="FFFFFF" w:themeColor="background1"/>
                <w:sz w:val="20"/>
                <w:szCs w:val="20"/>
              </w:rPr>
              <w:t>Key parameters</w:t>
            </w:r>
          </w:p>
        </w:tc>
        <w:tc>
          <w:tcPr>
            <w:tcW w:w="6237" w:type="dxa"/>
            <w:tcBorders>
              <w:top w:val="single" w:sz="4" w:space="0" w:color="000000"/>
              <w:left w:val="single" w:sz="4" w:space="0" w:color="000000"/>
              <w:bottom w:val="single" w:sz="4" w:space="0" w:color="000000"/>
              <w:right w:val="single" w:sz="4" w:space="0" w:color="000000"/>
            </w:tcBorders>
            <w:shd w:val="clear" w:color="auto" w:fill="569BBE"/>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b/>
                <w:color w:val="FFFFFF" w:themeColor="background1"/>
                <w:sz w:val="20"/>
                <w:szCs w:val="20"/>
              </w:rPr>
            </w:pPr>
            <w:r>
              <w:rPr>
                <w:rFonts w:eastAsia="Arial"/>
                <w:b/>
                <w:color w:val="FFFFFF" w:themeColor="background1"/>
                <w:sz w:val="20"/>
                <w:szCs w:val="20"/>
              </w:rPr>
              <w:t>Details</w:t>
            </w:r>
          </w:p>
        </w:tc>
      </w:tr>
      <w:tr w:rsidR="0033012C" w:rsidRPr="0033012C" w:rsidTr="0033012C">
        <w:trPr>
          <w:cantSplit/>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Relevant legislative instruments</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sz w:val="20"/>
                <w:szCs w:val="18"/>
              </w:rPr>
            </w:pPr>
            <w:r>
              <w:rPr>
                <w:rFonts w:eastAsia="Arial"/>
                <w:color w:val="000000"/>
                <w:sz w:val="20"/>
                <w:szCs w:val="20"/>
              </w:rPr>
              <w:t>Directive 2001/83/EC</w:t>
            </w:r>
            <w:r>
              <w:rPr>
                <w:sz w:val="20"/>
                <w:szCs w:val="18"/>
              </w:rPr>
              <w:t xml:space="preserve"> </w:t>
            </w:r>
          </w:p>
          <w:p w:rsidR="0033012C" w:rsidRDefault="0033012C">
            <w:pPr>
              <w:spacing w:after="0" w:line="276" w:lineRule="auto"/>
              <w:ind w:right="13"/>
              <w:jc w:val="left"/>
              <w:textAlignment w:val="baseline"/>
              <w:rPr>
                <w:rFonts w:eastAsia="Arial"/>
                <w:color w:val="000000"/>
                <w:sz w:val="20"/>
                <w:szCs w:val="20"/>
              </w:rPr>
            </w:pPr>
            <w:r>
              <w:rPr>
                <w:sz w:val="20"/>
                <w:szCs w:val="18"/>
              </w:rPr>
              <w:t>Regulation 1901/2006</w:t>
            </w:r>
          </w:p>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Directive 2009/35/EC</w:t>
            </w:r>
          </w:p>
          <w:p w:rsidR="0033012C" w:rsidRDefault="0033012C">
            <w:pPr>
              <w:spacing w:after="0" w:line="276" w:lineRule="auto"/>
              <w:ind w:right="13"/>
              <w:jc w:val="left"/>
              <w:textAlignment w:val="baseline"/>
              <w:rPr>
                <w:sz w:val="20"/>
                <w:szCs w:val="18"/>
              </w:rPr>
            </w:pPr>
            <w:r>
              <w:rPr>
                <w:sz w:val="20"/>
                <w:szCs w:val="18"/>
              </w:rPr>
              <w:t>Regulation 1333/2008 (see above)</w:t>
            </w:r>
          </w:p>
        </w:tc>
      </w:tr>
      <w:tr w:rsidR="0033012C" w:rsidRPr="0033012C" w:rsidTr="0033012C">
        <w:trPr>
          <w:cantSplit/>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lastRenderedPageBreak/>
              <w:t>Description of potential impact</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3012C" w:rsidRDefault="0033012C">
            <w:pPr>
              <w:spacing w:before="20" w:after="20" w:line="276" w:lineRule="auto"/>
              <w:rPr>
                <w:rFonts w:eastAsia="Arial"/>
                <w:color w:val="000000"/>
                <w:sz w:val="20"/>
                <w:szCs w:val="20"/>
              </w:rPr>
            </w:pPr>
            <w:r>
              <w:rPr>
                <w:rFonts w:eastAsia="Arial"/>
                <w:b/>
                <w:color w:val="000000"/>
                <w:sz w:val="20"/>
                <w:szCs w:val="20"/>
              </w:rPr>
              <w:t>Directive 2001/83/EC</w:t>
            </w:r>
            <w:r>
              <w:rPr>
                <w:rFonts w:eastAsia="Arial"/>
                <w:color w:val="000000"/>
                <w:sz w:val="20"/>
                <w:szCs w:val="20"/>
              </w:rPr>
              <w:t>: It is a legal requirement according to Directive 2001/83/EC on the Community code relating to medicinal products for human use as amended that excipients which are used must comply with the relevant European Pharmacopoeia (</w:t>
            </w:r>
            <w:proofErr w:type="spellStart"/>
            <w:r>
              <w:rPr>
                <w:rFonts w:eastAsia="Arial"/>
                <w:color w:val="000000"/>
                <w:sz w:val="20"/>
                <w:szCs w:val="20"/>
              </w:rPr>
              <w:t>PhEur</w:t>
            </w:r>
            <w:proofErr w:type="spellEnd"/>
            <w:r>
              <w:rPr>
                <w:rFonts w:eastAsia="Arial"/>
                <w:color w:val="000000"/>
                <w:sz w:val="20"/>
                <w:szCs w:val="20"/>
              </w:rPr>
              <w:t>) monograph.</w:t>
            </w:r>
          </w:p>
          <w:p w:rsidR="0033012C" w:rsidRDefault="0033012C">
            <w:pPr>
              <w:spacing w:before="20" w:after="20" w:line="276" w:lineRule="auto"/>
              <w:rPr>
                <w:rFonts w:eastAsia="Arial"/>
                <w:color w:val="000000"/>
                <w:sz w:val="20"/>
                <w:szCs w:val="20"/>
              </w:rPr>
            </w:pPr>
          </w:p>
          <w:p w:rsidR="0033012C" w:rsidRDefault="0033012C">
            <w:pPr>
              <w:spacing w:before="20" w:after="20" w:line="276" w:lineRule="auto"/>
              <w:rPr>
                <w:rFonts w:eastAsia="Arial"/>
                <w:color w:val="000000"/>
                <w:sz w:val="20"/>
                <w:szCs w:val="20"/>
              </w:rPr>
            </w:pPr>
            <w:r>
              <w:rPr>
                <w:rFonts w:eastAsia="Arial"/>
                <w:b/>
                <w:color w:val="000000"/>
                <w:sz w:val="20"/>
                <w:szCs w:val="20"/>
              </w:rPr>
              <w:t>Regulation 1901/2006</w:t>
            </w:r>
            <w:r>
              <w:rPr>
                <w:rFonts w:eastAsia="Arial"/>
                <w:color w:val="000000"/>
                <w:sz w:val="20"/>
                <w:szCs w:val="20"/>
              </w:rPr>
              <w:t>:  Regulation 1901/2006 on medicinal products for paediatric use includes a Commission Statement with which the Commission requested the Committee for Medicinal Products for Human Use (CHMP) of the European Medicines Agency to draw up an opinion on the use of these categories of substances as excipients of medicinal products for human use, on the basis of Articles 5(3) and 57(1</w:t>
            </w:r>
            <w:proofErr w:type="gramStart"/>
            <w:r>
              <w:rPr>
                <w:rFonts w:eastAsia="Arial"/>
                <w:color w:val="000000"/>
                <w:sz w:val="20"/>
                <w:szCs w:val="20"/>
              </w:rPr>
              <w:t>)(</w:t>
            </w:r>
            <w:proofErr w:type="gramEnd"/>
            <w:r>
              <w:rPr>
                <w:rFonts w:eastAsia="Arial"/>
                <w:color w:val="000000"/>
                <w:sz w:val="20"/>
                <w:szCs w:val="20"/>
              </w:rPr>
              <w:t>p) of Regulation (EC) No 726/2004.</w:t>
            </w:r>
          </w:p>
          <w:p w:rsidR="0033012C" w:rsidRDefault="0033012C">
            <w:pPr>
              <w:spacing w:before="20" w:after="20" w:line="276" w:lineRule="auto"/>
              <w:rPr>
                <w:sz w:val="20"/>
                <w:szCs w:val="18"/>
              </w:rPr>
            </w:pPr>
            <w:r>
              <w:rPr>
                <w:rFonts w:eastAsia="Arial"/>
                <w:color w:val="000000"/>
                <w:sz w:val="20"/>
                <w:szCs w:val="20"/>
              </w:rPr>
              <w:t>The CHMP delivered its opinion in October 2007; this states, “</w:t>
            </w:r>
            <w:r>
              <w:rPr>
                <w:rFonts w:eastAsia="Arial"/>
                <w:i/>
                <w:color w:val="000000"/>
                <w:sz w:val="20"/>
                <w:szCs w:val="20"/>
              </w:rPr>
              <w:t>In the event that CMR toxicity has been identified for an excipient, the rule is to avoid and replace this excipient. In the rare cases where this would not be possible, the use of such CMR excipients in a medicinal product would only be considered after careful evaluation of the benefits of the medicinal product in the target patient population versus the potential risks (…) any risk identified for an excipient and in particular a CMR substance, would be acceptable only on condition that this excipient cannot be substituted with a safer available alternative, or that the toxicological effects in animal models are considered not relevant for humans (e.g. species specific, very large safety ratio), or where the overall benefit/risk balance for the product outweighs the safety concern with the product.  Overall, the use of any excipient with a known potential toxicity, and which could not be avoided or replaced, would only be authorised if the safety profile was considered to be clinically acceptable in the conditions of use, taking into account the duration of treatment, the sensitivity of the target population and the benefit-risk ratio for the particular therapeutic indication</w:t>
            </w:r>
            <w:r>
              <w:rPr>
                <w:rFonts w:eastAsia="Arial"/>
                <w:color w:val="000000"/>
                <w:sz w:val="20"/>
                <w:szCs w:val="20"/>
              </w:rPr>
              <w:t xml:space="preserve">” </w:t>
            </w:r>
            <w:sdt>
              <w:sdtPr>
                <w:rPr>
                  <w:rFonts w:eastAsia="Arial"/>
                  <w:color w:val="000000"/>
                  <w:sz w:val="20"/>
                  <w:szCs w:val="20"/>
                </w:rPr>
                <w:id w:val="-495344478"/>
                <w:citation/>
              </w:sdtPr>
              <w:sdtContent>
                <w:r>
                  <w:rPr>
                    <w:rFonts w:eastAsia="Arial"/>
                    <w:color w:val="000000"/>
                    <w:sz w:val="20"/>
                    <w:szCs w:val="20"/>
                  </w:rPr>
                  <w:fldChar w:fldCharType="begin"/>
                </w:r>
                <w:r>
                  <w:rPr>
                    <w:rFonts w:eastAsia="Arial"/>
                    <w:color w:val="000000"/>
                    <w:sz w:val="20"/>
                    <w:szCs w:val="20"/>
                  </w:rPr>
                  <w:instrText xml:space="preserve"> CITATION Eur072 \l 2057 </w:instrText>
                </w:r>
                <w:r>
                  <w:rPr>
                    <w:rFonts w:eastAsia="Arial"/>
                    <w:color w:val="000000"/>
                    <w:sz w:val="20"/>
                    <w:szCs w:val="20"/>
                  </w:rPr>
                  <w:fldChar w:fldCharType="separate"/>
                </w:r>
                <w:r>
                  <w:rPr>
                    <w:rFonts w:eastAsia="Arial"/>
                    <w:noProof/>
                    <w:color w:val="000000"/>
                    <w:sz w:val="20"/>
                    <w:szCs w:val="20"/>
                  </w:rPr>
                  <w:t>(European Medicines Agency, 2007)</w:t>
                </w:r>
                <w:r>
                  <w:rPr>
                    <w:rFonts w:eastAsia="Arial"/>
                    <w:color w:val="000000"/>
                    <w:sz w:val="20"/>
                    <w:szCs w:val="20"/>
                  </w:rPr>
                  <w:fldChar w:fldCharType="end"/>
                </w:r>
              </w:sdtContent>
            </w:sdt>
            <w:r>
              <w:rPr>
                <w:rStyle w:val="Funotenzeichen"/>
                <w:rFonts w:eastAsia="Arial"/>
                <w:color w:val="000000"/>
                <w:sz w:val="20"/>
                <w:szCs w:val="20"/>
              </w:rPr>
              <w:footnoteReference w:id="10"/>
            </w:r>
            <w:r>
              <w:rPr>
                <w:rFonts w:eastAsia="Arial"/>
                <w:color w:val="000000"/>
                <w:sz w:val="20"/>
                <w:szCs w:val="20"/>
              </w:rPr>
              <w:t>.</w:t>
            </w:r>
          </w:p>
          <w:p w:rsidR="0033012C" w:rsidRDefault="0033012C">
            <w:pPr>
              <w:spacing w:before="20" w:after="20" w:line="276" w:lineRule="auto"/>
              <w:rPr>
                <w:sz w:val="20"/>
                <w:szCs w:val="18"/>
              </w:rPr>
            </w:pPr>
            <w:r>
              <w:rPr>
                <w:b/>
                <w:sz w:val="20"/>
                <w:szCs w:val="18"/>
              </w:rPr>
              <w:t>Directive 2009/35/EC</w:t>
            </w:r>
            <w:r>
              <w:rPr>
                <w:sz w:val="20"/>
                <w:szCs w:val="18"/>
              </w:rPr>
              <w:t xml:space="preserve">:  Directive 2009/35/EC gives specifications on colouring matters for medicinal products. Only the colouring matters listed in Annex II to Regulation 1333/2008 may be used to colour medicinal products for human and veterinary use.  A </w:t>
            </w:r>
            <w:proofErr w:type="spellStart"/>
            <w:r>
              <w:rPr>
                <w:sz w:val="20"/>
                <w:szCs w:val="18"/>
              </w:rPr>
              <w:t>Carc</w:t>
            </w:r>
            <w:proofErr w:type="spellEnd"/>
            <w:r>
              <w:rPr>
                <w:sz w:val="20"/>
                <w:szCs w:val="18"/>
              </w:rPr>
              <w:t>. Cat 1B classification would result in the review and potential de-authorisation of TiO</w:t>
            </w:r>
            <w:r>
              <w:rPr>
                <w:sz w:val="20"/>
                <w:szCs w:val="18"/>
                <w:vertAlign w:val="subscript"/>
              </w:rPr>
              <w:t>2</w:t>
            </w:r>
            <w:r>
              <w:rPr>
                <w:rFonts w:eastAsia="Arial"/>
                <w:color w:val="000000"/>
                <w:sz w:val="20"/>
                <w:szCs w:val="20"/>
              </w:rPr>
              <w:t xml:space="preserve"> </w:t>
            </w:r>
          </w:p>
        </w:tc>
      </w:tr>
      <w:tr w:rsidR="0033012C" w:rsidTr="0033012C">
        <w:trPr>
          <w:cantSplit/>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Applicability (multiple sectors vs. single sector)</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Single</w:t>
            </w:r>
          </w:p>
        </w:tc>
      </w:tr>
      <w:tr w:rsidR="0033012C" w:rsidTr="0033012C">
        <w:trPr>
          <w:cantSplit/>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lastRenderedPageBreak/>
              <w:t xml:space="preserve">Potential adverse impact on:  </w:t>
            </w:r>
          </w:p>
          <w:p w:rsidR="0033012C" w:rsidRDefault="0033012C" w:rsidP="0033012C">
            <w:pPr>
              <w:pStyle w:val="Listenabsatz"/>
              <w:numPr>
                <w:ilvl w:val="0"/>
                <w:numId w:val="4"/>
              </w:numPr>
              <w:spacing w:after="0" w:line="276" w:lineRule="auto"/>
              <w:ind w:left="284" w:hanging="284"/>
              <w:jc w:val="left"/>
              <w:textAlignment w:val="baseline"/>
              <w:rPr>
                <w:rFonts w:eastAsia="Arial"/>
                <w:color w:val="000000"/>
                <w:sz w:val="20"/>
                <w:szCs w:val="20"/>
              </w:rPr>
            </w:pPr>
            <w:r>
              <w:rPr>
                <w:rFonts w:eastAsia="Arial"/>
                <w:color w:val="000000"/>
                <w:sz w:val="20"/>
                <w:szCs w:val="20"/>
              </w:rPr>
              <w:t>Industry (I)</w:t>
            </w:r>
          </w:p>
          <w:p w:rsidR="0033012C" w:rsidRDefault="0033012C" w:rsidP="0033012C">
            <w:pPr>
              <w:pStyle w:val="Listenabsatz"/>
              <w:numPr>
                <w:ilvl w:val="0"/>
                <w:numId w:val="4"/>
              </w:numPr>
              <w:spacing w:after="0" w:line="276" w:lineRule="auto"/>
              <w:ind w:left="284" w:hanging="284"/>
              <w:jc w:val="left"/>
              <w:textAlignment w:val="baseline"/>
              <w:rPr>
                <w:rFonts w:eastAsia="Arial"/>
                <w:color w:val="000000"/>
                <w:sz w:val="20"/>
                <w:szCs w:val="20"/>
              </w:rPr>
            </w:pPr>
            <w:r>
              <w:rPr>
                <w:rFonts w:eastAsia="Arial"/>
                <w:color w:val="000000"/>
                <w:sz w:val="20"/>
                <w:szCs w:val="20"/>
              </w:rPr>
              <w:t>Professionals (P)</w:t>
            </w:r>
          </w:p>
          <w:p w:rsidR="0033012C" w:rsidRDefault="0033012C" w:rsidP="0033012C">
            <w:pPr>
              <w:pStyle w:val="Listenabsatz"/>
              <w:numPr>
                <w:ilvl w:val="0"/>
                <w:numId w:val="4"/>
              </w:numPr>
              <w:spacing w:after="0" w:line="276" w:lineRule="auto"/>
              <w:ind w:left="284" w:hanging="284"/>
              <w:jc w:val="left"/>
              <w:textAlignment w:val="baseline"/>
              <w:rPr>
                <w:rFonts w:eastAsia="Arial"/>
                <w:color w:val="000000"/>
                <w:sz w:val="20"/>
                <w:szCs w:val="20"/>
              </w:rPr>
            </w:pPr>
            <w:r>
              <w:rPr>
                <w:rFonts w:eastAsia="Arial"/>
                <w:color w:val="000000"/>
                <w:sz w:val="20"/>
                <w:szCs w:val="20"/>
              </w:rPr>
              <w:t>Consumers (C)</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I/C</w:t>
            </w:r>
          </w:p>
        </w:tc>
      </w:tr>
      <w:tr w:rsidR="0033012C" w:rsidTr="0033012C">
        <w:trPr>
          <w:cantSplit/>
          <w:trHeight w:val="255"/>
        </w:trPr>
        <w:tc>
          <w:tcPr>
            <w:tcW w:w="144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jc w:val="left"/>
              <w:textAlignment w:val="baseline"/>
              <w:rPr>
                <w:rFonts w:eastAsia="Arial"/>
                <w:color w:val="000000"/>
                <w:sz w:val="20"/>
                <w:szCs w:val="20"/>
              </w:rPr>
            </w:pPr>
            <w:r>
              <w:rPr>
                <w:rFonts w:eastAsia="Arial"/>
                <w:color w:val="000000"/>
                <w:sz w:val="20"/>
                <w:szCs w:val="20"/>
              </w:rPr>
              <w:t>Driver of impact on society</w:t>
            </w:r>
          </w:p>
        </w:tc>
        <w:tc>
          <w:tcPr>
            <w:tcW w:w="14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Times New Roman" w:cs="Times New Roman"/>
                <w:color w:val="000000"/>
                <w:sz w:val="20"/>
                <w:szCs w:val="20"/>
                <w:lang w:eastAsia="en-GB"/>
              </w:rPr>
            </w:pPr>
            <w:r>
              <w:rPr>
                <w:rFonts w:eastAsia="Times New Roman" w:cs="Times New Roman"/>
                <w:color w:val="000000"/>
                <w:sz w:val="20"/>
                <w:szCs w:val="20"/>
                <w:lang w:eastAsia="en-GB"/>
              </w:rPr>
              <w:t>Hazard</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3012C" w:rsidRDefault="0033012C">
            <w:pPr>
              <w:spacing w:after="0" w:line="276" w:lineRule="auto"/>
              <w:ind w:right="13"/>
              <w:jc w:val="left"/>
              <w:textAlignment w:val="baseline"/>
              <w:rPr>
                <w:rFonts w:eastAsia="Arial"/>
                <w:color w:val="000000"/>
                <w:sz w:val="20"/>
                <w:szCs w:val="20"/>
              </w:rPr>
            </w:pPr>
          </w:p>
        </w:tc>
      </w:tr>
      <w:tr w:rsidR="0033012C" w:rsidTr="0033012C">
        <w:trPr>
          <w:cantSplit/>
          <w:trHeight w:val="255"/>
        </w:trPr>
        <w:tc>
          <w:tcPr>
            <w:tcW w:w="9100" w:type="dxa"/>
            <w:vMerge/>
            <w:tcBorders>
              <w:top w:val="single" w:sz="4" w:space="0" w:color="000000"/>
              <w:left w:val="single" w:sz="4" w:space="0" w:color="000000"/>
              <w:bottom w:val="single" w:sz="4" w:space="0" w:color="000000"/>
              <w:right w:val="single" w:sz="4" w:space="0" w:color="000000"/>
            </w:tcBorders>
            <w:vAlign w:val="center"/>
            <w:hideMark/>
          </w:tcPr>
          <w:p w:rsidR="0033012C" w:rsidRDefault="0033012C">
            <w:pPr>
              <w:spacing w:after="0" w:line="276" w:lineRule="auto"/>
              <w:jc w:val="left"/>
              <w:rPr>
                <w:rFonts w:eastAsia="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Times New Roman" w:cs="Times New Roman"/>
                <w:color w:val="000000"/>
                <w:sz w:val="20"/>
                <w:szCs w:val="20"/>
                <w:lang w:eastAsia="en-GB"/>
              </w:rPr>
            </w:pPr>
            <w:r>
              <w:rPr>
                <w:rFonts w:eastAsia="Times New Roman" w:cs="Times New Roman"/>
                <w:color w:val="000000"/>
                <w:sz w:val="20"/>
                <w:szCs w:val="20"/>
                <w:lang w:eastAsia="en-GB"/>
              </w:rPr>
              <w:t>Risk (incl. availability of alternatives)</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color w:val="000000"/>
                <w:sz w:val="20"/>
                <w:szCs w:val="20"/>
              </w:rPr>
            </w:pPr>
            <w:r>
              <w:rPr>
                <w:sz w:val="20"/>
                <w:szCs w:val="18"/>
              </w:rPr>
              <w:sym w:font="Wingdings" w:char="F0FC"/>
            </w:r>
          </w:p>
        </w:tc>
      </w:tr>
      <w:tr w:rsidR="0033012C" w:rsidRPr="0033012C" w:rsidTr="0033012C">
        <w:trPr>
          <w:cantSplit/>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Times New Roman" w:cs="Times New Roman"/>
                <w:color w:val="000000"/>
                <w:sz w:val="20"/>
                <w:szCs w:val="20"/>
                <w:lang w:eastAsia="en-GB"/>
              </w:rPr>
            </w:pPr>
            <w:r>
              <w:rPr>
                <w:rFonts w:eastAsia="Arial"/>
                <w:color w:val="000000"/>
                <w:sz w:val="20"/>
                <w:szCs w:val="20"/>
              </w:rPr>
              <w:t>Immediacy of potential impact</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textAlignment w:val="baseline"/>
              <w:rPr>
                <w:sz w:val="20"/>
                <w:szCs w:val="18"/>
              </w:rPr>
            </w:pPr>
            <w:r>
              <w:rPr>
                <w:sz w:val="20"/>
                <w:szCs w:val="18"/>
              </w:rPr>
              <w:t xml:space="preserve">Depends on the type of variation required for the existing Authorisation dossiers </w:t>
            </w:r>
            <w:sdt>
              <w:sdtPr>
                <w:rPr>
                  <w:sz w:val="20"/>
                  <w:szCs w:val="18"/>
                </w:rPr>
                <w:id w:val="-1332294992"/>
                <w:citation/>
              </w:sdtPr>
              <w:sdtContent>
                <w:r>
                  <w:rPr>
                    <w:sz w:val="20"/>
                    <w:szCs w:val="18"/>
                  </w:rPr>
                  <w:fldChar w:fldCharType="begin"/>
                </w:r>
                <w:r>
                  <w:rPr>
                    <w:sz w:val="20"/>
                    <w:szCs w:val="18"/>
                  </w:rPr>
                  <w:instrText xml:space="preserve"> CITATION Eur13 \l 2057 </w:instrText>
                </w:r>
                <w:r>
                  <w:rPr>
                    <w:sz w:val="20"/>
                    <w:szCs w:val="18"/>
                  </w:rPr>
                  <w:fldChar w:fldCharType="separate"/>
                </w:r>
                <w:r>
                  <w:rPr>
                    <w:noProof/>
                    <w:sz w:val="20"/>
                    <w:szCs w:val="18"/>
                  </w:rPr>
                  <w:t>(European Commission, 2013)</w:t>
                </w:r>
                <w:r>
                  <w:rPr>
                    <w:sz w:val="20"/>
                    <w:szCs w:val="18"/>
                  </w:rPr>
                  <w:fldChar w:fldCharType="end"/>
                </w:r>
              </w:sdtContent>
            </w:sdt>
            <w:r>
              <w:rPr>
                <w:sz w:val="20"/>
                <w:szCs w:val="18"/>
              </w:rPr>
              <w:t>:</w:t>
            </w:r>
          </w:p>
          <w:p w:rsidR="0033012C" w:rsidRDefault="0033012C" w:rsidP="0033012C">
            <w:pPr>
              <w:pStyle w:val="Listenabsatz"/>
              <w:numPr>
                <w:ilvl w:val="0"/>
                <w:numId w:val="5"/>
              </w:numPr>
              <w:spacing w:before="20" w:after="20" w:line="276" w:lineRule="auto"/>
              <w:ind w:left="421" w:hanging="284"/>
              <w:rPr>
                <w:sz w:val="20"/>
                <w:szCs w:val="20"/>
              </w:rPr>
            </w:pPr>
            <w:r>
              <w:rPr>
                <w:sz w:val="20"/>
                <w:szCs w:val="20"/>
              </w:rPr>
              <w:t>A replacement of the excipient would require a variation Type IAIN which requires immediate notification;</w:t>
            </w:r>
          </w:p>
          <w:p w:rsidR="0033012C" w:rsidRDefault="0033012C" w:rsidP="0033012C">
            <w:pPr>
              <w:pStyle w:val="Listenabsatz"/>
              <w:numPr>
                <w:ilvl w:val="0"/>
                <w:numId w:val="5"/>
              </w:numPr>
              <w:spacing w:before="20" w:after="20" w:line="276" w:lineRule="auto"/>
              <w:ind w:left="421" w:hanging="284"/>
              <w:rPr>
                <w:sz w:val="20"/>
                <w:szCs w:val="20"/>
              </w:rPr>
            </w:pPr>
            <w:r>
              <w:rPr>
                <w:sz w:val="20"/>
                <w:szCs w:val="20"/>
              </w:rPr>
              <w:t>Qualitative or quantitative changes in one or more excipients that may have a significant impact on the safety, quality or efficacy of the medicinal product requires a major variation Type II; or</w:t>
            </w:r>
          </w:p>
          <w:p w:rsidR="0033012C" w:rsidRDefault="0033012C" w:rsidP="0033012C">
            <w:pPr>
              <w:pStyle w:val="Listenabsatz"/>
              <w:numPr>
                <w:ilvl w:val="0"/>
                <w:numId w:val="5"/>
              </w:numPr>
              <w:spacing w:before="20" w:after="20" w:line="276" w:lineRule="auto"/>
              <w:ind w:left="421" w:hanging="284"/>
              <w:rPr>
                <w:sz w:val="20"/>
                <w:szCs w:val="20"/>
              </w:rPr>
            </w:pPr>
            <w:r>
              <w:rPr>
                <w:sz w:val="20"/>
                <w:szCs w:val="20"/>
              </w:rPr>
              <w:t>A reduction of the shelf life of the finished product as packaged for sale would require a variation Type IAIN which requires immediate notification.</w:t>
            </w:r>
          </w:p>
          <w:p w:rsidR="0033012C" w:rsidRDefault="0033012C">
            <w:pPr>
              <w:spacing w:after="0" w:line="276" w:lineRule="auto"/>
              <w:ind w:right="13"/>
              <w:textAlignment w:val="baseline"/>
              <w:rPr>
                <w:rFonts w:eastAsia="Arial"/>
                <w:color w:val="000000"/>
                <w:sz w:val="20"/>
                <w:szCs w:val="20"/>
              </w:rPr>
            </w:pPr>
            <w:r>
              <w:rPr>
                <w:sz w:val="20"/>
                <w:szCs w:val="18"/>
              </w:rPr>
              <w:t>It would also be dependent on food additives legislation.  Timing would depend on the completion of the review of the new scientific data for a removal of TiO</w:t>
            </w:r>
            <w:r>
              <w:rPr>
                <w:sz w:val="20"/>
                <w:szCs w:val="18"/>
                <w:vertAlign w:val="subscript"/>
              </w:rPr>
              <w:t>2</w:t>
            </w:r>
            <w:r>
              <w:rPr>
                <w:sz w:val="20"/>
                <w:szCs w:val="18"/>
              </w:rPr>
              <w:t xml:space="preserve"> from the Annex of Regulation 1333/2008</w:t>
            </w:r>
          </w:p>
        </w:tc>
      </w:tr>
      <w:tr w:rsidR="0033012C" w:rsidRPr="0033012C" w:rsidTr="0033012C">
        <w:trPr>
          <w:cantSplit/>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Times New Roman" w:cs="Times New Roman"/>
                <w:color w:val="000000"/>
                <w:sz w:val="20"/>
                <w:szCs w:val="20"/>
                <w:lang w:eastAsia="en-GB"/>
              </w:rPr>
            </w:pPr>
            <w:r>
              <w:rPr>
                <w:rFonts w:eastAsia="Arial"/>
                <w:color w:val="000000"/>
                <w:sz w:val="20"/>
                <w:szCs w:val="20"/>
              </w:rPr>
              <w:t>Realistic potential for a restriction on the use of TiO</w:t>
            </w:r>
            <w:r>
              <w:rPr>
                <w:rFonts w:eastAsia="Arial"/>
                <w:color w:val="000000"/>
                <w:sz w:val="20"/>
                <w:szCs w:val="20"/>
                <w:vertAlign w:val="subscript"/>
              </w:rPr>
              <w:t>2</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textAlignment w:val="baseline"/>
              <w:rPr>
                <w:rFonts w:eastAsia="Arial"/>
                <w:color w:val="000000"/>
                <w:sz w:val="20"/>
                <w:szCs w:val="20"/>
              </w:rPr>
            </w:pPr>
            <w:r>
              <w:rPr>
                <w:rFonts w:eastAsia="Arial"/>
                <w:color w:val="000000"/>
                <w:sz w:val="20"/>
                <w:szCs w:val="20"/>
              </w:rPr>
              <w:t>Possible but might be unlikely – only calcium carbonate (chalk, E170) is an approved white colourant and it cannot meet the performance of TiO</w:t>
            </w:r>
            <w:r>
              <w:rPr>
                <w:rFonts w:eastAsia="Arial"/>
                <w:color w:val="000000"/>
                <w:sz w:val="20"/>
                <w:szCs w:val="20"/>
                <w:vertAlign w:val="subscript"/>
              </w:rPr>
              <w:t>2</w:t>
            </w:r>
            <w:r>
              <w:rPr>
                <w:rFonts w:eastAsia="Arial"/>
                <w:color w:val="000000"/>
                <w:sz w:val="20"/>
                <w:szCs w:val="20"/>
              </w:rPr>
              <w:t>.  Also, inhalation exposure risks are clearly limited (while calcium from CaCO</w:t>
            </w:r>
            <w:r>
              <w:rPr>
                <w:rFonts w:eastAsia="Arial"/>
                <w:color w:val="000000"/>
                <w:sz w:val="20"/>
                <w:szCs w:val="20"/>
                <w:vertAlign w:val="subscript"/>
              </w:rPr>
              <w:t>3</w:t>
            </w:r>
            <w:r>
              <w:rPr>
                <w:rFonts w:eastAsia="Arial"/>
                <w:color w:val="000000"/>
                <w:sz w:val="20"/>
                <w:szCs w:val="20"/>
              </w:rPr>
              <w:t xml:space="preserve"> would be absorbed by ingestion).</w:t>
            </w:r>
          </w:p>
        </w:tc>
      </w:tr>
    </w:tbl>
    <w:p w:rsidR="0033012C" w:rsidRDefault="0033012C" w:rsidP="0033012C"/>
    <w:p w:rsidR="0033012C" w:rsidRDefault="0033012C" w:rsidP="0033012C">
      <w:pPr>
        <w:spacing w:after="200" w:line="276" w:lineRule="auto"/>
        <w:jc w:val="left"/>
      </w:pPr>
      <w:r>
        <w:br w:type="page"/>
      </w:r>
    </w:p>
    <w:p w:rsidR="0033012C" w:rsidRDefault="0033012C" w:rsidP="0033012C">
      <w:pPr>
        <w:pStyle w:val="berschrift3"/>
        <w:rPr>
          <w:b/>
          <w:bCs/>
        </w:rPr>
      </w:pPr>
      <w:bookmarkStart w:id="28" w:name="_Toc470188711"/>
      <w:r>
        <w:rPr>
          <w:b/>
          <w:bCs/>
        </w:rPr>
        <w:lastRenderedPageBreak/>
        <w:t>Medical devices</w:t>
      </w:r>
      <w:bookmarkEnd w:id="28"/>
    </w:p>
    <w:tbl>
      <w:tblPr>
        <w:tblW w:w="9105"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7"/>
        <w:gridCol w:w="1418"/>
        <w:gridCol w:w="6240"/>
      </w:tblGrid>
      <w:tr w:rsidR="0033012C" w:rsidRPr="0033012C" w:rsidTr="0033012C">
        <w:trPr>
          <w:trHeight w:val="255"/>
        </w:trPr>
        <w:tc>
          <w:tcPr>
            <w:tcW w:w="9100" w:type="dxa"/>
            <w:gridSpan w:val="3"/>
            <w:tcBorders>
              <w:top w:val="single" w:sz="4" w:space="0" w:color="000000"/>
              <w:left w:val="single" w:sz="4" w:space="0" w:color="000000"/>
              <w:bottom w:val="single" w:sz="4" w:space="0" w:color="000000"/>
              <w:right w:val="single" w:sz="4" w:space="0" w:color="000000"/>
            </w:tcBorders>
            <w:shd w:val="clear" w:color="auto" w:fill="569BBE"/>
            <w:tcMar>
              <w:top w:w="28" w:type="dxa"/>
              <w:left w:w="28" w:type="dxa"/>
              <w:bottom w:w="28" w:type="dxa"/>
              <w:right w:w="28" w:type="dxa"/>
            </w:tcMar>
            <w:vAlign w:val="center"/>
            <w:hideMark/>
          </w:tcPr>
          <w:p w:rsidR="0033012C" w:rsidRDefault="0033012C">
            <w:pPr>
              <w:spacing w:after="0" w:line="276" w:lineRule="auto"/>
              <w:ind w:right="11"/>
              <w:jc w:val="left"/>
              <w:textAlignment w:val="baseline"/>
              <w:rPr>
                <w:rFonts w:eastAsia="Arial"/>
                <w:b/>
                <w:color w:val="FFFFFF" w:themeColor="background1"/>
                <w:sz w:val="20"/>
                <w:szCs w:val="20"/>
              </w:rPr>
            </w:pPr>
            <w:r>
              <w:rPr>
                <w:b/>
                <w:color w:val="FFFFFF" w:themeColor="background1"/>
                <w:sz w:val="20"/>
                <w:szCs w:val="20"/>
              </w:rPr>
              <w:t xml:space="preserve">Table </w:t>
            </w:r>
            <w:r>
              <w:rPr>
                <w:b/>
                <w:color w:val="FFFFFF" w:themeColor="background1"/>
                <w:sz w:val="20"/>
                <w:szCs w:val="20"/>
              </w:rPr>
              <w:fldChar w:fldCharType="begin"/>
            </w:r>
            <w:r>
              <w:rPr>
                <w:b/>
                <w:color w:val="FFFFFF" w:themeColor="background1"/>
                <w:sz w:val="20"/>
                <w:szCs w:val="20"/>
              </w:rPr>
              <w:instrText xml:space="preserve"> STYLEREF 1 \s </w:instrText>
            </w:r>
            <w:r>
              <w:rPr>
                <w:b/>
                <w:color w:val="FFFFFF" w:themeColor="background1"/>
                <w:sz w:val="20"/>
                <w:szCs w:val="20"/>
              </w:rPr>
              <w:fldChar w:fldCharType="separate"/>
            </w:r>
            <w:r>
              <w:rPr>
                <w:b/>
                <w:noProof/>
                <w:color w:val="FFFFFF" w:themeColor="background1"/>
                <w:sz w:val="20"/>
                <w:szCs w:val="20"/>
              </w:rPr>
              <w:t>8</w:t>
            </w:r>
            <w:r>
              <w:rPr>
                <w:b/>
                <w:color w:val="FFFFFF" w:themeColor="background1"/>
                <w:sz w:val="20"/>
                <w:szCs w:val="20"/>
              </w:rPr>
              <w:fldChar w:fldCharType="end"/>
            </w:r>
            <w:r>
              <w:rPr>
                <w:b/>
                <w:color w:val="FFFFFF" w:themeColor="background1"/>
                <w:sz w:val="20"/>
                <w:szCs w:val="20"/>
              </w:rPr>
              <w:t>–</w:t>
            </w:r>
            <w:r>
              <w:rPr>
                <w:b/>
                <w:color w:val="FFFFFF" w:themeColor="background1"/>
                <w:sz w:val="20"/>
                <w:szCs w:val="20"/>
              </w:rPr>
              <w:fldChar w:fldCharType="begin"/>
            </w:r>
            <w:r>
              <w:rPr>
                <w:b/>
                <w:color w:val="FFFFFF" w:themeColor="background1"/>
                <w:sz w:val="20"/>
                <w:szCs w:val="20"/>
              </w:rPr>
              <w:instrText xml:space="preserve"> SEQ Table \* ARABIC \s 1 </w:instrText>
            </w:r>
            <w:r>
              <w:rPr>
                <w:b/>
                <w:color w:val="FFFFFF" w:themeColor="background1"/>
                <w:sz w:val="20"/>
                <w:szCs w:val="20"/>
              </w:rPr>
              <w:fldChar w:fldCharType="separate"/>
            </w:r>
            <w:r>
              <w:rPr>
                <w:b/>
                <w:noProof/>
                <w:color w:val="FFFFFF" w:themeColor="background1"/>
                <w:sz w:val="20"/>
                <w:szCs w:val="20"/>
              </w:rPr>
              <w:t>14</w:t>
            </w:r>
            <w:r>
              <w:rPr>
                <w:b/>
                <w:color w:val="FFFFFF" w:themeColor="background1"/>
                <w:sz w:val="20"/>
                <w:szCs w:val="20"/>
              </w:rPr>
              <w:fldChar w:fldCharType="end"/>
            </w:r>
            <w:r>
              <w:rPr>
                <w:b/>
                <w:color w:val="FFFFFF" w:themeColor="background1"/>
                <w:sz w:val="20"/>
                <w:szCs w:val="20"/>
              </w:rPr>
              <w:t xml:space="preserve">:  </w:t>
            </w:r>
            <w:r>
              <w:rPr>
                <w:b/>
                <w:color w:val="FFFFFF" w:themeColor="background1"/>
                <w:sz w:val="20"/>
                <w:szCs w:val="18"/>
              </w:rPr>
              <w:t>Key parameters of relevant legislation – Medical Devices</w:t>
            </w:r>
          </w:p>
        </w:tc>
      </w:tr>
      <w:tr w:rsidR="0033012C" w:rsidTr="0033012C">
        <w:trPr>
          <w:trHeight w:val="255"/>
        </w:trPr>
        <w:tc>
          <w:tcPr>
            <w:tcW w:w="2863" w:type="dxa"/>
            <w:gridSpan w:val="2"/>
            <w:tcBorders>
              <w:top w:val="single" w:sz="4" w:space="0" w:color="000000"/>
              <w:left w:val="single" w:sz="4" w:space="0" w:color="000000"/>
              <w:bottom w:val="single" w:sz="4" w:space="0" w:color="000000"/>
              <w:right w:val="single" w:sz="4" w:space="0" w:color="000000"/>
            </w:tcBorders>
            <w:shd w:val="clear" w:color="auto" w:fill="569BBE"/>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b/>
                <w:color w:val="FFFFFF" w:themeColor="background1"/>
                <w:sz w:val="20"/>
                <w:szCs w:val="20"/>
              </w:rPr>
            </w:pPr>
            <w:r>
              <w:rPr>
                <w:rFonts w:eastAsia="Arial"/>
                <w:b/>
                <w:color w:val="FFFFFF" w:themeColor="background1"/>
                <w:sz w:val="20"/>
                <w:szCs w:val="20"/>
              </w:rPr>
              <w:t>Key parameters</w:t>
            </w:r>
          </w:p>
        </w:tc>
        <w:tc>
          <w:tcPr>
            <w:tcW w:w="6237" w:type="dxa"/>
            <w:tcBorders>
              <w:top w:val="single" w:sz="4" w:space="0" w:color="000000"/>
              <w:left w:val="single" w:sz="4" w:space="0" w:color="000000"/>
              <w:bottom w:val="single" w:sz="4" w:space="0" w:color="000000"/>
              <w:right w:val="single" w:sz="4" w:space="0" w:color="000000"/>
            </w:tcBorders>
            <w:shd w:val="clear" w:color="auto" w:fill="569BBE"/>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b/>
                <w:color w:val="FFFFFF" w:themeColor="background1"/>
                <w:sz w:val="20"/>
                <w:szCs w:val="20"/>
              </w:rPr>
            </w:pPr>
            <w:r>
              <w:rPr>
                <w:rFonts w:eastAsia="Arial"/>
                <w:b/>
                <w:color w:val="FFFFFF" w:themeColor="background1"/>
                <w:sz w:val="20"/>
                <w:szCs w:val="20"/>
              </w:rPr>
              <w:t>Details</w:t>
            </w:r>
          </w:p>
        </w:tc>
      </w:tr>
      <w:tr w:rsidR="0033012C" w:rsidRPr="0033012C" w:rsidTr="0033012C">
        <w:trPr>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Relevant legislative instruments</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Directive 93/42/EEC (amendment agreed in June 2016)</w:t>
            </w:r>
          </w:p>
        </w:tc>
      </w:tr>
      <w:tr w:rsidR="0033012C" w:rsidRPr="0033012C" w:rsidTr="0033012C">
        <w:trPr>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Description of potential impact</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before="20" w:after="20" w:line="276" w:lineRule="auto"/>
              <w:rPr>
                <w:sz w:val="20"/>
                <w:szCs w:val="20"/>
              </w:rPr>
            </w:pPr>
            <w:r>
              <w:rPr>
                <w:sz w:val="20"/>
                <w:szCs w:val="20"/>
              </w:rPr>
              <w:t>The endorsed text for the new medical devices Regulation includes a 0.1% concentration limit for category 1A and 1B CMRs and endocrine disrupting chemicals (EDCs) in devices that:</w:t>
            </w:r>
          </w:p>
          <w:p w:rsidR="0033012C" w:rsidRDefault="0033012C" w:rsidP="0033012C">
            <w:pPr>
              <w:pStyle w:val="Listenabsatz"/>
              <w:numPr>
                <w:ilvl w:val="0"/>
                <w:numId w:val="5"/>
              </w:numPr>
              <w:spacing w:before="20" w:after="20" w:line="276" w:lineRule="auto"/>
              <w:ind w:left="421" w:hanging="284"/>
              <w:rPr>
                <w:sz w:val="20"/>
                <w:szCs w:val="20"/>
              </w:rPr>
            </w:pPr>
            <w:r>
              <w:rPr>
                <w:sz w:val="20"/>
                <w:szCs w:val="20"/>
              </w:rPr>
              <w:t>Are invasive and come into direct contact with the body; or</w:t>
            </w:r>
          </w:p>
          <w:p w:rsidR="0033012C" w:rsidRDefault="0033012C" w:rsidP="0033012C">
            <w:pPr>
              <w:pStyle w:val="Listenabsatz"/>
              <w:numPr>
                <w:ilvl w:val="0"/>
                <w:numId w:val="5"/>
              </w:numPr>
              <w:spacing w:before="20" w:after="20" w:line="276" w:lineRule="auto"/>
              <w:ind w:left="421" w:hanging="284"/>
              <w:rPr>
                <w:sz w:val="20"/>
                <w:szCs w:val="20"/>
              </w:rPr>
            </w:pPr>
            <w:r>
              <w:rPr>
                <w:sz w:val="20"/>
                <w:szCs w:val="20"/>
              </w:rPr>
              <w:t>(Re</w:t>
            </w:r>
            <w:proofErr w:type="gramStart"/>
            <w:r>
              <w:rPr>
                <w:sz w:val="20"/>
                <w:szCs w:val="20"/>
              </w:rPr>
              <w:t>)administer</w:t>
            </w:r>
            <w:proofErr w:type="gramEnd"/>
            <w:r>
              <w:rPr>
                <w:sz w:val="20"/>
                <w:szCs w:val="20"/>
              </w:rPr>
              <w:t>, transport or store medicines, body liquids or other substances, including gases, to/from the body.</w:t>
            </w:r>
          </w:p>
          <w:p w:rsidR="0033012C" w:rsidRDefault="0033012C">
            <w:pPr>
              <w:spacing w:before="20" w:after="20" w:line="276" w:lineRule="auto"/>
              <w:rPr>
                <w:sz w:val="20"/>
                <w:szCs w:val="20"/>
              </w:rPr>
            </w:pPr>
            <w:r>
              <w:rPr>
                <w:sz w:val="20"/>
                <w:szCs w:val="20"/>
              </w:rPr>
              <w:t>Devices would only be permitted to contain such substances, at a level above this limit, if a justification is provided. This would have to be based on:</w:t>
            </w:r>
          </w:p>
          <w:p w:rsidR="0033012C" w:rsidRDefault="0033012C" w:rsidP="0033012C">
            <w:pPr>
              <w:pStyle w:val="Listenabsatz"/>
              <w:numPr>
                <w:ilvl w:val="0"/>
                <w:numId w:val="5"/>
              </w:numPr>
              <w:spacing w:before="20" w:after="20" w:line="276" w:lineRule="auto"/>
              <w:ind w:left="421" w:hanging="284"/>
              <w:rPr>
                <w:sz w:val="20"/>
                <w:szCs w:val="20"/>
              </w:rPr>
            </w:pPr>
            <w:r>
              <w:rPr>
                <w:sz w:val="20"/>
                <w:szCs w:val="20"/>
              </w:rPr>
              <w:t>An analysis and estimation of potential patient or user exposure;</w:t>
            </w:r>
          </w:p>
          <w:p w:rsidR="0033012C" w:rsidRDefault="0033012C" w:rsidP="0033012C">
            <w:pPr>
              <w:pStyle w:val="Listenabsatz"/>
              <w:numPr>
                <w:ilvl w:val="0"/>
                <w:numId w:val="5"/>
              </w:numPr>
              <w:spacing w:before="20" w:after="20" w:line="276" w:lineRule="auto"/>
              <w:ind w:left="421" w:hanging="284"/>
              <w:rPr>
                <w:sz w:val="20"/>
                <w:szCs w:val="20"/>
              </w:rPr>
            </w:pPr>
            <w:r>
              <w:rPr>
                <w:sz w:val="20"/>
                <w:szCs w:val="20"/>
              </w:rPr>
              <w:t>An analysis of alternative substances, materials or designs;</w:t>
            </w:r>
          </w:p>
          <w:p w:rsidR="0033012C" w:rsidRDefault="0033012C" w:rsidP="0033012C">
            <w:pPr>
              <w:pStyle w:val="Listenabsatz"/>
              <w:numPr>
                <w:ilvl w:val="0"/>
                <w:numId w:val="5"/>
              </w:numPr>
              <w:spacing w:before="20" w:after="20" w:line="276" w:lineRule="auto"/>
              <w:ind w:left="421" w:hanging="284"/>
              <w:rPr>
                <w:sz w:val="20"/>
                <w:szCs w:val="20"/>
              </w:rPr>
            </w:pPr>
            <w:r>
              <w:rPr>
                <w:sz w:val="20"/>
                <w:szCs w:val="20"/>
              </w:rPr>
              <w:t>Arguments to justify why any possible substitutes or design changes are “inappropriate to maintain the functionality, performance and the benefit-risk ratios of the product”; and</w:t>
            </w:r>
          </w:p>
          <w:p w:rsidR="0033012C" w:rsidRDefault="0033012C" w:rsidP="0033012C">
            <w:pPr>
              <w:pStyle w:val="Listenabsatz"/>
              <w:numPr>
                <w:ilvl w:val="0"/>
                <w:numId w:val="5"/>
              </w:numPr>
              <w:spacing w:before="20" w:after="20" w:line="276" w:lineRule="auto"/>
              <w:ind w:left="421" w:hanging="284"/>
              <w:rPr>
                <w:rFonts w:eastAsia="Arial"/>
                <w:color w:val="000000"/>
                <w:sz w:val="20"/>
                <w:szCs w:val="20"/>
              </w:rPr>
            </w:pPr>
            <w:r>
              <w:rPr>
                <w:sz w:val="20"/>
                <w:szCs w:val="20"/>
              </w:rPr>
              <w:t>Where available, the latest scientific committee guidelines</w:t>
            </w:r>
          </w:p>
        </w:tc>
      </w:tr>
      <w:tr w:rsidR="0033012C" w:rsidTr="0033012C">
        <w:trPr>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Applicability (multiple sectors vs. single sector)</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Multiple</w:t>
            </w:r>
          </w:p>
        </w:tc>
      </w:tr>
      <w:tr w:rsidR="0033012C" w:rsidTr="0033012C">
        <w:trPr>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 xml:space="preserve">Potential adverse impact on:  </w:t>
            </w:r>
          </w:p>
          <w:p w:rsidR="0033012C" w:rsidRDefault="0033012C" w:rsidP="0033012C">
            <w:pPr>
              <w:pStyle w:val="Listenabsatz"/>
              <w:numPr>
                <w:ilvl w:val="0"/>
                <w:numId w:val="4"/>
              </w:numPr>
              <w:spacing w:after="0" w:line="276" w:lineRule="auto"/>
              <w:ind w:left="284" w:hanging="284"/>
              <w:jc w:val="left"/>
              <w:textAlignment w:val="baseline"/>
              <w:rPr>
                <w:rFonts w:eastAsia="Arial"/>
                <w:color w:val="000000"/>
                <w:sz w:val="20"/>
                <w:szCs w:val="20"/>
              </w:rPr>
            </w:pPr>
            <w:r>
              <w:rPr>
                <w:rFonts w:eastAsia="Arial"/>
                <w:color w:val="000000"/>
                <w:sz w:val="20"/>
                <w:szCs w:val="20"/>
              </w:rPr>
              <w:t>Industry (I)</w:t>
            </w:r>
          </w:p>
          <w:p w:rsidR="0033012C" w:rsidRDefault="0033012C" w:rsidP="0033012C">
            <w:pPr>
              <w:pStyle w:val="Listenabsatz"/>
              <w:numPr>
                <w:ilvl w:val="0"/>
                <w:numId w:val="4"/>
              </w:numPr>
              <w:spacing w:after="0" w:line="276" w:lineRule="auto"/>
              <w:ind w:left="284" w:hanging="284"/>
              <w:jc w:val="left"/>
              <w:textAlignment w:val="baseline"/>
              <w:rPr>
                <w:rFonts w:eastAsia="Arial"/>
                <w:color w:val="000000"/>
                <w:sz w:val="20"/>
                <w:szCs w:val="20"/>
              </w:rPr>
            </w:pPr>
            <w:r>
              <w:rPr>
                <w:rFonts w:eastAsia="Arial"/>
                <w:color w:val="000000"/>
                <w:sz w:val="20"/>
                <w:szCs w:val="20"/>
              </w:rPr>
              <w:t>Professionals (P)</w:t>
            </w:r>
          </w:p>
          <w:p w:rsidR="0033012C" w:rsidRDefault="0033012C" w:rsidP="0033012C">
            <w:pPr>
              <w:pStyle w:val="Listenabsatz"/>
              <w:numPr>
                <w:ilvl w:val="0"/>
                <w:numId w:val="4"/>
              </w:numPr>
              <w:spacing w:after="0" w:line="276" w:lineRule="auto"/>
              <w:ind w:left="284" w:hanging="284"/>
              <w:jc w:val="left"/>
              <w:textAlignment w:val="baseline"/>
              <w:rPr>
                <w:rFonts w:eastAsia="Arial"/>
                <w:color w:val="000000"/>
                <w:sz w:val="20"/>
                <w:szCs w:val="20"/>
              </w:rPr>
            </w:pPr>
            <w:r>
              <w:rPr>
                <w:rFonts w:eastAsia="Arial"/>
                <w:color w:val="000000"/>
                <w:sz w:val="20"/>
                <w:szCs w:val="20"/>
              </w:rPr>
              <w:t>Consumers (C)</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color w:val="000000"/>
                <w:sz w:val="20"/>
                <w:szCs w:val="20"/>
              </w:rPr>
            </w:pPr>
            <w:r>
              <w:rPr>
                <w:rFonts w:eastAsia="Arial"/>
                <w:color w:val="000000"/>
                <w:sz w:val="20"/>
                <w:szCs w:val="20"/>
              </w:rPr>
              <w:t>I/(C)</w:t>
            </w:r>
          </w:p>
        </w:tc>
      </w:tr>
      <w:tr w:rsidR="0033012C" w:rsidTr="0033012C">
        <w:trPr>
          <w:trHeight w:val="255"/>
        </w:trPr>
        <w:tc>
          <w:tcPr>
            <w:tcW w:w="144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jc w:val="left"/>
              <w:textAlignment w:val="baseline"/>
              <w:rPr>
                <w:rFonts w:eastAsia="Arial"/>
                <w:color w:val="000000"/>
                <w:sz w:val="20"/>
                <w:szCs w:val="20"/>
              </w:rPr>
            </w:pPr>
            <w:r>
              <w:rPr>
                <w:rFonts w:eastAsia="Arial"/>
                <w:color w:val="000000"/>
                <w:sz w:val="20"/>
                <w:szCs w:val="20"/>
              </w:rPr>
              <w:t>Driver of impact on society</w:t>
            </w:r>
          </w:p>
        </w:tc>
        <w:tc>
          <w:tcPr>
            <w:tcW w:w="14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Times New Roman" w:cs="Times New Roman"/>
                <w:color w:val="000000"/>
                <w:sz w:val="20"/>
                <w:szCs w:val="20"/>
                <w:lang w:eastAsia="en-GB"/>
              </w:rPr>
            </w:pPr>
            <w:r>
              <w:rPr>
                <w:rFonts w:eastAsia="Times New Roman" w:cs="Times New Roman"/>
                <w:color w:val="000000"/>
                <w:sz w:val="20"/>
                <w:szCs w:val="20"/>
                <w:lang w:eastAsia="en-GB"/>
              </w:rPr>
              <w:t>Hazard</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3012C" w:rsidRDefault="0033012C">
            <w:pPr>
              <w:spacing w:after="0" w:line="276" w:lineRule="auto"/>
              <w:ind w:right="13"/>
              <w:jc w:val="left"/>
              <w:textAlignment w:val="baseline"/>
              <w:rPr>
                <w:rFonts w:eastAsia="Arial"/>
                <w:color w:val="000000"/>
                <w:sz w:val="20"/>
                <w:szCs w:val="20"/>
              </w:rPr>
            </w:pPr>
          </w:p>
        </w:tc>
      </w:tr>
      <w:tr w:rsidR="0033012C" w:rsidTr="0033012C">
        <w:trPr>
          <w:trHeight w:val="255"/>
        </w:trPr>
        <w:tc>
          <w:tcPr>
            <w:tcW w:w="9100" w:type="dxa"/>
            <w:vMerge/>
            <w:tcBorders>
              <w:top w:val="single" w:sz="4" w:space="0" w:color="000000"/>
              <w:left w:val="single" w:sz="4" w:space="0" w:color="000000"/>
              <w:bottom w:val="single" w:sz="4" w:space="0" w:color="000000"/>
              <w:right w:val="single" w:sz="4" w:space="0" w:color="000000"/>
            </w:tcBorders>
            <w:vAlign w:val="center"/>
            <w:hideMark/>
          </w:tcPr>
          <w:p w:rsidR="0033012C" w:rsidRDefault="0033012C">
            <w:pPr>
              <w:spacing w:after="0" w:line="276" w:lineRule="auto"/>
              <w:jc w:val="left"/>
              <w:rPr>
                <w:rFonts w:eastAsia="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Times New Roman" w:cs="Times New Roman"/>
                <w:color w:val="000000"/>
                <w:sz w:val="20"/>
                <w:szCs w:val="20"/>
                <w:lang w:eastAsia="en-GB"/>
              </w:rPr>
            </w:pPr>
            <w:r>
              <w:rPr>
                <w:rFonts w:eastAsia="Times New Roman" w:cs="Times New Roman"/>
                <w:color w:val="000000"/>
                <w:sz w:val="20"/>
                <w:szCs w:val="20"/>
                <w:lang w:eastAsia="en-GB"/>
              </w:rPr>
              <w:t>Risk (incl. availability of alternatives)</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jc w:val="left"/>
              <w:textAlignment w:val="baseline"/>
              <w:rPr>
                <w:rFonts w:eastAsia="Arial"/>
                <w:color w:val="000000"/>
                <w:sz w:val="20"/>
                <w:szCs w:val="20"/>
              </w:rPr>
            </w:pPr>
            <w:r>
              <w:rPr>
                <w:sz w:val="20"/>
                <w:szCs w:val="18"/>
              </w:rPr>
              <w:sym w:font="Wingdings" w:char="F0FC"/>
            </w:r>
          </w:p>
        </w:tc>
      </w:tr>
      <w:tr w:rsidR="0033012C" w:rsidRPr="0033012C" w:rsidTr="0033012C">
        <w:trPr>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Times New Roman" w:cs="Times New Roman"/>
                <w:color w:val="000000"/>
                <w:sz w:val="20"/>
                <w:szCs w:val="20"/>
                <w:lang w:eastAsia="en-GB"/>
              </w:rPr>
            </w:pPr>
            <w:r>
              <w:rPr>
                <w:rFonts w:eastAsia="Arial"/>
                <w:color w:val="000000"/>
                <w:sz w:val="20"/>
                <w:szCs w:val="20"/>
              </w:rPr>
              <w:t>Immediacy of potential impact</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textAlignment w:val="baseline"/>
              <w:rPr>
                <w:rFonts w:eastAsia="Arial"/>
                <w:color w:val="000000"/>
                <w:sz w:val="20"/>
                <w:szCs w:val="20"/>
              </w:rPr>
            </w:pPr>
            <w:r>
              <w:rPr>
                <w:rFonts w:eastAsia="Arial"/>
                <w:color w:val="000000"/>
                <w:sz w:val="20"/>
                <w:szCs w:val="20"/>
              </w:rPr>
              <w:t>As soon as harmonised classification is adopted and CLP Regulation is updated, unless justification for ongoing use is submitted (timing uncertain)</w:t>
            </w:r>
          </w:p>
        </w:tc>
      </w:tr>
      <w:tr w:rsidR="0033012C" w:rsidRPr="0033012C" w:rsidTr="0033012C">
        <w:trPr>
          <w:trHeight w:val="255"/>
        </w:trPr>
        <w:tc>
          <w:tcPr>
            <w:tcW w:w="28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33012C" w:rsidRDefault="0033012C">
            <w:pPr>
              <w:spacing w:after="0" w:line="276" w:lineRule="auto"/>
              <w:ind w:right="13"/>
              <w:jc w:val="left"/>
              <w:textAlignment w:val="baseline"/>
              <w:rPr>
                <w:rFonts w:eastAsia="Times New Roman" w:cs="Times New Roman"/>
                <w:color w:val="000000"/>
                <w:sz w:val="20"/>
                <w:szCs w:val="20"/>
                <w:lang w:eastAsia="en-GB"/>
              </w:rPr>
            </w:pPr>
            <w:r>
              <w:rPr>
                <w:rFonts w:eastAsia="Arial"/>
                <w:color w:val="000000"/>
                <w:sz w:val="20"/>
                <w:szCs w:val="20"/>
              </w:rPr>
              <w:t>Realistic potential for a restriction on the use of TiO</w:t>
            </w:r>
            <w:r>
              <w:rPr>
                <w:rFonts w:eastAsia="Arial"/>
                <w:color w:val="000000"/>
                <w:sz w:val="20"/>
                <w:szCs w:val="20"/>
                <w:vertAlign w:val="subscript"/>
              </w:rPr>
              <w:t>2</w:t>
            </w:r>
          </w:p>
        </w:tc>
        <w:tc>
          <w:tcPr>
            <w:tcW w:w="62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33012C" w:rsidRDefault="0033012C">
            <w:pPr>
              <w:spacing w:after="0" w:line="276" w:lineRule="auto"/>
              <w:ind w:right="13"/>
              <w:textAlignment w:val="baseline"/>
              <w:rPr>
                <w:rFonts w:eastAsia="Arial"/>
                <w:color w:val="000000"/>
                <w:sz w:val="20"/>
                <w:szCs w:val="20"/>
              </w:rPr>
            </w:pPr>
            <w:r>
              <w:rPr>
                <w:rFonts w:eastAsia="Arial"/>
                <w:color w:val="000000"/>
                <w:sz w:val="20"/>
                <w:szCs w:val="20"/>
              </w:rPr>
              <w:t>Possible but unlikely – lack of alternatives and inhalation exposure risks are clearly limited</w:t>
            </w:r>
          </w:p>
        </w:tc>
      </w:tr>
    </w:tbl>
    <w:p w:rsidR="0033012C" w:rsidRDefault="0033012C" w:rsidP="0033012C"/>
    <w:p w:rsidR="0033012C" w:rsidRDefault="0033012C" w:rsidP="0033012C">
      <w:pPr>
        <w:spacing w:after="200" w:line="276" w:lineRule="auto"/>
        <w:jc w:val="left"/>
      </w:pPr>
      <w:r>
        <w:br w:type="page"/>
      </w:r>
    </w:p>
    <w:p w:rsidR="0033012C" w:rsidRDefault="0033012C" w:rsidP="0033012C">
      <w:pPr>
        <w:pStyle w:val="berschrift3"/>
        <w:rPr>
          <w:b/>
          <w:bCs/>
        </w:rPr>
      </w:pPr>
      <w:bookmarkStart w:id="29" w:name="_Toc470188720"/>
      <w:r>
        <w:rPr>
          <w:b/>
          <w:bCs/>
        </w:rPr>
        <w:lastRenderedPageBreak/>
        <w:t>CE marking</w:t>
      </w:r>
      <w:bookmarkEnd w:id="29"/>
    </w:p>
    <w:p w:rsidR="0033012C" w:rsidRDefault="0033012C" w:rsidP="0033012C">
      <w:r>
        <w:t xml:space="preserve">Those products which are subject to a CE mark have to undergo a conformity assessment which assesses the products characteristics and whether they meet EU harmonised standards before </w:t>
      </w:r>
      <w:proofErr w:type="gramStart"/>
      <w:r>
        <w:t>a</w:t>
      </w:r>
      <w:proofErr w:type="gramEnd"/>
      <w:r>
        <w:t xml:space="preserve"> EC Declaration of Conformity is issued. The CE mark will be given if the product meets the conformity assessment under the legislation it is subject to. Whilst there is no general rule for carcinogens for CE markings, the classification of TiO</w:t>
      </w:r>
      <w:r>
        <w:rPr>
          <w:vertAlign w:val="subscript"/>
        </w:rPr>
        <w:t>2</w:t>
      </w:r>
      <w:r>
        <w:t xml:space="preserve"> as </w:t>
      </w:r>
      <w:proofErr w:type="spellStart"/>
      <w:r>
        <w:t>Carc</w:t>
      </w:r>
      <w:proofErr w:type="spellEnd"/>
      <w:r>
        <w:t xml:space="preserve"> Cat 1B would mean that some products might not be able to attain a CE mark.  Relevant affected products may include:</w:t>
      </w:r>
    </w:p>
    <w:p w:rsidR="0033012C" w:rsidRPr="0033012C" w:rsidRDefault="0033012C" w:rsidP="0033012C">
      <w:pPr>
        <w:pStyle w:val="Bulletlist"/>
        <w:numPr>
          <w:ilvl w:val="0"/>
          <w:numId w:val="3"/>
        </w:numPr>
        <w:rPr>
          <w:lang w:val="en-US"/>
        </w:rPr>
      </w:pPr>
      <w:r w:rsidRPr="0033012C">
        <w:rPr>
          <w:b/>
          <w:lang w:val="en-US"/>
        </w:rPr>
        <w:t>Toys</w:t>
      </w:r>
      <w:r w:rsidRPr="0033012C">
        <w:rPr>
          <w:lang w:val="en-US"/>
        </w:rPr>
        <w:t>:  Directive 2009/48/EC on toy safety specifies in detail the essential requirements to be fulfilled by manufacturers, importers or distributors, to prove that their product complies with EU regulations and finally, to be able to affix the CE marking.  Annex II to the Directive specifies the safety requirements products have to comply with.  In accordance with this Annex, substances classified  as  carcinogenic,  mutagenic  or  toxic  for  reproduction  (CMR) of  category  1A,  1B  or  2  under  Regulation  (EC)  No  1272/2008  shall  not  be  used  in  toys,  in  components  of  toys  or  in  micro-structurally  distinct  parts  of  toys (although derogations can be granted); and</w:t>
      </w:r>
    </w:p>
    <w:p w:rsidR="0033012C" w:rsidRPr="0033012C" w:rsidRDefault="0033012C" w:rsidP="0033012C">
      <w:pPr>
        <w:pStyle w:val="Bulletlist"/>
        <w:numPr>
          <w:ilvl w:val="0"/>
          <w:numId w:val="0"/>
        </w:numPr>
        <w:ind w:left="709"/>
        <w:rPr>
          <w:lang w:val="en-US"/>
        </w:rPr>
      </w:pPr>
    </w:p>
    <w:p w:rsidR="0033012C" w:rsidRPr="0033012C" w:rsidRDefault="0033012C" w:rsidP="0033012C">
      <w:pPr>
        <w:pStyle w:val="Bulletlist"/>
        <w:numPr>
          <w:ilvl w:val="0"/>
          <w:numId w:val="3"/>
        </w:numPr>
        <w:rPr>
          <w:lang w:val="en-US"/>
        </w:rPr>
      </w:pPr>
      <w:proofErr w:type="spellStart"/>
      <w:r w:rsidRPr="0033012C">
        <w:rPr>
          <w:b/>
          <w:lang w:val="en-US"/>
        </w:rPr>
        <w:t>Ecodesign</w:t>
      </w:r>
      <w:proofErr w:type="spellEnd"/>
      <w:r w:rsidRPr="0033012C">
        <w:rPr>
          <w:b/>
          <w:lang w:val="en-US"/>
        </w:rPr>
        <w:t xml:space="preserve"> of energy related products</w:t>
      </w:r>
      <w:r w:rsidRPr="0033012C">
        <w:rPr>
          <w:lang w:val="en-US"/>
        </w:rPr>
        <w:t xml:space="preserve">:  the </w:t>
      </w:r>
      <w:proofErr w:type="spellStart"/>
      <w:r w:rsidRPr="0033012C">
        <w:rPr>
          <w:lang w:val="en-US"/>
        </w:rPr>
        <w:t>Ecodesign</w:t>
      </w:r>
      <w:proofErr w:type="spellEnd"/>
      <w:r w:rsidRPr="0033012C">
        <w:rPr>
          <w:lang w:val="en-US"/>
        </w:rPr>
        <w:t xml:space="preserve"> Directive (2009/125/EC) is a framework Directive that sets the </w:t>
      </w:r>
      <w:proofErr w:type="spellStart"/>
      <w:r w:rsidRPr="0033012C">
        <w:rPr>
          <w:lang w:val="en-US"/>
        </w:rPr>
        <w:t>ecodesign</w:t>
      </w:r>
      <w:proofErr w:type="spellEnd"/>
      <w:r w:rsidRPr="0033012C">
        <w:rPr>
          <w:lang w:val="en-US"/>
        </w:rPr>
        <w:t xml:space="preserve"> requirements related to the environmental parameters that manufacturers have to meet in order for their products to carry the CE marking.  The Directive calls for particular attention to the use of substances classified as hazardous to health and/or the environment according to Council Directive 67/548/EEC, the precursor to the CLP Regulation.</w:t>
      </w:r>
    </w:p>
    <w:p w:rsidR="0033012C" w:rsidRDefault="0033012C" w:rsidP="0033012C">
      <w:r>
        <w:t>The active implantable medical devices Directive 90/385/EEC and the Directive 93/42/EEC on Medical Devices also make some generic references to chemical risks but no specific requirement on CMR substances in relation to the CE marking is made (but note that the Medical Devices Directive is to be replaced by a new Regulation soon).</w:t>
      </w:r>
    </w:p>
    <w:p w:rsidR="0033012C" w:rsidRDefault="0033012C" w:rsidP="0033012C">
      <w:pPr>
        <w:spacing w:after="200" w:line="276" w:lineRule="auto"/>
        <w:jc w:val="left"/>
      </w:pPr>
    </w:p>
    <w:p w:rsidR="0033012C" w:rsidRPr="0033012C" w:rsidRDefault="0033012C"/>
    <w:sectPr w:rsidR="0033012C" w:rsidRPr="0033012C" w:rsidSect="002626D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C0D" w:rsidRDefault="00E24C0D" w:rsidP="0096771D">
      <w:pPr>
        <w:spacing w:after="0"/>
      </w:pPr>
      <w:r>
        <w:separator/>
      </w:r>
    </w:p>
  </w:endnote>
  <w:endnote w:type="continuationSeparator" w:id="0">
    <w:p w:rsidR="00E24C0D" w:rsidRDefault="00E24C0D" w:rsidP="009677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C0D" w:rsidRDefault="00E24C0D" w:rsidP="0096771D">
      <w:pPr>
        <w:spacing w:after="0"/>
      </w:pPr>
      <w:r>
        <w:separator/>
      </w:r>
    </w:p>
  </w:footnote>
  <w:footnote w:type="continuationSeparator" w:id="0">
    <w:p w:rsidR="00E24C0D" w:rsidRDefault="00E24C0D" w:rsidP="0096771D">
      <w:pPr>
        <w:spacing w:after="0"/>
      </w:pPr>
      <w:r>
        <w:continuationSeparator/>
      </w:r>
    </w:p>
  </w:footnote>
  <w:footnote w:id="1">
    <w:p w:rsidR="000B0009" w:rsidRDefault="000B0009" w:rsidP="0096771D">
      <w:pPr>
        <w:pStyle w:val="Funotentext"/>
      </w:pPr>
      <w:r>
        <w:rPr>
          <w:rStyle w:val="Funotenzeichen"/>
        </w:rPr>
        <w:footnoteRef/>
      </w:r>
      <w:r>
        <w:t xml:space="preserve"> </w:t>
      </w:r>
      <w:r>
        <w:tab/>
        <w:t>For additional information, the reader is referred to the material presented at the International Scientific Symposium on TiO</w:t>
      </w:r>
      <w:r>
        <w:rPr>
          <w:vertAlign w:val="subscript"/>
        </w:rPr>
        <w:t>2</w:t>
      </w:r>
      <w:r>
        <w:t xml:space="preserve"> (</w:t>
      </w:r>
      <w:hyperlink r:id="rId1" w:history="1">
        <w:r>
          <w:rPr>
            <w:rStyle w:val="Hyperlink"/>
          </w:rPr>
          <w:t>http://www.tio2symposium.com/</w:t>
        </w:r>
      </w:hyperlink>
      <w:r>
        <w:t xml:space="preserve">), held in Paris on 15-16 November 2016. </w:t>
      </w:r>
    </w:p>
  </w:footnote>
  <w:footnote w:id="2">
    <w:p w:rsidR="000B0009" w:rsidRDefault="000B0009" w:rsidP="002626DB">
      <w:pPr>
        <w:pStyle w:val="Funotentext"/>
      </w:pPr>
      <w:r>
        <w:rPr>
          <w:rStyle w:val="Funotenzeichen"/>
        </w:rPr>
        <w:footnoteRef/>
      </w:r>
      <w:r>
        <w:t xml:space="preserve"> </w:t>
      </w:r>
      <w:r>
        <w:tab/>
        <w:t>Note that more recent figures may be available; this is currently under investigation.</w:t>
      </w:r>
    </w:p>
  </w:footnote>
  <w:footnote w:id="3">
    <w:p w:rsidR="000B0009" w:rsidRDefault="000B0009" w:rsidP="002626DB">
      <w:pPr>
        <w:pStyle w:val="Funotentext"/>
      </w:pPr>
      <w:r>
        <w:rPr>
          <w:rStyle w:val="Funotenzeichen"/>
        </w:rPr>
        <w:footnoteRef/>
      </w:r>
      <w:r>
        <w:t xml:space="preserve"> </w:t>
      </w:r>
      <w:r>
        <w:tab/>
        <w:t xml:space="preserve">See </w:t>
      </w:r>
      <w:hyperlink r:id="rId2" w:history="1">
        <w:r>
          <w:rPr>
            <w:rStyle w:val="Hyperlink"/>
          </w:rPr>
          <w:t>http://www.drugfuture.com/Pharmacopoeia/EP7/DATA/0150E.PDF</w:t>
        </w:r>
      </w:hyperlink>
      <w:r>
        <w:t xml:space="preserve"> (accessed on 20 June 2016).</w:t>
      </w:r>
    </w:p>
  </w:footnote>
  <w:footnote w:id="4">
    <w:p w:rsidR="000B0009" w:rsidRDefault="000B0009" w:rsidP="000B0009">
      <w:pPr>
        <w:pStyle w:val="Funotentext"/>
      </w:pPr>
      <w:r>
        <w:rPr>
          <w:rStyle w:val="Funotenzeichen"/>
        </w:rPr>
        <w:footnoteRef/>
      </w:r>
      <w:r>
        <w:t xml:space="preserve"> </w:t>
      </w:r>
      <w:r>
        <w:tab/>
        <w:t xml:space="preserve">In item 5.2.2 of the German TA </w:t>
      </w:r>
      <w:proofErr w:type="spellStart"/>
      <w:r>
        <w:t>Luft</w:t>
      </w:r>
      <w:proofErr w:type="spellEnd"/>
      <w:r>
        <w:t xml:space="preserve">, there is a direct link between the classification of this substance according to the CLP Regulation and emission limitation in waste air, this is not based on requirements under the Industrial Emissions Directive or other European provisions. In the individual case, this link can lead to disproportionate requirements in the retrofitting of industrial installations </w:t>
      </w:r>
      <w:sdt>
        <w:sdtPr>
          <w:id w:val="1864937877"/>
          <w:citation/>
        </w:sdtPr>
        <w:sdtContent>
          <w:r>
            <w:fldChar w:fldCharType="begin"/>
          </w:r>
          <w:r>
            <w:instrText xml:space="preserve"> CITATION VCI16 \l 2057 </w:instrText>
          </w:r>
          <w:r>
            <w:fldChar w:fldCharType="separate"/>
          </w:r>
          <w:r>
            <w:rPr>
              <w:noProof/>
            </w:rPr>
            <w:t>(VCI, 2016)</w:t>
          </w:r>
          <w:r>
            <w:fldChar w:fldCharType="end"/>
          </w:r>
        </w:sdtContent>
      </w:sdt>
      <w:r>
        <w:t>.</w:t>
      </w:r>
    </w:p>
  </w:footnote>
  <w:footnote w:id="5">
    <w:p w:rsidR="000B0009" w:rsidRDefault="000B0009" w:rsidP="000B0009">
      <w:pPr>
        <w:pStyle w:val="Funotentext"/>
      </w:pPr>
      <w:r>
        <w:rPr>
          <w:rStyle w:val="Funotenzeichen"/>
        </w:rPr>
        <w:footnoteRef/>
      </w:r>
      <w:r>
        <w:t xml:space="preserve"> </w:t>
      </w:r>
      <w:r>
        <w:tab/>
        <w:t xml:space="preserve">For instance, small changes to the hazard labelling of aerosols would cost £0.14-0.2 million per aerosol manufacturer in the UK, or ca. £150-200 per production line </w:t>
      </w:r>
      <w:sdt>
        <w:sdtPr>
          <w:id w:val="221265841"/>
          <w:citation/>
        </w:sdtPr>
        <w:sdtContent>
          <w:r>
            <w:fldChar w:fldCharType="begin"/>
          </w:r>
          <w:r>
            <w:instrText xml:space="preserve"> CITATION BIS14 \l 2057 </w:instrText>
          </w:r>
          <w:r>
            <w:fldChar w:fldCharType="separate"/>
          </w:r>
          <w:r>
            <w:rPr>
              <w:noProof/>
            </w:rPr>
            <w:t>(BIS, 2014)</w:t>
          </w:r>
          <w:r>
            <w:fldChar w:fldCharType="end"/>
          </w:r>
        </w:sdtContent>
      </w:sdt>
      <w:r>
        <w:t xml:space="preserve">.  In another case, the cost of changing the labelling/packaging of cement bags was estimated at €0.7-7 per 1,000 </w:t>
      </w:r>
      <w:proofErr w:type="spellStart"/>
      <w:r>
        <w:t>kraft</w:t>
      </w:r>
      <w:proofErr w:type="spellEnd"/>
      <w:r>
        <w:t xml:space="preserve"> paper bags (depending on whether the entire bag or only part of it changes) and a total cost of €1.4-4 million per year for the whole of Europe </w:t>
      </w:r>
      <w:sdt>
        <w:sdtPr>
          <w:id w:val="-1084291944"/>
          <w:citation/>
        </w:sdtPr>
        <w:sdtContent>
          <w:r>
            <w:fldChar w:fldCharType="begin"/>
          </w:r>
          <w:r>
            <w:instrText xml:space="preserve">CITATION Cer13 \l 2057 </w:instrText>
          </w:r>
          <w:r>
            <w:fldChar w:fldCharType="separate"/>
          </w:r>
          <w:r>
            <w:rPr>
              <w:noProof/>
            </w:rPr>
            <w:t>(Cerame-Unie, 2013)</w:t>
          </w:r>
          <w:r>
            <w:fldChar w:fldCharType="end"/>
          </w:r>
        </w:sdtContent>
      </w:sdt>
      <w:r>
        <w:t>.</w:t>
      </w:r>
    </w:p>
  </w:footnote>
  <w:footnote w:id="6">
    <w:p w:rsidR="000B0009" w:rsidRDefault="000B0009" w:rsidP="000B0009">
      <w:pPr>
        <w:pStyle w:val="Funotentext"/>
      </w:pPr>
      <w:r>
        <w:rPr>
          <w:rStyle w:val="Funotenzeichen"/>
        </w:rPr>
        <w:footnoteRef/>
      </w:r>
      <w:r>
        <w:t xml:space="preserve"> </w:t>
      </w:r>
      <w:r>
        <w:tab/>
        <w:t>It must also be remembered that proposed classification would also affect the use of TiO</w:t>
      </w:r>
      <w:r>
        <w:rPr>
          <w:vertAlign w:val="subscript"/>
        </w:rPr>
        <w:t>2</w:t>
      </w:r>
      <w:r>
        <w:t xml:space="preserve"> in labels and inks that would need to be used in the new packaging.</w:t>
      </w:r>
    </w:p>
  </w:footnote>
  <w:footnote w:id="7">
    <w:p w:rsidR="000B0009" w:rsidRDefault="000B0009" w:rsidP="000B0009">
      <w:pPr>
        <w:pStyle w:val="Funotentext"/>
      </w:pPr>
      <w:r>
        <w:rPr>
          <w:rStyle w:val="Funotenzeichen"/>
        </w:rPr>
        <w:footnoteRef/>
      </w:r>
      <w:r>
        <w:t xml:space="preserve"> </w:t>
      </w:r>
      <w:r>
        <w:tab/>
        <w:t>The US Food and Drug Administration (FDA) has reported in their Inactive Ingredient Database that up to 49.27 mg of TiO</w:t>
      </w:r>
      <w:r>
        <w:rPr>
          <w:vertAlign w:val="subscript"/>
        </w:rPr>
        <w:t>2</w:t>
      </w:r>
      <w:r>
        <w:t xml:space="preserve"> per dosage form may be safely used.  The Japanese Pharmaceutical Excipients Directory indicates that up 384 mg of TiO</w:t>
      </w:r>
      <w:r>
        <w:rPr>
          <w:vertAlign w:val="subscript"/>
        </w:rPr>
        <w:t>2</w:t>
      </w:r>
      <w:r>
        <w:t xml:space="preserve"> per day may be safely consumed </w:t>
      </w:r>
      <w:sdt>
        <w:sdtPr>
          <w:id w:val="847457707"/>
          <w:citation/>
        </w:sdtPr>
        <w:sdtContent>
          <w:r>
            <w:fldChar w:fldCharType="begin"/>
          </w:r>
          <w:r>
            <w:instrText xml:space="preserve"> CITATION Col16 \l 2057 </w:instrText>
          </w:r>
          <w:r>
            <w:fldChar w:fldCharType="separate"/>
          </w:r>
          <w:r>
            <w:rPr>
              <w:noProof/>
            </w:rPr>
            <w:t>(Colorcon, 2016)</w:t>
          </w:r>
          <w:r>
            <w:fldChar w:fldCharType="end"/>
          </w:r>
        </w:sdtContent>
      </w:sdt>
      <w:r>
        <w:t>.</w:t>
      </w:r>
    </w:p>
  </w:footnote>
  <w:footnote w:id="8">
    <w:p w:rsidR="000B0009" w:rsidRDefault="000B0009" w:rsidP="000B0009">
      <w:pPr>
        <w:pStyle w:val="Funotentext"/>
      </w:pPr>
      <w:r>
        <w:rPr>
          <w:rStyle w:val="Funotenzeichen"/>
        </w:rPr>
        <w:footnoteRef/>
      </w:r>
      <w:r>
        <w:t xml:space="preserve"> </w:t>
      </w:r>
      <w:r>
        <w:tab/>
        <w:t>Standard on the biological evaluation of medical devices.</w:t>
      </w:r>
    </w:p>
  </w:footnote>
  <w:footnote w:id="9">
    <w:p w:rsidR="000B0009" w:rsidRDefault="000B0009" w:rsidP="000B0009">
      <w:pPr>
        <w:pStyle w:val="Funotentext"/>
      </w:pPr>
      <w:r>
        <w:rPr>
          <w:rStyle w:val="Funotenzeichen"/>
        </w:rPr>
        <w:footnoteRef/>
      </w:r>
      <w:r>
        <w:t xml:space="preserve"> </w:t>
      </w:r>
      <w:r>
        <w:tab/>
        <w:t>Standard on the evaluation of biocompatibility of medical devices used in dentistry.</w:t>
      </w:r>
    </w:p>
  </w:footnote>
  <w:footnote w:id="10">
    <w:p w:rsidR="0033012C" w:rsidRDefault="0033012C" w:rsidP="0033012C">
      <w:pPr>
        <w:pStyle w:val="Funotentext"/>
      </w:pPr>
      <w:r>
        <w:rPr>
          <w:rStyle w:val="Funotenzeichen"/>
        </w:rPr>
        <w:footnoteRef/>
      </w:r>
      <w:r>
        <w:t xml:space="preserve"> </w:t>
      </w:r>
      <w:r>
        <w:tab/>
        <w:t>Interestingly, the opinion also states, “</w:t>
      </w:r>
      <w:r>
        <w:rPr>
          <w:i/>
        </w:rPr>
        <w:t>For non-genotoxic rodent carcinogens (which are known to be around 50% of molecules tested in life span rodent carcinogenicity studies) only those for which the mechanism of tumorigenesis (including the route of administration) has been identified as relevant for man, should be carefully considered before a decision is taken to include them in a pharmaceutical product. It is important to highlight that many of the substances positive in the carcinogenicity studies are specific rodent carcinogens with no relevance to humans. In addition, the ‘safety ratios’ (e.g. the relation between the exposures that were tumorigenic in rodents and those to be reached in patients) should be taken into consideration</w:t>
      </w:r>
      <w:r>
        <w:t xml:space="preserve">” </w:t>
      </w:r>
      <w:sdt>
        <w:sdtPr>
          <w:id w:val="1305893880"/>
          <w:citation/>
        </w:sdtPr>
        <w:sdtContent>
          <w:r>
            <w:fldChar w:fldCharType="begin"/>
          </w:r>
          <w:r>
            <w:instrText xml:space="preserve"> CITATION Eur072 \l 2057 </w:instrText>
          </w:r>
          <w:r>
            <w:fldChar w:fldCharType="separate"/>
          </w:r>
          <w:r>
            <w:rPr>
              <w:noProof/>
            </w:rPr>
            <w:t>(European Medicines Agency, 2007)</w:t>
          </w:r>
          <w:r>
            <w:fldChar w:fldCharType="end"/>
          </w:r>
        </w:sdtContent>
      </w:sdt>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1350"/>
    <w:multiLevelType w:val="multilevel"/>
    <w:tmpl w:val="D7A8CC26"/>
    <w:lvl w:ilvl="0">
      <w:start w:val="1"/>
      <w:numFmt w:val="bullet"/>
      <w:pStyle w:val="Bulletlist"/>
      <w:lvlText w:val=""/>
      <w:lvlJc w:val="left"/>
      <w:pPr>
        <w:ind w:left="360" w:hanging="360"/>
      </w:pPr>
      <w:rPr>
        <w:rFonts w:ascii="Symbol" w:hAnsi="Symbol" w:hint="default"/>
        <w:sz w:val="20"/>
      </w:rPr>
    </w:lvl>
    <w:lvl w:ilvl="1">
      <w:start w:val="1"/>
      <w:numFmt w:val="bullet"/>
      <w:pStyle w:val="Bulletlist"/>
      <w:lvlText w:val=""/>
      <w:lvlJc w:val="left"/>
      <w:pPr>
        <w:ind w:left="720" w:hanging="360"/>
      </w:pPr>
      <w:rPr>
        <w:rFonts w:ascii="Symbol" w:hAnsi="Symbol" w:hint="default"/>
        <w:color w:val="auto"/>
      </w:rPr>
    </w:lvl>
    <w:lvl w:ilvl="2">
      <w:start w:val="1"/>
      <w:numFmt w:val="none"/>
      <w:lvlText w:val=""/>
      <w:lvlJc w:val="left"/>
      <w:pPr>
        <w:ind w:left="1080" w:hanging="108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 w15:restartNumberingAfterBreak="0">
    <w:nsid w:val="26CD38E3"/>
    <w:multiLevelType w:val="multilevel"/>
    <w:tmpl w:val="FA74ECC4"/>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D7021F3"/>
    <w:multiLevelType w:val="hybridMultilevel"/>
    <w:tmpl w:val="E9BC592C"/>
    <w:lvl w:ilvl="0" w:tplc="6ED09D02">
      <w:start w:val="1"/>
      <w:numFmt w:val="decimal"/>
      <w:pStyle w:val="Numbering"/>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E6B4A3A"/>
    <w:multiLevelType w:val="hybridMultilevel"/>
    <w:tmpl w:val="E6388048"/>
    <w:lvl w:ilvl="0" w:tplc="F860020C">
      <w:start w:val="5"/>
      <w:numFmt w:val="bullet"/>
      <w:lvlText w:val="-"/>
      <w:lvlJc w:val="left"/>
      <w:pPr>
        <w:ind w:left="720" w:hanging="360"/>
      </w:pPr>
      <w:rPr>
        <w:rFonts w:ascii="Calibri" w:eastAsia="Arial"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B430B3"/>
    <w:multiLevelType w:val="hybridMultilevel"/>
    <w:tmpl w:val="185494AE"/>
    <w:lvl w:ilvl="0" w:tplc="9148ED52">
      <w:start w:val="2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1D"/>
    <w:rsid w:val="000B0009"/>
    <w:rsid w:val="002626DB"/>
    <w:rsid w:val="0033012C"/>
    <w:rsid w:val="0088066F"/>
    <w:rsid w:val="0096771D"/>
    <w:rsid w:val="00A77895"/>
    <w:rsid w:val="00CA7E0F"/>
    <w:rsid w:val="00E24C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18432-FB2C-41B7-A1A1-2947BEB1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771D"/>
    <w:pPr>
      <w:spacing w:after="240" w:line="240" w:lineRule="auto"/>
      <w:jc w:val="both"/>
    </w:pPr>
    <w:rPr>
      <w:lang w:val="en-GB"/>
    </w:rPr>
  </w:style>
  <w:style w:type="paragraph" w:styleId="berschrift1">
    <w:name w:val="heading 1"/>
    <w:aliases w:val="Chapter heading"/>
    <w:basedOn w:val="Standard"/>
    <w:next w:val="berschrift2"/>
    <w:link w:val="berschrift1Zchn"/>
    <w:uiPriority w:val="9"/>
    <w:qFormat/>
    <w:rsid w:val="0096771D"/>
    <w:pPr>
      <w:keepNext/>
      <w:keepLines/>
      <w:pageBreakBefore/>
      <w:numPr>
        <w:numId w:val="1"/>
      </w:numPr>
      <w:pBdr>
        <w:bottom w:val="single" w:sz="18" w:space="1" w:color="FF0000"/>
      </w:pBdr>
      <w:spacing w:before="360"/>
      <w:ind w:left="431" w:hanging="431"/>
      <w:outlineLvl w:val="0"/>
    </w:pPr>
    <w:rPr>
      <w:rFonts w:eastAsiaTheme="majorEastAsia" w:cstheme="majorBidi"/>
      <w:sz w:val="36"/>
      <w:szCs w:val="28"/>
    </w:rPr>
  </w:style>
  <w:style w:type="paragraph" w:styleId="berschrift2">
    <w:name w:val="heading 2"/>
    <w:aliases w:val="Heading 1.1"/>
    <w:basedOn w:val="Standard"/>
    <w:next w:val="berschrift3"/>
    <w:link w:val="berschrift2Zchn"/>
    <w:uiPriority w:val="9"/>
    <w:semiHidden/>
    <w:unhideWhenUsed/>
    <w:qFormat/>
    <w:rsid w:val="0096771D"/>
    <w:pPr>
      <w:keepNext/>
      <w:keepLines/>
      <w:numPr>
        <w:ilvl w:val="1"/>
        <w:numId w:val="1"/>
      </w:numPr>
      <w:spacing w:before="360"/>
      <w:ind w:left="709" w:hanging="709"/>
      <w:outlineLvl w:val="1"/>
    </w:pPr>
    <w:rPr>
      <w:rFonts w:ascii="Calibri" w:eastAsiaTheme="majorEastAsia" w:hAnsi="Calibri" w:cs="Times New Roman"/>
      <w:sz w:val="32"/>
      <w:szCs w:val="26"/>
    </w:rPr>
  </w:style>
  <w:style w:type="paragraph" w:styleId="berschrift3">
    <w:name w:val="heading 3"/>
    <w:aliases w:val="Heading 1.1.1"/>
    <w:basedOn w:val="Standard"/>
    <w:next w:val="Standard"/>
    <w:link w:val="berschrift3Zchn"/>
    <w:uiPriority w:val="9"/>
    <w:semiHidden/>
    <w:unhideWhenUsed/>
    <w:qFormat/>
    <w:rsid w:val="0096771D"/>
    <w:pPr>
      <w:keepNext/>
      <w:keepLines/>
      <w:numPr>
        <w:ilvl w:val="2"/>
        <w:numId w:val="1"/>
      </w:numPr>
      <w:spacing w:before="240"/>
      <w:ind w:left="709" w:hanging="709"/>
      <w:outlineLvl w:val="2"/>
    </w:pPr>
    <w:rPr>
      <w:rFonts w:ascii="Calibri" w:eastAsiaTheme="majorEastAsia" w:hAnsi="Calibri" w:cstheme="majorBidi"/>
      <w:sz w:val="28"/>
    </w:rPr>
  </w:style>
  <w:style w:type="paragraph" w:styleId="berschrift4">
    <w:name w:val="heading 4"/>
    <w:basedOn w:val="Standard"/>
    <w:next w:val="Standard"/>
    <w:link w:val="berschrift4Zchn"/>
    <w:uiPriority w:val="9"/>
    <w:semiHidden/>
    <w:unhideWhenUsed/>
    <w:qFormat/>
    <w:rsid w:val="0096771D"/>
    <w:pPr>
      <w:keepNext/>
      <w:keepLines/>
      <w:spacing w:before="240"/>
      <w:outlineLvl w:val="3"/>
    </w:pPr>
    <w:rPr>
      <w:rFonts w:ascii="Calibri" w:eastAsiaTheme="majorEastAsia" w:hAnsi="Calibri" w:cstheme="majorBidi"/>
      <w:b/>
      <w:bCs/>
      <w:i/>
      <w:iCs/>
    </w:rPr>
  </w:style>
  <w:style w:type="paragraph" w:styleId="berschrift5">
    <w:name w:val="heading 5"/>
    <w:basedOn w:val="Standard"/>
    <w:next w:val="Standard"/>
    <w:link w:val="berschrift5Zchn"/>
    <w:uiPriority w:val="9"/>
    <w:semiHidden/>
    <w:unhideWhenUsed/>
    <w:qFormat/>
    <w:rsid w:val="000B0009"/>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7">
    <w:name w:val="heading 7"/>
    <w:basedOn w:val="Standard"/>
    <w:next w:val="Standard"/>
    <w:link w:val="berschrift7Zchn"/>
    <w:uiPriority w:val="9"/>
    <w:semiHidden/>
    <w:unhideWhenUsed/>
    <w:qFormat/>
    <w:rsid w:val="009677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677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677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pter heading Zchn"/>
    <w:basedOn w:val="Absatz-Standardschriftart"/>
    <w:link w:val="berschrift1"/>
    <w:uiPriority w:val="9"/>
    <w:rsid w:val="0096771D"/>
    <w:rPr>
      <w:rFonts w:eastAsiaTheme="majorEastAsia" w:cstheme="majorBidi"/>
      <w:sz w:val="36"/>
      <w:szCs w:val="28"/>
      <w:lang w:val="en-GB"/>
    </w:rPr>
  </w:style>
  <w:style w:type="character" w:customStyle="1" w:styleId="berschrift2Zchn">
    <w:name w:val="Überschrift 2 Zchn"/>
    <w:aliases w:val="Heading 1.1 Zchn"/>
    <w:basedOn w:val="Absatz-Standardschriftart"/>
    <w:link w:val="berschrift2"/>
    <w:uiPriority w:val="9"/>
    <w:semiHidden/>
    <w:rsid w:val="0096771D"/>
    <w:rPr>
      <w:rFonts w:ascii="Calibri" w:eastAsiaTheme="majorEastAsia" w:hAnsi="Calibri" w:cs="Times New Roman"/>
      <w:sz w:val="32"/>
      <w:szCs w:val="26"/>
      <w:lang w:val="en-GB"/>
    </w:rPr>
  </w:style>
  <w:style w:type="character" w:customStyle="1" w:styleId="berschrift3Zchn">
    <w:name w:val="Überschrift 3 Zchn"/>
    <w:aliases w:val="Heading 1.1.1 Zchn"/>
    <w:basedOn w:val="Absatz-Standardschriftart"/>
    <w:link w:val="berschrift3"/>
    <w:uiPriority w:val="9"/>
    <w:semiHidden/>
    <w:rsid w:val="0096771D"/>
    <w:rPr>
      <w:rFonts w:ascii="Calibri" w:eastAsiaTheme="majorEastAsia" w:hAnsi="Calibri" w:cstheme="majorBidi"/>
      <w:sz w:val="28"/>
      <w:lang w:val="en-GB"/>
    </w:rPr>
  </w:style>
  <w:style w:type="character" w:customStyle="1" w:styleId="berschrift4Zchn">
    <w:name w:val="Überschrift 4 Zchn"/>
    <w:basedOn w:val="Absatz-Standardschriftart"/>
    <w:link w:val="berschrift4"/>
    <w:uiPriority w:val="9"/>
    <w:semiHidden/>
    <w:rsid w:val="0096771D"/>
    <w:rPr>
      <w:rFonts w:ascii="Calibri" w:eastAsiaTheme="majorEastAsia" w:hAnsi="Calibri" w:cstheme="majorBidi"/>
      <w:b/>
      <w:bCs/>
      <w:i/>
      <w:iCs/>
      <w:lang w:val="en-GB"/>
    </w:rPr>
  </w:style>
  <w:style w:type="character" w:customStyle="1" w:styleId="berschrift7Zchn">
    <w:name w:val="Überschrift 7 Zchn"/>
    <w:basedOn w:val="Absatz-Standardschriftart"/>
    <w:link w:val="berschrift7"/>
    <w:uiPriority w:val="9"/>
    <w:semiHidden/>
    <w:rsid w:val="0096771D"/>
    <w:rPr>
      <w:rFonts w:asciiTheme="majorHAnsi" w:eastAsiaTheme="majorEastAsia" w:hAnsiTheme="majorHAnsi" w:cstheme="majorBidi"/>
      <w:i/>
      <w:iCs/>
      <w:color w:val="404040" w:themeColor="text1" w:themeTint="BF"/>
      <w:lang w:val="en-GB"/>
    </w:rPr>
  </w:style>
  <w:style w:type="character" w:customStyle="1" w:styleId="berschrift8Zchn">
    <w:name w:val="Überschrift 8 Zchn"/>
    <w:basedOn w:val="Absatz-Standardschriftart"/>
    <w:link w:val="berschrift8"/>
    <w:uiPriority w:val="9"/>
    <w:semiHidden/>
    <w:rsid w:val="0096771D"/>
    <w:rPr>
      <w:rFonts w:asciiTheme="majorHAnsi" w:eastAsiaTheme="majorEastAsia" w:hAnsiTheme="majorHAnsi" w:cstheme="majorBidi"/>
      <w:color w:val="404040" w:themeColor="text1" w:themeTint="BF"/>
      <w:sz w:val="20"/>
      <w:szCs w:val="20"/>
      <w:lang w:val="en-GB"/>
    </w:rPr>
  </w:style>
  <w:style w:type="character" w:customStyle="1" w:styleId="berschrift9Zchn">
    <w:name w:val="Überschrift 9 Zchn"/>
    <w:basedOn w:val="Absatz-Standardschriftart"/>
    <w:link w:val="berschrift9"/>
    <w:uiPriority w:val="9"/>
    <w:semiHidden/>
    <w:rsid w:val="0096771D"/>
    <w:rPr>
      <w:rFonts w:asciiTheme="majorHAnsi" w:eastAsiaTheme="majorEastAsia" w:hAnsiTheme="majorHAnsi" w:cstheme="majorBidi"/>
      <w:i/>
      <w:iCs/>
      <w:color w:val="404040" w:themeColor="text1" w:themeTint="BF"/>
      <w:sz w:val="20"/>
      <w:szCs w:val="20"/>
      <w:lang w:val="en-GB"/>
    </w:rPr>
  </w:style>
  <w:style w:type="character" w:styleId="Hyperlink">
    <w:name w:val="Hyperlink"/>
    <w:basedOn w:val="Absatz-Standardschriftart"/>
    <w:uiPriority w:val="99"/>
    <w:semiHidden/>
    <w:unhideWhenUsed/>
    <w:rsid w:val="0096771D"/>
    <w:rPr>
      <w:color w:val="0563C1" w:themeColor="hyperlink"/>
      <w:u w:val="single"/>
    </w:rPr>
  </w:style>
  <w:style w:type="paragraph" w:styleId="Funotentext">
    <w:name w:val="footnote text"/>
    <w:basedOn w:val="Standard"/>
    <w:link w:val="FunotentextZchn"/>
    <w:uiPriority w:val="99"/>
    <w:semiHidden/>
    <w:unhideWhenUsed/>
    <w:qFormat/>
    <w:rsid w:val="0096771D"/>
    <w:pPr>
      <w:ind w:left="284" w:hanging="284"/>
    </w:pPr>
    <w:rPr>
      <w:sz w:val="20"/>
      <w:szCs w:val="20"/>
    </w:rPr>
  </w:style>
  <w:style w:type="character" w:customStyle="1" w:styleId="FunotentextZchn">
    <w:name w:val="Fußnotentext Zchn"/>
    <w:basedOn w:val="Absatz-Standardschriftart"/>
    <w:link w:val="Funotentext"/>
    <w:uiPriority w:val="99"/>
    <w:semiHidden/>
    <w:rsid w:val="0096771D"/>
    <w:rPr>
      <w:sz w:val="20"/>
      <w:szCs w:val="20"/>
      <w:lang w:val="en-GB"/>
    </w:rPr>
  </w:style>
  <w:style w:type="character" w:styleId="Funotenzeichen">
    <w:name w:val="footnote reference"/>
    <w:basedOn w:val="Absatz-Standardschriftart"/>
    <w:uiPriority w:val="99"/>
    <w:semiHidden/>
    <w:unhideWhenUsed/>
    <w:rsid w:val="0096771D"/>
    <w:rPr>
      <w:vertAlign w:val="superscript"/>
    </w:rPr>
  </w:style>
  <w:style w:type="character" w:customStyle="1" w:styleId="NumberingChar">
    <w:name w:val="Numbering Char"/>
    <w:basedOn w:val="Absatz-Standardschriftart"/>
    <w:link w:val="Numbering"/>
    <w:uiPriority w:val="11"/>
    <w:locked/>
    <w:rsid w:val="0088066F"/>
    <w:rPr>
      <w:szCs w:val="24"/>
    </w:rPr>
  </w:style>
  <w:style w:type="paragraph" w:customStyle="1" w:styleId="Numbering">
    <w:name w:val="Numbering"/>
    <w:basedOn w:val="Listenabsatz"/>
    <w:link w:val="NumberingChar"/>
    <w:uiPriority w:val="11"/>
    <w:qFormat/>
    <w:rsid w:val="0088066F"/>
    <w:pPr>
      <w:numPr>
        <w:numId w:val="2"/>
      </w:numPr>
      <w:spacing w:before="200" w:after="0"/>
      <w:contextualSpacing w:val="0"/>
    </w:pPr>
    <w:rPr>
      <w:szCs w:val="24"/>
      <w:lang w:val="de-DE"/>
    </w:rPr>
  </w:style>
  <w:style w:type="paragraph" w:styleId="Listenabsatz">
    <w:name w:val="List Paragraph"/>
    <w:basedOn w:val="Standard"/>
    <w:link w:val="ListenabsatzZchn"/>
    <w:uiPriority w:val="34"/>
    <w:qFormat/>
    <w:rsid w:val="0088066F"/>
    <w:pPr>
      <w:ind w:left="720"/>
      <w:contextualSpacing/>
    </w:pPr>
  </w:style>
  <w:style w:type="paragraph" w:styleId="Beschriftung">
    <w:name w:val="caption"/>
    <w:basedOn w:val="Standard"/>
    <w:next w:val="Standard"/>
    <w:uiPriority w:val="35"/>
    <w:semiHidden/>
    <w:unhideWhenUsed/>
    <w:qFormat/>
    <w:rsid w:val="002626DB"/>
    <w:pPr>
      <w:keepNext/>
      <w:spacing w:after="0"/>
      <w:jc w:val="center"/>
    </w:pPr>
    <w:rPr>
      <w:b/>
      <w:color w:val="000000" w:themeColor="text1"/>
      <w:sz w:val="20"/>
      <w:szCs w:val="24"/>
    </w:rPr>
  </w:style>
  <w:style w:type="character" w:customStyle="1" w:styleId="BulletlistChar">
    <w:name w:val="Bullet list Char"/>
    <w:basedOn w:val="Absatz-Standardschriftart"/>
    <w:link w:val="Bulletlist"/>
    <w:uiPriority w:val="10"/>
    <w:locked/>
    <w:rsid w:val="002626DB"/>
    <w:rPr>
      <w:szCs w:val="24"/>
    </w:rPr>
  </w:style>
  <w:style w:type="paragraph" w:customStyle="1" w:styleId="Bulletlist">
    <w:name w:val="Bullet list"/>
    <w:basedOn w:val="Listenabsatz"/>
    <w:link w:val="BulletlistChar"/>
    <w:uiPriority w:val="10"/>
    <w:qFormat/>
    <w:rsid w:val="002626DB"/>
    <w:pPr>
      <w:numPr>
        <w:ilvl w:val="1"/>
        <w:numId w:val="3"/>
      </w:numPr>
      <w:ind w:left="360"/>
    </w:pPr>
    <w:rPr>
      <w:szCs w:val="24"/>
      <w:lang w:val="de-DE"/>
    </w:rPr>
  </w:style>
  <w:style w:type="character" w:customStyle="1" w:styleId="Bulletlist2Char">
    <w:name w:val="Bullet list 2 Char"/>
    <w:basedOn w:val="BulletlistChar"/>
    <w:link w:val="Bulletlist2"/>
    <w:uiPriority w:val="10"/>
    <w:locked/>
    <w:rsid w:val="002626DB"/>
    <w:rPr>
      <w:szCs w:val="24"/>
    </w:rPr>
  </w:style>
  <w:style w:type="paragraph" w:customStyle="1" w:styleId="Bulletlist2">
    <w:name w:val="Bullet list 2"/>
    <w:basedOn w:val="Bulletlist"/>
    <w:link w:val="Bulletlist2Char"/>
    <w:uiPriority w:val="10"/>
    <w:qFormat/>
    <w:rsid w:val="002626DB"/>
    <w:pPr>
      <w:ind w:left="1134" w:hanging="357"/>
    </w:pPr>
  </w:style>
  <w:style w:type="character" w:customStyle="1" w:styleId="TableChar">
    <w:name w:val="Table Char"/>
    <w:basedOn w:val="Absatz-Standardschriftart"/>
    <w:link w:val="Table"/>
    <w:locked/>
    <w:rsid w:val="000B0009"/>
    <w:rPr>
      <w:color w:val="000000" w:themeColor="text1"/>
      <w:sz w:val="20"/>
      <w:szCs w:val="24"/>
    </w:rPr>
  </w:style>
  <w:style w:type="paragraph" w:customStyle="1" w:styleId="Table">
    <w:name w:val="Table"/>
    <w:basedOn w:val="Standard"/>
    <w:link w:val="TableChar"/>
    <w:qFormat/>
    <w:rsid w:val="000B0009"/>
    <w:pPr>
      <w:spacing w:after="0"/>
    </w:pPr>
    <w:rPr>
      <w:color w:val="000000" w:themeColor="text1"/>
      <w:sz w:val="20"/>
      <w:szCs w:val="24"/>
      <w:lang w:val="de-DE"/>
    </w:rPr>
  </w:style>
  <w:style w:type="character" w:customStyle="1" w:styleId="berschrift5Zchn">
    <w:name w:val="Überschrift 5 Zchn"/>
    <w:basedOn w:val="Absatz-Standardschriftart"/>
    <w:link w:val="berschrift5"/>
    <w:uiPriority w:val="9"/>
    <w:semiHidden/>
    <w:rsid w:val="000B0009"/>
    <w:rPr>
      <w:rFonts w:asciiTheme="majorHAnsi" w:eastAsiaTheme="majorEastAsia" w:hAnsiTheme="majorHAnsi" w:cstheme="majorBidi"/>
      <w:color w:val="2E74B5" w:themeColor="accent1" w:themeShade="BF"/>
      <w:lang w:val="en-GB"/>
    </w:rPr>
  </w:style>
  <w:style w:type="character" w:customStyle="1" w:styleId="ListenabsatzZchn">
    <w:name w:val="Listenabsatz Zchn"/>
    <w:basedOn w:val="Absatz-Standardschriftart"/>
    <w:link w:val="Listenabsatz"/>
    <w:uiPriority w:val="34"/>
    <w:locked/>
    <w:rsid w:val="0033012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172">
      <w:bodyDiv w:val="1"/>
      <w:marLeft w:val="0"/>
      <w:marRight w:val="0"/>
      <w:marTop w:val="0"/>
      <w:marBottom w:val="0"/>
      <w:divBdr>
        <w:top w:val="none" w:sz="0" w:space="0" w:color="auto"/>
        <w:left w:val="none" w:sz="0" w:space="0" w:color="auto"/>
        <w:bottom w:val="none" w:sz="0" w:space="0" w:color="auto"/>
        <w:right w:val="none" w:sz="0" w:space="0" w:color="auto"/>
      </w:divBdr>
    </w:div>
    <w:div w:id="144206336">
      <w:bodyDiv w:val="1"/>
      <w:marLeft w:val="0"/>
      <w:marRight w:val="0"/>
      <w:marTop w:val="0"/>
      <w:marBottom w:val="0"/>
      <w:divBdr>
        <w:top w:val="none" w:sz="0" w:space="0" w:color="auto"/>
        <w:left w:val="none" w:sz="0" w:space="0" w:color="auto"/>
        <w:bottom w:val="none" w:sz="0" w:space="0" w:color="auto"/>
        <w:right w:val="none" w:sz="0" w:space="0" w:color="auto"/>
      </w:divBdr>
    </w:div>
    <w:div w:id="173960383">
      <w:bodyDiv w:val="1"/>
      <w:marLeft w:val="0"/>
      <w:marRight w:val="0"/>
      <w:marTop w:val="0"/>
      <w:marBottom w:val="0"/>
      <w:divBdr>
        <w:top w:val="none" w:sz="0" w:space="0" w:color="auto"/>
        <w:left w:val="none" w:sz="0" w:space="0" w:color="auto"/>
        <w:bottom w:val="none" w:sz="0" w:space="0" w:color="auto"/>
        <w:right w:val="none" w:sz="0" w:space="0" w:color="auto"/>
      </w:divBdr>
    </w:div>
    <w:div w:id="176892677">
      <w:bodyDiv w:val="1"/>
      <w:marLeft w:val="0"/>
      <w:marRight w:val="0"/>
      <w:marTop w:val="0"/>
      <w:marBottom w:val="0"/>
      <w:divBdr>
        <w:top w:val="none" w:sz="0" w:space="0" w:color="auto"/>
        <w:left w:val="none" w:sz="0" w:space="0" w:color="auto"/>
        <w:bottom w:val="none" w:sz="0" w:space="0" w:color="auto"/>
        <w:right w:val="none" w:sz="0" w:space="0" w:color="auto"/>
      </w:divBdr>
    </w:div>
    <w:div w:id="278144791">
      <w:bodyDiv w:val="1"/>
      <w:marLeft w:val="0"/>
      <w:marRight w:val="0"/>
      <w:marTop w:val="0"/>
      <w:marBottom w:val="0"/>
      <w:divBdr>
        <w:top w:val="none" w:sz="0" w:space="0" w:color="auto"/>
        <w:left w:val="none" w:sz="0" w:space="0" w:color="auto"/>
        <w:bottom w:val="none" w:sz="0" w:space="0" w:color="auto"/>
        <w:right w:val="none" w:sz="0" w:space="0" w:color="auto"/>
      </w:divBdr>
    </w:div>
    <w:div w:id="383483364">
      <w:bodyDiv w:val="1"/>
      <w:marLeft w:val="0"/>
      <w:marRight w:val="0"/>
      <w:marTop w:val="0"/>
      <w:marBottom w:val="0"/>
      <w:divBdr>
        <w:top w:val="none" w:sz="0" w:space="0" w:color="auto"/>
        <w:left w:val="none" w:sz="0" w:space="0" w:color="auto"/>
        <w:bottom w:val="none" w:sz="0" w:space="0" w:color="auto"/>
        <w:right w:val="none" w:sz="0" w:space="0" w:color="auto"/>
      </w:divBdr>
    </w:div>
    <w:div w:id="466124700">
      <w:bodyDiv w:val="1"/>
      <w:marLeft w:val="0"/>
      <w:marRight w:val="0"/>
      <w:marTop w:val="0"/>
      <w:marBottom w:val="0"/>
      <w:divBdr>
        <w:top w:val="none" w:sz="0" w:space="0" w:color="auto"/>
        <w:left w:val="none" w:sz="0" w:space="0" w:color="auto"/>
        <w:bottom w:val="none" w:sz="0" w:space="0" w:color="auto"/>
        <w:right w:val="none" w:sz="0" w:space="0" w:color="auto"/>
      </w:divBdr>
    </w:div>
    <w:div w:id="604504835">
      <w:bodyDiv w:val="1"/>
      <w:marLeft w:val="0"/>
      <w:marRight w:val="0"/>
      <w:marTop w:val="0"/>
      <w:marBottom w:val="0"/>
      <w:divBdr>
        <w:top w:val="none" w:sz="0" w:space="0" w:color="auto"/>
        <w:left w:val="none" w:sz="0" w:space="0" w:color="auto"/>
        <w:bottom w:val="none" w:sz="0" w:space="0" w:color="auto"/>
        <w:right w:val="none" w:sz="0" w:space="0" w:color="auto"/>
      </w:divBdr>
    </w:div>
    <w:div w:id="712268912">
      <w:bodyDiv w:val="1"/>
      <w:marLeft w:val="0"/>
      <w:marRight w:val="0"/>
      <w:marTop w:val="0"/>
      <w:marBottom w:val="0"/>
      <w:divBdr>
        <w:top w:val="none" w:sz="0" w:space="0" w:color="auto"/>
        <w:left w:val="none" w:sz="0" w:space="0" w:color="auto"/>
        <w:bottom w:val="none" w:sz="0" w:space="0" w:color="auto"/>
        <w:right w:val="none" w:sz="0" w:space="0" w:color="auto"/>
      </w:divBdr>
    </w:div>
    <w:div w:id="734157846">
      <w:bodyDiv w:val="1"/>
      <w:marLeft w:val="0"/>
      <w:marRight w:val="0"/>
      <w:marTop w:val="0"/>
      <w:marBottom w:val="0"/>
      <w:divBdr>
        <w:top w:val="none" w:sz="0" w:space="0" w:color="auto"/>
        <w:left w:val="none" w:sz="0" w:space="0" w:color="auto"/>
        <w:bottom w:val="none" w:sz="0" w:space="0" w:color="auto"/>
        <w:right w:val="none" w:sz="0" w:space="0" w:color="auto"/>
      </w:divBdr>
    </w:div>
    <w:div w:id="743139327">
      <w:bodyDiv w:val="1"/>
      <w:marLeft w:val="0"/>
      <w:marRight w:val="0"/>
      <w:marTop w:val="0"/>
      <w:marBottom w:val="0"/>
      <w:divBdr>
        <w:top w:val="none" w:sz="0" w:space="0" w:color="auto"/>
        <w:left w:val="none" w:sz="0" w:space="0" w:color="auto"/>
        <w:bottom w:val="none" w:sz="0" w:space="0" w:color="auto"/>
        <w:right w:val="none" w:sz="0" w:space="0" w:color="auto"/>
      </w:divBdr>
    </w:div>
    <w:div w:id="790396257">
      <w:bodyDiv w:val="1"/>
      <w:marLeft w:val="0"/>
      <w:marRight w:val="0"/>
      <w:marTop w:val="0"/>
      <w:marBottom w:val="0"/>
      <w:divBdr>
        <w:top w:val="none" w:sz="0" w:space="0" w:color="auto"/>
        <w:left w:val="none" w:sz="0" w:space="0" w:color="auto"/>
        <w:bottom w:val="none" w:sz="0" w:space="0" w:color="auto"/>
        <w:right w:val="none" w:sz="0" w:space="0" w:color="auto"/>
      </w:divBdr>
    </w:div>
    <w:div w:id="971908845">
      <w:bodyDiv w:val="1"/>
      <w:marLeft w:val="0"/>
      <w:marRight w:val="0"/>
      <w:marTop w:val="0"/>
      <w:marBottom w:val="0"/>
      <w:divBdr>
        <w:top w:val="none" w:sz="0" w:space="0" w:color="auto"/>
        <w:left w:val="none" w:sz="0" w:space="0" w:color="auto"/>
        <w:bottom w:val="none" w:sz="0" w:space="0" w:color="auto"/>
        <w:right w:val="none" w:sz="0" w:space="0" w:color="auto"/>
      </w:divBdr>
    </w:div>
    <w:div w:id="1063874097">
      <w:bodyDiv w:val="1"/>
      <w:marLeft w:val="0"/>
      <w:marRight w:val="0"/>
      <w:marTop w:val="0"/>
      <w:marBottom w:val="0"/>
      <w:divBdr>
        <w:top w:val="none" w:sz="0" w:space="0" w:color="auto"/>
        <w:left w:val="none" w:sz="0" w:space="0" w:color="auto"/>
        <w:bottom w:val="none" w:sz="0" w:space="0" w:color="auto"/>
        <w:right w:val="none" w:sz="0" w:space="0" w:color="auto"/>
      </w:divBdr>
    </w:div>
    <w:div w:id="1196843736">
      <w:bodyDiv w:val="1"/>
      <w:marLeft w:val="0"/>
      <w:marRight w:val="0"/>
      <w:marTop w:val="0"/>
      <w:marBottom w:val="0"/>
      <w:divBdr>
        <w:top w:val="none" w:sz="0" w:space="0" w:color="auto"/>
        <w:left w:val="none" w:sz="0" w:space="0" w:color="auto"/>
        <w:bottom w:val="none" w:sz="0" w:space="0" w:color="auto"/>
        <w:right w:val="none" w:sz="0" w:space="0" w:color="auto"/>
      </w:divBdr>
    </w:div>
    <w:div w:id="1387335316">
      <w:bodyDiv w:val="1"/>
      <w:marLeft w:val="0"/>
      <w:marRight w:val="0"/>
      <w:marTop w:val="0"/>
      <w:marBottom w:val="0"/>
      <w:divBdr>
        <w:top w:val="none" w:sz="0" w:space="0" w:color="auto"/>
        <w:left w:val="none" w:sz="0" w:space="0" w:color="auto"/>
        <w:bottom w:val="none" w:sz="0" w:space="0" w:color="auto"/>
        <w:right w:val="none" w:sz="0" w:space="0" w:color="auto"/>
      </w:divBdr>
    </w:div>
    <w:div w:id="1515143750">
      <w:bodyDiv w:val="1"/>
      <w:marLeft w:val="0"/>
      <w:marRight w:val="0"/>
      <w:marTop w:val="0"/>
      <w:marBottom w:val="0"/>
      <w:divBdr>
        <w:top w:val="none" w:sz="0" w:space="0" w:color="auto"/>
        <w:left w:val="none" w:sz="0" w:space="0" w:color="auto"/>
        <w:bottom w:val="none" w:sz="0" w:space="0" w:color="auto"/>
        <w:right w:val="none" w:sz="0" w:space="0" w:color="auto"/>
      </w:divBdr>
    </w:div>
    <w:div w:id="1647275053">
      <w:bodyDiv w:val="1"/>
      <w:marLeft w:val="0"/>
      <w:marRight w:val="0"/>
      <w:marTop w:val="0"/>
      <w:marBottom w:val="0"/>
      <w:divBdr>
        <w:top w:val="none" w:sz="0" w:space="0" w:color="auto"/>
        <w:left w:val="none" w:sz="0" w:space="0" w:color="auto"/>
        <w:bottom w:val="none" w:sz="0" w:space="0" w:color="auto"/>
        <w:right w:val="none" w:sz="0" w:space="0" w:color="auto"/>
      </w:divBdr>
    </w:div>
    <w:div w:id="1781490801">
      <w:bodyDiv w:val="1"/>
      <w:marLeft w:val="0"/>
      <w:marRight w:val="0"/>
      <w:marTop w:val="0"/>
      <w:marBottom w:val="0"/>
      <w:divBdr>
        <w:top w:val="none" w:sz="0" w:space="0" w:color="auto"/>
        <w:left w:val="none" w:sz="0" w:space="0" w:color="auto"/>
        <w:bottom w:val="none" w:sz="0" w:space="0" w:color="auto"/>
        <w:right w:val="none" w:sz="0" w:space="0" w:color="auto"/>
      </w:divBdr>
    </w:div>
    <w:div w:id="17933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drugfuture.com/Pharmacopoeia/EP7/DATA/0150E.PDF" TargetMode="External"/><Relationship Id="rId1" Type="http://schemas.openxmlformats.org/officeDocument/2006/relationships/hyperlink" Target="http://www.tio2sympos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4" ma:contentTypeDescription="Ein neues Dokument erstellen." ma:contentTypeScope="" ma:versionID="815a0b03eb11fa43ae3d0109f1cb05c2">
  <xsd:schema xmlns:xsd="http://www.w3.org/2001/XMLSchema" xmlns:xs="http://www.w3.org/2001/XMLSchema" xmlns:p="http://schemas.microsoft.com/office/2006/metadata/properties" xmlns:ns2="8cea201b-f78e-4710-bb37-675106f3d11b" targetNamespace="http://schemas.microsoft.com/office/2006/metadata/properties" ma:root="true" ma:fieldsID="8befc38ed12f8888e5e8e62c16f1026f" ns2:_="">
    <xsd:import namespace="8cea201b-f78e-4710-bb37-675106f3d11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8E5F3-4F3E-41A5-A3D4-5B32FF0EE4AB}"/>
</file>

<file path=customXml/itemProps2.xml><?xml version="1.0" encoding="utf-8"?>
<ds:datastoreItem xmlns:ds="http://schemas.openxmlformats.org/officeDocument/2006/customXml" ds:itemID="{44D82714-E536-4B47-81E7-9DEBE10AAD50}"/>
</file>

<file path=customXml/itemProps3.xml><?xml version="1.0" encoding="utf-8"?>
<ds:datastoreItem xmlns:ds="http://schemas.openxmlformats.org/officeDocument/2006/customXml" ds:itemID="{3BDDB9F9-0DA0-4B14-BD4D-ADC6E476B21E}"/>
</file>

<file path=docProps/app.xml><?xml version="1.0" encoding="utf-8"?>
<Properties xmlns="http://schemas.openxmlformats.org/officeDocument/2006/extended-properties" xmlns:vt="http://schemas.openxmlformats.org/officeDocument/2006/docPropsVTypes">
  <Template>Normal</Template>
  <TotalTime>0</TotalTime>
  <Pages>39</Pages>
  <Words>12301</Words>
  <Characters>77503</Characters>
  <Application>Microsoft Office Word</Application>
  <DocSecurity>0</DocSecurity>
  <Lines>645</Lines>
  <Paragraphs>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Wollersen</dc:creator>
  <cp:keywords/>
  <dc:description/>
  <cp:lastModifiedBy>Heike Wollersen</cp:lastModifiedBy>
  <cp:revision>2</cp:revision>
  <dcterms:created xsi:type="dcterms:W3CDTF">2016-12-27T14:54:00Z</dcterms:created>
  <dcterms:modified xsi:type="dcterms:W3CDTF">2016-12-27T14:54:00Z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