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1A390" w14:textId="77777777" w:rsidR="00E36ACD" w:rsidRDefault="00726A31">
      <w:r w:rsidRPr="00726A31">
        <w:t>pta: Erste Kommentare zum Entwurf des Frage- und Antwortpapiers zur Guideline on setting health based exposure limits</w:t>
      </w:r>
    </w:p>
    <w:p w14:paraId="263C7CEB" w14:textId="77777777" w:rsidR="00726A31" w:rsidRDefault="00726A31"/>
    <w:p w14:paraId="79910049" w14:textId="77777777" w:rsidR="00726A31" w:rsidRPr="00726A31" w:rsidRDefault="00726A31" w:rsidP="00726A31">
      <w:r w:rsidRPr="00726A31">
        <w:t>Sehr geehrte Damen und Herren,</w:t>
      </w:r>
    </w:p>
    <w:p w14:paraId="4AC4E435" w14:textId="77777777" w:rsidR="00726A31" w:rsidRPr="00726A31" w:rsidRDefault="00726A31" w:rsidP="00726A31"/>
    <w:p w14:paraId="7E73B079" w14:textId="77777777" w:rsidR="00726A31" w:rsidRPr="00726A31" w:rsidRDefault="00726A31" w:rsidP="00726A31">
      <w:r w:rsidRPr="00726A31">
        <w:t xml:space="preserve">wir haben bereits erste Kommentare zum </w:t>
      </w:r>
      <w:r w:rsidRPr="00726A31">
        <w:rPr>
          <w:b/>
          <w:bCs/>
        </w:rPr>
        <w:t>Entwurf des Frage- und Antwortpapiers zur Guideline on setting health based exposure limits</w:t>
      </w:r>
      <w:r w:rsidRPr="00726A31">
        <w:t xml:space="preserve"> (siehe Email unten) erhalten, welche ich Ihnen nachfolgend als Vorbereitung für unsere Sitzung im März schicken möchte.</w:t>
      </w:r>
    </w:p>
    <w:p w14:paraId="37460F63" w14:textId="77777777" w:rsidR="00726A31" w:rsidRPr="00726A31" w:rsidRDefault="00726A31" w:rsidP="00726A31">
      <w:r w:rsidRPr="00726A31">
        <w:t>Den Entwurf des Frage- und Antwortpapiers finden Sie als Anlage.</w:t>
      </w:r>
    </w:p>
    <w:p w14:paraId="15C92581" w14:textId="77777777" w:rsidR="00726A31" w:rsidRPr="00726A31" w:rsidRDefault="00726A31" w:rsidP="00726A31"/>
    <w:p w14:paraId="60B085DA" w14:textId="77777777" w:rsidR="00726A31" w:rsidRPr="00726A31" w:rsidRDefault="00726A31" w:rsidP="00726A31">
      <w:pPr>
        <w:numPr>
          <w:ilvl w:val="0"/>
          <w:numId w:val="1"/>
        </w:numPr>
        <w:rPr>
          <w:lang w:val="en-US"/>
        </w:rPr>
      </w:pPr>
      <w:r w:rsidRPr="00726A31">
        <w:rPr>
          <w:lang w:val="en-US"/>
        </w:rPr>
        <w:t>Antwort zu Q2, Nr. 5: “Compounds with a high sensitising potential.”</w:t>
      </w:r>
    </w:p>
    <w:p w14:paraId="6F0BDAAD" w14:textId="77777777" w:rsidR="00726A31" w:rsidRPr="00726A31" w:rsidRDefault="00726A31" w:rsidP="00726A31">
      <w:pPr>
        <w:numPr>
          <w:ilvl w:val="1"/>
          <w:numId w:val="1"/>
        </w:numPr>
      </w:pPr>
      <w:r w:rsidRPr="00726A31">
        <w:t>Eine Definition oder Beispiele für diese Art der „compounds“ wäre hilfreich. Bei Nr. 1-4 werden jeweils Beispiele angeführt, nur unter 5. nicht.</w:t>
      </w:r>
    </w:p>
    <w:p w14:paraId="34D120ED" w14:textId="77777777" w:rsidR="00726A31" w:rsidRPr="00726A31" w:rsidRDefault="00726A31" w:rsidP="00726A31"/>
    <w:p w14:paraId="55E8E429" w14:textId="77777777" w:rsidR="00726A31" w:rsidRPr="00726A31" w:rsidRDefault="00726A31" w:rsidP="00726A31">
      <w:pPr>
        <w:numPr>
          <w:ilvl w:val="0"/>
          <w:numId w:val="1"/>
        </w:numPr>
        <w:rPr>
          <w:lang w:val="en-US"/>
        </w:rPr>
      </w:pPr>
      <w:r w:rsidRPr="00726A31">
        <w:rPr>
          <w:lang w:val="en-US"/>
        </w:rPr>
        <w:t>Antwort zu Q6: “[…] it is not intended to be used to set cleaning limits at the level of the calculated HBEL […] The cleaning limits should continue to be based via risk assessment and additional safety margins to help account for uncertainty in the cleaning processes and analytical variability.”</w:t>
      </w:r>
    </w:p>
    <w:p w14:paraId="6285DE58" w14:textId="77777777" w:rsidR="00726A31" w:rsidRPr="00726A31" w:rsidRDefault="00726A31" w:rsidP="00726A31">
      <w:pPr>
        <w:numPr>
          <w:ilvl w:val="1"/>
          <w:numId w:val="1"/>
        </w:numPr>
      </w:pPr>
      <w:r w:rsidRPr="00726A31">
        <w:t>Wir sind dabei, das TTC-Konzept umzusetzen (wo möglich, ziehen wir aber auch PDE-Werte heran) und würden den TTC-Wert (z.B. 90 µg) dann als “cleaning limit” ansetzen – so wie wir bisher 10 ppm als cleaning limit angesetzt haben (also ohne weitere „safety margins“). So dürften wir laut diesem Papier offensichtlich aber nicht vorgehen. Für uns stellt sich die Frage, ob es nur bei sehr hohen Werten (wie es PDE-Werte ja durchaus sein können) nicht erlaubt ist, den HBEL als cleaning limit anzusetzen, oder ob das generell gilt. Muss zwingend ein Sicherheitsfaktor einbezogen werden, oder nur unter bestimmten Gegebenheiten? Wie kann der festgelegt werden?</w:t>
      </w:r>
    </w:p>
    <w:p w14:paraId="44AFD3EC" w14:textId="77777777" w:rsidR="00726A31" w:rsidRPr="00726A31" w:rsidRDefault="00726A31" w:rsidP="00726A31"/>
    <w:p w14:paraId="2861EB8A" w14:textId="77777777" w:rsidR="00726A31" w:rsidRPr="00726A31" w:rsidRDefault="00726A31" w:rsidP="00726A31">
      <w:pPr>
        <w:numPr>
          <w:ilvl w:val="0"/>
          <w:numId w:val="1"/>
        </w:numPr>
        <w:rPr>
          <w:lang w:val="en-US"/>
        </w:rPr>
      </w:pPr>
      <w:r w:rsidRPr="00726A31">
        <w:rPr>
          <w:lang w:val="en-US"/>
        </w:rPr>
        <w:t>Antwort zu Q6: “Traditional cleaning limits used by industry such as […] 10 ppm […] may accomplish this for non-highly hazardous products. For products classed as highly hazardous, […] cleaning limits should include safety factors beyond the HBEL and should not be higher than the traditional cleaning limits approach.”</w:t>
      </w:r>
    </w:p>
    <w:p w14:paraId="4F95C8B3" w14:textId="77777777" w:rsidR="00726A31" w:rsidRPr="00726A31" w:rsidRDefault="00726A31" w:rsidP="00726A31">
      <w:pPr>
        <w:numPr>
          <w:ilvl w:val="1"/>
          <w:numId w:val="1"/>
        </w:numPr>
      </w:pPr>
      <w:r w:rsidRPr="00726A31">
        <w:t>Auch hier ist wieder von “safety  factors” die Rede, diesmal allerdings nur im Zusammenhang mit highly hazardous products. Das Papier sollte hier konkreter werden, für welche Produkte safety factors einbezogen werden müssen und für welche nicht und wie diese festgelegt werden können (siehe oben).</w:t>
      </w:r>
    </w:p>
    <w:p w14:paraId="40416460" w14:textId="77777777" w:rsidR="00726A31" w:rsidRPr="00726A31" w:rsidRDefault="00726A31" w:rsidP="00726A31">
      <w:pPr>
        <w:numPr>
          <w:ilvl w:val="1"/>
          <w:numId w:val="1"/>
        </w:numPr>
        <w:rPr>
          <w:lang w:val="en-US"/>
        </w:rPr>
      </w:pPr>
      <w:r w:rsidRPr="00726A31">
        <w:t xml:space="preserve">Es soll nun also doch weiterhin möglich sein, das Akzeptanzkriterium 10 ppm heranzuziehen – jedoch unter bestimmten Voraussetzungen: bei non-highly hazardous products sind 10 ppm als Grenzwert generell in Ordnung, bei highly hazardous products darf das cleaning limit nicht größer als 10 ppm sein. Für uns stellt sich die Frage, ob zum jetzigen Zeitpunkt, da die EMA-Guideline bereits in vielen Firmen umgesetzt ist oder sich in der Umsetzung befindet, tatsächlich noch an den 10 ppm (und dem 1/1000-Dosiskriterium) festgehalten werden soll – zumal zwischenzeitlich sehr deutlich gesagt wurde, dass diese Akzeptanzkriterien obsolet seien und künftig nicht mehr akzeptiert </w:t>
      </w:r>
      <w:r w:rsidRPr="00726A31">
        <w:lastRenderedPageBreak/>
        <w:t xml:space="preserve">würden. Außerdem steht es im Widerspruch zur Antwort auf Q1, in der es heißt: „[…] </w:t>
      </w:r>
      <w:r w:rsidRPr="00726A31">
        <w:rPr>
          <w:lang w:val="en-US"/>
        </w:rPr>
        <w:t xml:space="preserve">HBELs should be established </w:t>
      </w:r>
      <w:r w:rsidRPr="00726A31">
        <w:rPr>
          <w:u w:val="single"/>
          <w:lang w:val="en-US"/>
        </w:rPr>
        <w:t>for all products</w:t>
      </w:r>
      <w:r w:rsidRPr="00726A31">
        <w:rPr>
          <w:lang w:val="en-US"/>
        </w:rPr>
        <w:t>.“ à also egal, ob highly hazardous oder non-highly hazardous.</w:t>
      </w:r>
    </w:p>
    <w:p w14:paraId="27B49F8D" w14:textId="77777777" w:rsidR="00726A31" w:rsidRPr="00726A31" w:rsidRDefault="00726A31" w:rsidP="00726A31">
      <w:pPr>
        <w:rPr>
          <w:lang w:val="en-US"/>
        </w:rPr>
      </w:pPr>
    </w:p>
    <w:p w14:paraId="5759B48B" w14:textId="77777777" w:rsidR="00726A31" w:rsidRPr="00726A31" w:rsidRDefault="00726A31" w:rsidP="00726A31">
      <w:pPr>
        <w:rPr>
          <w:lang w:val="en-US"/>
        </w:rPr>
      </w:pPr>
    </w:p>
    <w:p w14:paraId="27702DE9" w14:textId="77777777" w:rsidR="00726A31" w:rsidRPr="00726A31" w:rsidRDefault="00726A31" w:rsidP="00726A31">
      <w:pPr>
        <w:rPr>
          <w:lang w:val="en-US"/>
        </w:rPr>
      </w:pPr>
    </w:p>
    <w:p w14:paraId="159E0F53" w14:textId="77777777" w:rsidR="00726A31" w:rsidRPr="00726A31" w:rsidRDefault="00726A31" w:rsidP="00726A31">
      <w:r w:rsidRPr="00726A31">
        <w:t>Mit freundlichen Grüßen</w:t>
      </w:r>
    </w:p>
    <w:p w14:paraId="6BBEA829" w14:textId="77777777" w:rsidR="00726A31" w:rsidRPr="00726A31" w:rsidRDefault="00726A31" w:rsidP="00726A31">
      <w:r w:rsidRPr="00726A31">
        <w:t>Daniela Allhenn</w:t>
      </w:r>
    </w:p>
    <w:p w14:paraId="0C4611E7" w14:textId="77777777" w:rsidR="00726A31" w:rsidRPr="00726A31" w:rsidRDefault="00726A31" w:rsidP="00726A31">
      <w:r w:rsidRPr="00726A31">
        <w:br/>
        <w:t>Dr. Daniela Allhenn</w:t>
      </w:r>
    </w:p>
    <w:p w14:paraId="772978B2" w14:textId="77777777" w:rsidR="00726A31" w:rsidRPr="00726A31" w:rsidRDefault="00726A31" w:rsidP="00726A31">
      <w:r w:rsidRPr="00726A31">
        <w:t> </w:t>
      </w:r>
    </w:p>
    <w:p w14:paraId="0D084432" w14:textId="77777777" w:rsidR="00726A31" w:rsidRPr="00726A31" w:rsidRDefault="00726A31" w:rsidP="00726A31">
      <w:r w:rsidRPr="00726A31">
        <w:t>Referentin Pharmazeutische Technologie/ GMP</w:t>
      </w:r>
    </w:p>
    <w:p w14:paraId="112CEBA3" w14:textId="77777777" w:rsidR="00726A31" w:rsidRPr="00726A31" w:rsidRDefault="00726A31" w:rsidP="00726A31">
      <w:r w:rsidRPr="00726A31">
        <w:t>Abteilung Pharmazeutische Technologie und Medizinprodukte</w:t>
      </w:r>
    </w:p>
    <w:p w14:paraId="03588BE8" w14:textId="77777777" w:rsidR="00726A31" w:rsidRDefault="00726A31">
      <w:bookmarkStart w:id="0" w:name="_GoBack"/>
      <w:bookmarkEnd w:id="0"/>
    </w:p>
    <w:sectPr w:rsidR="00726A3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D5715"/>
    <w:multiLevelType w:val="hybridMultilevel"/>
    <w:tmpl w:val="8EFCC4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31"/>
    <w:rsid w:val="00346B2A"/>
    <w:rsid w:val="00726A31"/>
    <w:rsid w:val="00E36A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7BAE"/>
  <w15:chartTrackingRefBased/>
  <w15:docId w15:val="{369C179F-DEFC-4420-95E4-59B6E942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sid w:val="00346B2A"/>
    <w:pPr>
      <w:spacing w:after="0" w:line="240" w:lineRule="auto"/>
    </w:pPr>
    <w:rPr>
      <w:rFonts w:ascii="Arial" w:hAnsi="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0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4" ma:contentTypeDescription="Ein neues Dokument erstellen." ma:contentTypeScope="" ma:versionID="815a0b03eb11fa43ae3d0109f1cb05c2">
  <xsd:schema xmlns:xsd="http://www.w3.org/2001/XMLSchema" xmlns:xs="http://www.w3.org/2001/XMLSchema" xmlns:p="http://schemas.microsoft.com/office/2006/metadata/properties" xmlns:ns2="8cea201b-f78e-4710-bb37-675106f3d11b" targetNamespace="http://schemas.microsoft.com/office/2006/metadata/properties" ma:root="true" ma:fieldsID="8befc38ed12f8888e5e8e62c16f1026f" ns2:_="">
    <xsd:import namespace="8cea201b-f78e-4710-bb37-675106f3d11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1BE1DC-4AD7-43F5-8B8C-6C90CDFF8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A2ED07-78CE-47C7-A036-7610B7370DFC}">
  <ds:schemaRefs>
    <ds:schemaRef ds:uri="http://schemas.microsoft.com/sharepoint/v3/contenttype/forms"/>
  </ds:schemaRefs>
</ds:datastoreItem>
</file>

<file path=customXml/itemProps3.xml><?xml version="1.0" encoding="utf-8"?>
<ds:datastoreItem xmlns:ds="http://schemas.openxmlformats.org/officeDocument/2006/customXml" ds:itemID="{FD386BD5-311A-492C-AD5E-AD7B6D6799A4}">
  <ds:schemaRefs>
    <ds:schemaRef ds:uri="http://purl.org/dc/dcmitype/"/>
    <ds:schemaRef ds:uri="http://schemas.microsoft.com/office/2006/documentManagement/types"/>
    <ds:schemaRef ds:uri="8cea201b-f78e-4710-bb37-675106f3d11b"/>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2837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2017-02-20T09:46:00Z</dcterms:created>
  <dcterms:modified xsi:type="dcterms:W3CDTF">2017-02-20T09:47:00Z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