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25D31" w14:textId="77777777" w:rsidR="00425E93" w:rsidRDefault="00425E93" w:rsidP="00425E93">
      <w:pPr>
        <w:spacing w:line="360" w:lineRule="auto"/>
        <w:jc w:val="both"/>
        <w:rPr>
          <w:lang w:val="en-US"/>
        </w:rPr>
      </w:pPr>
      <w:bookmarkStart w:id="0" w:name="_GoBack"/>
      <w:bookmarkEnd w:id="0"/>
      <w:r w:rsidRPr="002E54FD">
        <w:rPr>
          <w:b/>
          <w:noProof/>
          <w:lang w:eastAsia="de-DE"/>
        </w:rPr>
        <w:drawing>
          <wp:anchor distT="0" distB="0" distL="114300" distR="114300" simplePos="0" relativeHeight="251659264" behindDoc="0" locked="0" layoutInCell="1" allowOverlap="1" wp14:anchorId="1524C523" wp14:editId="3EAB952C">
            <wp:simplePos x="0" y="0"/>
            <wp:positionH relativeFrom="column">
              <wp:posOffset>1773291</wp:posOffset>
            </wp:positionH>
            <wp:positionV relativeFrom="paragraph">
              <wp:posOffset>0</wp:posOffset>
            </wp:positionV>
            <wp:extent cx="1558800" cy="414000"/>
            <wp:effectExtent l="0" t="0" r="3810" b="5715"/>
            <wp:wrapNone/>
            <wp:docPr id="1" name="Grafik 1" descr="H:\_Allgemein\InfoOrga\Neues Corporate Design\Logos\B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_Allgemein\InfoOrga\Neues Corporate Design\Logos\BAH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8800" cy="41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4E0667" w14:textId="77777777" w:rsidR="00425E93" w:rsidRDefault="00425E93" w:rsidP="00425E93">
      <w:pPr>
        <w:spacing w:line="360" w:lineRule="auto"/>
        <w:jc w:val="both"/>
        <w:rPr>
          <w:lang w:val="en-US"/>
        </w:rPr>
      </w:pPr>
    </w:p>
    <w:p w14:paraId="29F6B480" w14:textId="77777777" w:rsidR="0018785B" w:rsidRDefault="0018785B" w:rsidP="00425E93">
      <w:pPr>
        <w:spacing w:line="360" w:lineRule="auto"/>
        <w:jc w:val="both"/>
        <w:rPr>
          <w:lang w:val="en-US"/>
        </w:rPr>
      </w:pPr>
    </w:p>
    <w:p w14:paraId="78776631" w14:textId="77777777" w:rsidR="0018785B" w:rsidRDefault="0018785B" w:rsidP="00425E93">
      <w:pPr>
        <w:spacing w:line="360" w:lineRule="auto"/>
        <w:jc w:val="both"/>
        <w:rPr>
          <w:lang w:val="en-US"/>
        </w:rPr>
      </w:pPr>
    </w:p>
    <w:p w14:paraId="6D26AB48" w14:textId="77777777" w:rsidR="003F476D" w:rsidRDefault="003F476D" w:rsidP="00425E93">
      <w:pPr>
        <w:spacing w:line="360" w:lineRule="auto"/>
        <w:jc w:val="both"/>
        <w:rPr>
          <w:lang w:val="en-US"/>
        </w:rPr>
      </w:pPr>
    </w:p>
    <w:p w14:paraId="4E5882F2" w14:textId="7A7F3980" w:rsidR="00425E93" w:rsidRPr="005444C4" w:rsidRDefault="00CB7166" w:rsidP="00425E93">
      <w:pPr>
        <w:jc w:val="both"/>
        <w:rPr>
          <w:rFonts w:ascii="Arial" w:hAnsi="Arial" w:cs="Arial"/>
          <w:b/>
          <w:sz w:val="24"/>
          <w:szCs w:val="24"/>
          <w:u w:val="single"/>
          <w:lang w:val="en-US"/>
        </w:rPr>
      </w:pPr>
      <w:r w:rsidRPr="005444C4">
        <w:rPr>
          <w:rFonts w:ascii="Arial" w:hAnsi="Arial" w:cs="Arial"/>
          <w:b/>
          <w:sz w:val="24"/>
          <w:szCs w:val="24"/>
          <w:u w:val="single"/>
          <w:lang w:val="en-US"/>
        </w:rPr>
        <w:t xml:space="preserve">Comments </w:t>
      </w:r>
      <w:r w:rsidR="00C004E1" w:rsidRPr="005444C4">
        <w:rPr>
          <w:rFonts w:ascii="Arial" w:hAnsi="Arial" w:cs="Arial"/>
          <w:b/>
          <w:sz w:val="24"/>
          <w:szCs w:val="24"/>
          <w:u w:val="single"/>
          <w:lang w:val="en-US"/>
        </w:rPr>
        <w:t xml:space="preserve">of the German Medicines Manufacturers Association </w:t>
      </w:r>
      <w:r w:rsidR="000B7726" w:rsidRPr="005444C4">
        <w:rPr>
          <w:rFonts w:ascii="Arial" w:hAnsi="Arial" w:cs="Arial"/>
          <w:b/>
          <w:sz w:val="24"/>
          <w:szCs w:val="24"/>
          <w:u w:val="single"/>
          <w:lang w:val="en-US"/>
        </w:rPr>
        <w:t xml:space="preserve">on dossiers proposing </w:t>
      </w:r>
      <w:proofErr w:type="spellStart"/>
      <w:r w:rsidR="000B7726" w:rsidRPr="005444C4">
        <w:rPr>
          <w:rFonts w:ascii="Arial" w:hAnsi="Arial" w:cs="Arial"/>
          <w:b/>
          <w:sz w:val="24"/>
          <w:szCs w:val="24"/>
          <w:u w:val="single"/>
          <w:lang w:val="en-US"/>
        </w:rPr>
        <w:t>harmonised</w:t>
      </w:r>
      <w:proofErr w:type="spellEnd"/>
      <w:r w:rsidR="000B7726" w:rsidRPr="005444C4">
        <w:rPr>
          <w:rFonts w:ascii="Arial" w:hAnsi="Arial" w:cs="Arial"/>
          <w:b/>
          <w:sz w:val="24"/>
          <w:szCs w:val="24"/>
          <w:u w:val="single"/>
          <w:lang w:val="en-US"/>
        </w:rPr>
        <w:t xml:space="preserve"> classification and labelling of substances</w:t>
      </w:r>
      <w:r w:rsidR="0018785B" w:rsidRPr="005444C4">
        <w:rPr>
          <w:rFonts w:ascii="Arial" w:hAnsi="Arial" w:cs="Arial"/>
          <w:b/>
          <w:sz w:val="24"/>
          <w:szCs w:val="24"/>
          <w:u w:val="single"/>
          <w:lang w:val="en-US"/>
        </w:rPr>
        <w:t xml:space="preserve"> (Titanium dioxide)</w:t>
      </w:r>
    </w:p>
    <w:p w14:paraId="589F9E60" w14:textId="77777777" w:rsidR="00F131D8" w:rsidRPr="0018785B" w:rsidRDefault="00F131D8" w:rsidP="00425E93">
      <w:pPr>
        <w:jc w:val="both"/>
        <w:rPr>
          <w:rFonts w:ascii="Arial" w:hAnsi="Arial" w:cs="Arial"/>
          <w:b/>
          <w:u w:val="single"/>
          <w:lang w:val="en-US"/>
        </w:rPr>
      </w:pPr>
    </w:p>
    <w:p w14:paraId="5102C84A" w14:textId="6425AD26" w:rsidR="0018785B" w:rsidRPr="005A746C" w:rsidRDefault="005A746C" w:rsidP="00850C6F">
      <w:pPr>
        <w:jc w:val="both"/>
        <w:rPr>
          <w:rFonts w:ascii="Arial" w:hAnsi="Arial" w:cs="Arial"/>
          <w:lang w:val="en-US"/>
        </w:rPr>
      </w:pPr>
      <w:r w:rsidRPr="005A746C">
        <w:rPr>
          <w:rFonts w:ascii="Arial" w:hAnsi="Arial" w:cs="Arial"/>
          <w:lang w:val="en-US"/>
        </w:rPr>
        <w:t xml:space="preserve">The </w:t>
      </w:r>
      <w:r w:rsidR="008B2890" w:rsidRPr="005A746C">
        <w:rPr>
          <w:rFonts w:ascii="Arial" w:hAnsi="Arial" w:cs="Arial"/>
          <w:lang w:val="en-US"/>
        </w:rPr>
        <w:t xml:space="preserve">German Medicines Manufacturers‘ Association </w:t>
      </w:r>
      <w:r w:rsidR="008B2890">
        <w:rPr>
          <w:rFonts w:ascii="Arial" w:hAnsi="Arial" w:cs="Arial"/>
          <w:lang w:val="en-US"/>
        </w:rPr>
        <w:t>(</w:t>
      </w:r>
      <w:proofErr w:type="spellStart"/>
      <w:r w:rsidRPr="005A746C">
        <w:rPr>
          <w:rFonts w:ascii="Arial" w:hAnsi="Arial" w:cs="Arial"/>
          <w:lang w:val="en-US"/>
        </w:rPr>
        <w:t>Bundesverband</w:t>
      </w:r>
      <w:proofErr w:type="spellEnd"/>
      <w:r w:rsidRPr="005A746C">
        <w:rPr>
          <w:rFonts w:ascii="Arial" w:hAnsi="Arial" w:cs="Arial"/>
          <w:lang w:val="en-US"/>
        </w:rPr>
        <w:t xml:space="preserve"> der </w:t>
      </w:r>
      <w:proofErr w:type="spellStart"/>
      <w:r w:rsidRPr="005A746C">
        <w:rPr>
          <w:rFonts w:ascii="Arial" w:hAnsi="Arial" w:cs="Arial"/>
          <w:lang w:val="en-US"/>
        </w:rPr>
        <w:t>Arzneimittel-Hersteller</w:t>
      </w:r>
      <w:proofErr w:type="spellEnd"/>
      <w:r w:rsidRPr="005A746C">
        <w:rPr>
          <w:rFonts w:ascii="Arial" w:hAnsi="Arial" w:cs="Arial"/>
          <w:lang w:val="en-US"/>
        </w:rPr>
        <w:t xml:space="preserve"> </w:t>
      </w:r>
      <w:proofErr w:type="spellStart"/>
      <w:r w:rsidRPr="005A746C">
        <w:rPr>
          <w:rFonts w:ascii="Arial" w:hAnsi="Arial" w:cs="Arial"/>
          <w:lang w:val="en-US"/>
        </w:rPr>
        <w:t>e.V</w:t>
      </w:r>
      <w:proofErr w:type="spellEnd"/>
      <w:r w:rsidR="008B2890">
        <w:rPr>
          <w:rFonts w:ascii="Arial" w:hAnsi="Arial" w:cs="Arial"/>
          <w:lang w:val="en-US"/>
        </w:rPr>
        <w:t xml:space="preserve">., BAH) </w:t>
      </w:r>
      <w:r w:rsidRPr="005A746C">
        <w:rPr>
          <w:rFonts w:ascii="Arial" w:hAnsi="Arial" w:cs="Arial"/>
          <w:lang w:val="en-US"/>
        </w:rPr>
        <w:t xml:space="preserve">represents the interests of the pharmaceutical industry in Germany comprising international companies as well as local small and medium enterprises (SME). By company membership BAH is the leading trade </w:t>
      </w:r>
      <w:proofErr w:type="spellStart"/>
      <w:r w:rsidRPr="005A746C">
        <w:rPr>
          <w:rFonts w:ascii="Arial" w:hAnsi="Arial" w:cs="Arial"/>
          <w:lang w:val="en-US"/>
        </w:rPr>
        <w:t>organisation</w:t>
      </w:r>
      <w:proofErr w:type="spellEnd"/>
      <w:r w:rsidRPr="005A746C">
        <w:rPr>
          <w:rFonts w:ascii="Arial" w:hAnsi="Arial" w:cs="Arial"/>
          <w:lang w:val="en-US"/>
        </w:rPr>
        <w:t xml:space="preserve"> of the pharmaceutical industry in Germany.</w:t>
      </w:r>
    </w:p>
    <w:p w14:paraId="27F9E573" w14:textId="77777777" w:rsidR="00850C6F" w:rsidRPr="005A746C" w:rsidRDefault="00850C6F" w:rsidP="00425E93">
      <w:pPr>
        <w:jc w:val="both"/>
        <w:rPr>
          <w:lang w:val="en-US"/>
        </w:rPr>
      </w:pPr>
    </w:p>
    <w:p w14:paraId="34A45C79" w14:textId="3A8F753B" w:rsidR="00425E93" w:rsidRPr="005444C4" w:rsidRDefault="00CB7166" w:rsidP="00425E93">
      <w:pPr>
        <w:jc w:val="both"/>
        <w:rPr>
          <w:rStyle w:val="shorttext"/>
          <w:rFonts w:ascii="Arial" w:hAnsi="Arial" w:cs="Arial"/>
          <w:b/>
          <w:color w:val="222222"/>
          <w:sz w:val="24"/>
          <w:szCs w:val="24"/>
          <w:lang w:val="en"/>
        </w:rPr>
      </w:pPr>
      <w:r w:rsidRPr="005444C4">
        <w:rPr>
          <w:rStyle w:val="shorttext"/>
          <w:rFonts w:ascii="Arial" w:hAnsi="Arial" w:cs="Arial"/>
          <w:b/>
          <w:color w:val="222222"/>
          <w:sz w:val="24"/>
          <w:szCs w:val="24"/>
          <w:lang w:val="en"/>
        </w:rPr>
        <w:t xml:space="preserve">Properties and </w:t>
      </w:r>
      <w:r w:rsidR="00523E49" w:rsidRPr="005444C4">
        <w:rPr>
          <w:rStyle w:val="shorttext"/>
          <w:rFonts w:ascii="Arial" w:hAnsi="Arial" w:cs="Arial"/>
          <w:b/>
          <w:color w:val="222222"/>
          <w:sz w:val="24"/>
          <w:szCs w:val="24"/>
          <w:lang w:val="en"/>
        </w:rPr>
        <w:t>Applications of Titanium D</w:t>
      </w:r>
      <w:r w:rsidR="00425E93" w:rsidRPr="005444C4">
        <w:rPr>
          <w:rStyle w:val="shorttext"/>
          <w:rFonts w:ascii="Arial" w:hAnsi="Arial" w:cs="Arial"/>
          <w:b/>
          <w:color w:val="222222"/>
          <w:sz w:val="24"/>
          <w:szCs w:val="24"/>
          <w:lang w:val="en"/>
        </w:rPr>
        <w:t>ioxide</w:t>
      </w:r>
    </w:p>
    <w:p w14:paraId="207C70A4" w14:textId="397A07DC" w:rsidR="00FE6579" w:rsidRDefault="00425E93" w:rsidP="00850C6F">
      <w:pPr>
        <w:jc w:val="both"/>
        <w:rPr>
          <w:rStyle w:val="shorttext"/>
          <w:rFonts w:ascii="Arial" w:hAnsi="Arial" w:cs="Arial"/>
          <w:color w:val="222222"/>
          <w:lang w:val="en"/>
        </w:rPr>
      </w:pPr>
      <w:r>
        <w:rPr>
          <w:rFonts w:ascii="Arial" w:hAnsi="Arial" w:cs="Arial"/>
          <w:color w:val="222222"/>
          <w:lang w:val="en"/>
        </w:rPr>
        <w:t xml:space="preserve">Titanium dioxide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911ECC">
        <w:rPr>
          <w:rFonts w:ascii="Arial" w:hAnsi="Arial" w:cs="Arial"/>
          <w:color w:val="222222"/>
          <w:lang w:val="en"/>
        </w:rPr>
        <w:t xml:space="preserve">) </w:t>
      </w:r>
      <w:r>
        <w:rPr>
          <w:rFonts w:ascii="Arial" w:hAnsi="Arial" w:cs="Arial"/>
          <w:color w:val="222222"/>
          <w:lang w:val="en"/>
        </w:rPr>
        <w:t>is an inorganic, crystalline, white solid</w:t>
      </w:r>
      <w:r w:rsidRPr="00425E93">
        <w:rPr>
          <w:rFonts w:ascii="Arial" w:hAnsi="Arial" w:cs="Arial"/>
          <w:color w:val="222222"/>
          <w:lang w:val="en"/>
        </w:rPr>
        <w:t xml:space="preserve"> </w:t>
      </w:r>
      <w:r>
        <w:rPr>
          <w:rFonts w:ascii="Arial" w:hAnsi="Arial" w:cs="Arial"/>
          <w:color w:val="222222"/>
          <w:lang w:val="en"/>
        </w:rPr>
        <w:t>which is chemically and biologically inert. The substance is t</w:t>
      </w:r>
      <w:r w:rsidRPr="00425E93">
        <w:rPr>
          <w:rFonts w:ascii="Arial" w:hAnsi="Arial" w:cs="Arial"/>
          <w:color w:val="222222"/>
          <w:lang w:val="en"/>
        </w:rPr>
        <w:t xml:space="preserve">hermally stable, non-flammable and </w:t>
      </w:r>
      <w:r>
        <w:rPr>
          <w:rFonts w:ascii="Arial" w:hAnsi="Arial" w:cs="Arial"/>
          <w:color w:val="222222"/>
          <w:lang w:val="en"/>
        </w:rPr>
        <w:t>nearly</w:t>
      </w:r>
      <w:r w:rsidRPr="00425E93">
        <w:rPr>
          <w:rFonts w:ascii="Arial" w:hAnsi="Arial" w:cs="Arial"/>
          <w:color w:val="222222"/>
          <w:lang w:val="en"/>
        </w:rPr>
        <w:t xml:space="preserve"> ins</w:t>
      </w:r>
      <w:r w:rsidR="00CC6073">
        <w:rPr>
          <w:rFonts w:ascii="Arial" w:hAnsi="Arial" w:cs="Arial"/>
          <w:color w:val="222222"/>
          <w:lang w:val="en"/>
        </w:rPr>
        <w:t xml:space="preserve">oluble in water, dilute acids or </w:t>
      </w:r>
      <w:r w:rsidRPr="00425E93">
        <w:rPr>
          <w:rFonts w:ascii="Arial" w:hAnsi="Arial" w:cs="Arial"/>
          <w:color w:val="222222"/>
          <w:lang w:val="en"/>
        </w:rPr>
        <w:t>organic solvents</w:t>
      </w:r>
      <w:r>
        <w:rPr>
          <w:rFonts w:ascii="Arial" w:hAnsi="Arial" w:cs="Arial"/>
          <w:color w:val="222222"/>
          <w:lang w:val="en"/>
        </w:rPr>
        <w:t xml:space="preserve">. </w:t>
      </w:r>
      <w:r w:rsidR="0040735A">
        <w:rPr>
          <w:rFonts w:ascii="Arial" w:hAnsi="Arial" w:cs="Arial"/>
          <w:color w:val="222222"/>
          <w:lang w:val="en"/>
        </w:rPr>
        <w:t>Furthermore</w:t>
      </w:r>
      <w:r w:rsidR="00911ECC" w:rsidRPr="00911ECC">
        <w:rPr>
          <w:rFonts w:ascii="Arial" w:hAnsi="Arial" w:cs="Arial"/>
          <w:color w:val="222222"/>
          <w:lang w:val="en"/>
        </w:rPr>
        <w:t xml:space="preserve">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40735A">
        <w:rPr>
          <w:rFonts w:ascii="Arial" w:hAnsi="Arial" w:cs="Arial"/>
          <w:color w:val="222222"/>
          <w:lang w:val="en"/>
        </w:rPr>
        <w:t xml:space="preserve"> is light-resistant, has a high refractive index and </w:t>
      </w:r>
      <w:r w:rsidR="004C00F5">
        <w:rPr>
          <w:rFonts w:ascii="Arial" w:hAnsi="Arial" w:cs="Arial"/>
          <w:color w:val="222222"/>
          <w:lang w:val="en"/>
        </w:rPr>
        <w:t>shows</w:t>
      </w:r>
      <w:r w:rsidR="0040735A">
        <w:rPr>
          <w:rStyle w:val="shorttext"/>
          <w:rFonts w:ascii="Arial" w:hAnsi="Arial" w:cs="Arial"/>
          <w:color w:val="222222"/>
          <w:lang w:val="en"/>
        </w:rPr>
        <w:t xml:space="preserve"> the highest coverage of all </w:t>
      </w:r>
      <w:r w:rsidR="0040735A" w:rsidRPr="0040735A">
        <w:rPr>
          <w:rStyle w:val="shorttext"/>
          <w:rFonts w:ascii="Arial" w:hAnsi="Arial" w:cs="Arial"/>
          <w:color w:val="222222"/>
          <w:lang w:val="en"/>
        </w:rPr>
        <w:t>known</w:t>
      </w:r>
      <w:r w:rsidR="0040735A">
        <w:rPr>
          <w:rStyle w:val="shorttext"/>
          <w:rFonts w:ascii="Arial" w:hAnsi="Arial" w:cs="Arial"/>
          <w:color w:val="222222"/>
          <w:lang w:val="en"/>
        </w:rPr>
        <w:t xml:space="preserve"> white pigments</w:t>
      </w:r>
      <w:r w:rsidR="00FE6579">
        <w:rPr>
          <w:rStyle w:val="shorttext"/>
          <w:rFonts w:ascii="Arial" w:hAnsi="Arial" w:cs="Arial"/>
          <w:color w:val="222222"/>
          <w:lang w:val="en"/>
        </w:rPr>
        <w:t>.</w:t>
      </w:r>
    </w:p>
    <w:p w14:paraId="71CC7724" w14:textId="554B5EB4" w:rsidR="00425E93" w:rsidRDefault="0040735A" w:rsidP="00850C6F">
      <w:pPr>
        <w:jc w:val="both"/>
        <w:rPr>
          <w:rFonts w:ascii="Arial" w:hAnsi="Arial" w:cs="Arial"/>
          <w:color w:val="222222"/>
          <w:lang w:val="en"/>
        </w:rPr>
      </w:pPr>
      <w:r>
        <w:rPr>
          <w:rStyle w:val="shorttext"/>
          <w:rFonts w:ascii="Arial" w:hAnsi="Arial" w:cs="Arial"/>
          <w:color w:val="222222"/>
          <w:lang w:val="en"/>
        </w:rPr>
        <w:t>D</w:t>
      </w:r>
      <w:r w:rsidRPr="0040735A">
        <w:rPr>
          <w:rStyle w:val="shorttext"/>
          <w:rFonts w:ascii="Arial" w:hAnsi="Arial" w:cs="Arial"/>
          <w:color w:val="222222"/>
          <w:lang w:val="en"/>
        </w:rPr>
        <w:t xml:space="preserve">ue to these properties </w:t>
      </w:r>
      <w:r w:rsidR="00911ECC">
        <w:rPr>
          <w:rFonts w:ascii="Arial" w:hAnsi="Arial" w:cs="Arial"/>
          <w:color w:val="222222"/>
          <w:lang w:val="en"/>
        </w:rPr>
        <w:t>TiO</w:t>
      </w:r>
      <w:r w:rsidR="00911ECC" w:rsidRPr="00B32863">
        <w:rPr>
          <w:rFonts w:ascii="Arial" w:hAnsi="Arial" w:cs="Arial"/>
          <w:color w:val="222222"/>
          <w:vertAlign w:val="subscript"/>
          <w:lang w:val="en"/>
        </w:rPr>
        <w:t>2</w:t>
      </w:r>
      <w:r w:rsidRPr="0040735A">
        <w:rPr>
          <w:rStyle w:val="shorttext"/>
          <w:rFonts w:ascii="Arial" w:hAnsi="Arial" w:cs="Arial"/>
          <w:color w:val="222222"/>
          <w:lang w:val="en"/>
        </w:rPr>
        <w:t xml:space="preserve"> </w:t>
      </w:r>
      <w:r w:rsidR="00CC6073">
        <w:rPr>
          <w:rStyle w:val="shorttext"/>
          <w:rFonts w:ascii="Arial" w:hAnsi="Arial" w:cs="Arial"/>
          <w:color w:val="222222"/>
          <w:lang w:val="en"/>
        </w:rPr>
        <w:t>plays a very important role as w</w:t>
      </w:r>
      <w:r>
        <w:rPr>
          <w:rStyle w:val="shorttext"/>
          <w:rFonts w:ascii="Arial" w:hAnsi="Arial" w:cs="Arial"/>
          <w:color w:val="222222"/>
          <w:lang w:val="en"/>
        </w:rPr>
        <w:t>hite pigment in almost every industry</w:t>
      </w:r>
      <w:r w:rsidR="00F97F08">
        <w:rPr>
          <w:rStyle w:val="shorttext"/>
          <w:rFonts w:ascii="Arial" w:hAnsi="Arial" w:cs="Arial"/>
          <w:color w:val="222222"/>
          <w:lang w:val="en"/>
        </w:rPr>
        <w:t xml:space="preserve"> area</w:t>
      </w:r>
      <w:r>
        <w:rPr>
          <w:rStyle w:val="shorttext"/>
          <w:rFonts w:ascii="Arial" w:hAnsi="Arial" w:cs="Arial"/>
          <w:color w:val="222222"/>
          <w:lang w:val="en"/>
        </w:rPr>
        <w:t xml:space="preserve">. </w:t>
      </w:r>
      <w:r w:rsidR="00FE6579">
        <w:rPr>
          <w:rFonts w:ascii="Arial" w:hAnsi="Arial" w:cs="Arial"/>
          <w:color w:val="222222"/>
          <w:lang w:val="en"/>
        </w:rPr>
        <w:t xml:space="preserve">It is </w:t>
      </w:r>
      <w:r w:rsidR="00360529">
        <w:rPr>
          <w:rFonts w:ascii="Arial" w:hAnsi="Arial" w:cs="Arial"/>
          <w:color w:val="222222"/>
          <w:lang w:val="en"/>
        </w:rPr>
        <w:t>found as a component</w:t>
      </w:r>
      <w:r w:rsidR="00FE6579">
        <w:rPr>
          <w:rFonts w:ascii="Arial" w:hAnsi="Arial" w:cs="Arial"/>
          <w:color w:val="222222"/>
          <w:lang w:val="en"/>
        </w:rPr>
        <w:t xml:space="preserve"> for example in paints and varnishes, plastics, textiles, food and feed, papermaking, pharmaceutical </w:t>
      </w:r>
      <w:r w:rsidR="00CA5ABE">
        <w:rPr>
          <w:rFonts w:ascii="Arial" w:hAnsi="Arial" w:cs="Arial"/>
          <w:color w:val="222222"/>
          <w:lang w:val="en"/>
        </w:rPr>
        <w:t>and cosmetic products, medical</w:t>
      </w:r>
      <w:r w:rsidR="00FE6579">
        <w:rPr>
          <w:rFonts w:ascii="Arial" w:hAnsi="Arial" w:cs="Arial"/>
          <w:color w:val="222222"/>
          <w:lang w:val="en"/>
        </w:rPr>
        <w:t xml:space="preserve"> devices and in enamels and ceramics.</w:t>
      </w:r>
      <w:r w:rsidR="00A63555">
        <w:rPr>
          <w:rFonts w:ascii="Arial" w:hAnsi="Arial" w:cs="Arial"/>
          <w:color w:val="222222"/>
          <w:lang w:val="en"/>
        </w:rPr>
        <w:t xml:space="preserve"> </w:t>
      </w:r>
      <w:r w:rsidR="00D631BE">
        <w:rPr>
          <w:rFonts w:ascii="Arial" w:hAnsi="Arial" w:cs="Arial"/>
          <w:color w:val="222222"/>
          <w:lang w:val="en"/>
        </w:rPr>
        <w:t xml:space="preserve">Furthermore, </w:t>
      </w:r>
      <w:r w:rsidR="00360529">
        <w:rPr>
          <w:rFonts w:ascii="Arial" w:hAnsi="Arial" w:cs="Arial"/>
          <w:color w:val="222222"/>
          <w:lang w:val="en"/>
        </w:rPr>
        <w:t>s</w:t>
      </w:r>
      <w:r w:rsidR="00CC6073">
        <w:rPr>
          <w:rFonts w:ascii="Arial" w:hAnsi="Arial" w:cs="Arial"/>
          <w:color w:val="222222"/>
          <w:lang w:val="en"/>
        </w:rPr>
        <w:t xml:space="preserve">pecific </w:t>
      </w:r>
      <w:r w:rsidR="002C4000">
        <w:rPr>
          <w:rFonts w:ascii="Arial" w:hAnsi="Arial" w:cs="Arial"/>
          <w:color w:val="222222"/>
          <w:lang w:val="en"/>
        </w:rPr>
        <w:t xml:space="preserve">forms of titanium dioxide are </w:t>
      </w:r>
      <w:r w:rsidR="00D631BE">
        <w:rPr>
          <w:rFonts w:ascii="Arial" w:hAnsi="Arial" w:cs="Arial"/>
          <w:color w:val="222222"/>
          <w:lang w:val="en"/>
        </w:rPr>
        <w:t xml:space="preserve">also </w:t>
      </w:r>
      <w:r w:rsidR="002C4000">
        <w:rPr>
          <w:rFonts w:ascii="Arial" w:hAnsi="Arial" w:cs="Arial"/>
          <w:color w:val="222222"/>
          <w:lang w:val="en"/>
        </w:rPr>
        <w:t xml:space="preserve">used as </w:t>
      </w:r>
      <w:r w:rsidR="00C43A8E">
        <w:rPr>
          <w:rFonts w:ascii="Arial" w:hAnsi="Arial" w:cs="Arial"/>
          <w:color w:val="222222"/>
          <w:lang w:val="en"/>
        </w:rPr>
        <w:t>photo catalysts</w:t>
      </w:r>
      <w:r w:rsidR="002C4000">
        <w:rPr>
          <w:rFonts w:ascii="Arial" w:hAnsi="Arial" w:cs="Arial"/>
          <w:color w:val="222222"/>
          <w:lang w:val="en"/>
        </w:rPr>
        <w:t xml:space="preserve"> for contaminant degradation.</w:t>
      </w:r>
      <w:r w:rsidR="001025A5">
        <w:rPr>
          <w:rFonts w:ascii="Arial" w:hAnsi="Arial" w:cs="Arial"/>
          <w:color w:val="222222"/>
          <w:lang w:val="en"/>
        </w:rPr>
        <w:t xml:space="preserve"> </w:t>
      </w:r>
      <w:r w:rsidR="00A63555">
        <w:rPr>
          <w:rFonts w:ascii="Arial" w:hAnsi="Arial" w:cs="Arial"/>
          <w:color w:val="222222"/>
          <w:lang w:val="en"/>
        </w:rPr>
        <w:t>In t</w:t>
      </w:r>
      <w:r w:rsidR="002D7370">
        <w:rPr>
          <w:rFonts w:ascii="Arial" w:hAnsi="Arial" w:cs="Arial"/>
          <w:color w:val="222222"/>
          <w:lang w:val="en"/>
        </w:rPr>
        <w:t>h</w:t>
      </w:r>
      <w:r w:rsidR="00CC6073">
        <w:rPr>
          <w:rFonts w:ascii="Arial" w:hAnsi="Arial" w:cs="Arial"/>
          <w:color w:val="222222"/>
          <w:lang w:val="en"/>
        </w:rPr>
        <w:t>e</w:t>
      </w:r>
      <w:r w:rsidR="00A63555">
        <w:rPr>
          <w:rFonts w:ascii="Arial" w:hAnsi="Arial" w:cs="Arial"/>
          <w:color w:val="222222"/>
          <w:lang w:val="en"/>
        </w:rPr>
        <w:t xml:space="preserve"> overwhe</w:t>
      </w:r>
      <w:r w:rsidR="00C43A8E">
        <w:rPr>
          <w:rFonts w:ascii="Arial" w:hAnsi="Arial" w:cs="Arial"/>
          <w:color w:val="222222"/>
          <w:lang w:val="en"/>
        </w:rPr>
        <w:t xml:space="preserve">lming number of applications </w:t>
      </w:r>
      <w:r w:rsidR="00A63555">
        <w:rPr>
          <w:rFonts w:ascii="Arial" w:hAnsi="Arial" w:cs="Arial"/>
          <w:color w:val="222222"/>
          <w:lang w:val="en"/>
        </w:rPr>
        <w:t>titanium dioxide is bound in a matrix (for example, in a polymer matrix) and thus not freely available.</w:t>
      </w:r>
    </w:p>
    <w:p w14:paraId="5EFA6A8F" w14:textId="77777777" w:rsidR="002D7370" w:rsidRDefault="002D7370" w:rsidP="00850C6F">
      <w:pPr>
        <w:jc w:val="both"/>
        <w:rPr>
          <w:rStyle w:val="shorttext"/>
          <w:rFonts w:ascii="Arial" w:hAnsi="Arial" w:cs="Arial"/>
          <w:color w:val="222222"/>
          <w:u w:val="single"/>
          <w:lang w:val="en"/>
        </w:rPr>
      </w:pPr>
    </w:p>
    <w:p w14:paraId="4C039A83" w14:textId="794E8793" w:rsidR="00425E93" w:rsidRDefault="00CB7166" w:rsidP="00425E93">
      <w:pPr>
        <w:jc w:val="both"/>
        <w:rPr>
          <w:rStyle w:val="shorttext"/>
          <w:rFonts w:ascii="Arial" w:hAnsi="Arial" w:cs="Arial"/>
          <w:color w:val="222222"/>
          <w:u w:val="single"/>
          <w:lang w:val="en"/>
        </w:rPr>
      </w:pPr>
      <w:r>
        <w:rPr>
          <w:rStyle w:val="shorttext"/>
          <w:rFonts w:ascii="Arial" w:hAnsi="Arial" w:cs="Arial"/>
          <w:color w:val="222222"/>
          <w:u w:val="single"/>
          <w:lang w:val="en"/>
        </w:rPr>
        <w:t xml:space="preserve">Use in </w:t>
      </w:r>
      <w:r w:rsidR="00FE6579">
        <w:rPr>
          <w:rStyle w:val="shorttext"/>
          <w:rFonts w:ascii="Arial" w:hAnsi="Arial" w:cs="Arial"/>
          <w:color w:val="222222"/>
          <w:u w:val="single"/>
          <w:lang w:val="en"/>
        </w:rPr>
        <w:t xml:space="preserve">Medicinal Products: </w:t>
      </w:r>
    </w:p>
    <w:p w14:paraId="414B65F0" w14:textId="5F723F36" w:rsidR="00FE6579" w:rsidRDefault="00FE6579" w:rsidP="00850C6F">
      <w:pPr>
        <w:jc w:val="both"/>
        <w:rPr>
          <w:rFonts w:ascii="Arial" w:hAnsi="Arial" w:cs="Arial"/>
          <w:color w:val="222222"/>
          <w:lang w:val="en"/>
        </w:rPr>
      </w:pPr>
      <w:r>
        <w:rPr>
          <w:rFonts w:ascii="Arial" w:hAnsi="Arial" w:cs="Arial"/>
          <w:color w:val="222222"/>
          <w:lang w:val="en"/>
        </w:rPr>
        <w:t>I</w:t>
      </w:r>
      <w:r w:rsidRPr="00FE6579">
        <w:rPr>
          <w:rFonts w:ascii="Arial" w:hAnsi="Arial" w:cs="Arial"/>
          <w:color w:val="222222"/>
          <w:lang w:val="en"/>
        </w:rPr>
        <w:t>n the pharmaceutical industry</w:t>
      </w:r>
      <w:r>
        <w:rPr>
          <w:rFonts w:ascii="Arial" w:hAnsi="Arial" w:cs="Arial"/>
          <w:color w:val="222222"/>
          <w:lang w:val="en"/>
        </w:rPr>
        <w:t xml:space="preserve"> </w:t>
      </w:r>
      <w:r w:rsidR="00911ECC">
        <w:rPr>
          <w:rFonts w:ascii="Arial" w:hAnsi="Arial" w:cs="Arial"/>
          <w:color w:val="222222"/>
          <w:lang w:val="en"/>
        </w:rPr>
        <w:t>TiO</w:t>
      </w:r>
      <w:r w:rsidR="00911ECC" w:rsidRPr="00B32863">
        <w:rPr>
          <w:rFonts w:ascii="Arial" w:hAnsi="Arial" w:cs="Arial"/>
          <w:color w:val="222222"/>
          <w:vertAlign w:val="subscript"/>
          <w:lang w:val="en"/>
        </w:rPr>
        <w:t>2</w:t>
      </w:r>
      <w:r>
        <w:rPr>
          <w:rFonts w:ascii="Arial" w:hAnsi="Arial" w:cs="Arial"/>
          <w:color w:val="222222"/>
          <w:lang w:val="en"/>
        </w:rPr>
        <w:t xml:space="preserve"> is inter alia </w:t>
      </w:r>
      <w:r w:rsidR="002C4000">
        <w:rPr>
          <w:rFonts w:ascii="Arial" w:hAnsi="Arial" w:cs="Arial"/>
          <w:color w:val="222222"/>
          <w:lang w:val="en"/>
        </w:rPr>
        <w:t>applied</w:t>
      </w:r>
      <w:r>
        <w:rPr>
          <w:rFonts w:ascii="Arial" w:hAnsi="Arial" w:cs="Arial"/>
          <w:color w:val="222222"/>
          <w:lang w:val="en"/>
        </w:rPr>
        <w:t xml:space="preserve"> as a white pigment </w:t>
      </w:r>
      <w:r w:rsidR="00C43A8E">
        <w:rPr>
          <w:rFonts w:ascii="Arial" w:hAnsi="Arial" w:cs="Arial"/>
          <w:color w:val="222222"/>
          <w:lang w:val="en"/>
        </w:rPr>
        <w:t>for</w:t>
      </w:r>
      <w:r>
        <w:rPr>
          <w:rFonts w:ascii="Arial" w:hAnsi="Arial" w:cs="Arial"/>
          <w:color w:val="222222"/>
          <w:lang w:val="en"/>
        </w:rPr>
        <w:t xml:space="preserve"> film coatings of tablets, </w:t>
      </w:r>
      <w:proofErr w:type="spellStart"/>
      <w:r>
        <w:rPr>
          <w:rFonts w:ascii="Arial" w:hAnsi="Arial" w:cs="Arial"/>
          <w:color w:val="222222"/>
          <w:lang w:val="en"/>
        </w:rPr>
        <w:t>drag</w:t>
      </w:r>
      <w:r w:rsidR="002C4000">
        <w:rPr>
          <w:rFonts w:ascii="Arial" w:hAnsi="Arial" w:cs="Arial"/>
          <w:color w:val="222222"/>
          <w:lang w:val="en"/>
        </w:rPr>
        <w:t>e</w:t>
      </w:r>
      <w:r w:rsidR="006C0FF7">
        <w:rPr>
          <w:rFonts w:ascii="Arial" w:hAnsi="Arial" w:cs="Arial"/>
          <w:color w:val="222222"/>
          <w:lang w:val="en"/>
        </w:rPr>
        <w:t>es</w:t>
      </w:r>
      <w:proofErr w:type="spellEnd"/>
      <w:r>
        <w:rPr>
          <w:rFonts w:ascii="Arial" w:hAnsi="Arial" w:cs="Arial"/>
          <w:color w:val="222222"/>
          <w:lang w:val="en"/>
        </w:rPr>
        <w:t xml:space="preserve"> or in capsule shells</w:t>
      </w:r>
      <w:r w:rsidRPr="00FE6579">
        <w:rPr>
          <w:rFonts w:ascii="Arial" w:hAnsi="Arial" w:cs="Arial"/>
          <w:color w:val="222222"/>
          <w:lang w:val="en"/>
        </w:rPr>
        <w:t xml:space="preserve"> </w:t>
      </w:r>
      <w:r>
        <w:rPr>
          <w:rFonts w:ascii="Arial" w:hAnsi="Arial" w:cs="Arial"/>
          <w:color w:val="222222"/>
          <w:lang w:val="en"/>
        </w:rPr>
        <w:t>(solid dosage forms).</w:t>
      </w:r>
      <w:r w:rsidR="00EB5C29">
        <w:rPr>
          <w:rFonts w:ascii="Arial" w:hAnsi="Arial" w:cs="Arial"/>
          <w:color w:val="222222"/>
          <w:lang w:val="en"/>
        </w:rPr>
        <w:t xml:space="preserve"> </w:t>
      </w:r>
      <w:r w:rsidR="00266A80" w:rsidRPr="00266A80">
        <w:rPr>
          <w:rFonts w:ascii="Arial" w:hAnsi="Arial" w:cs="Arial"/>
          <w:color w:val="222222"/>
          <w:lang w:val="en"/>
        </w:rPr>
        <w:t xml:space="preserve">The quality of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32348B" w:rsidRPr="0032348B">
        <w:rPr>
          <w:rFonts w:ascii="Arial" w:hAnsi="Arial" w:cs="Arial"/>
          <w:color w:val="222222"/>
          <w:lang w:val="en"/>
        </w:rPr>
        <w:t xml:space="preserve"> </w:t>
      </w:r>
      <w:r w:rsidR="00266A80">
        <w:rPr>
          <w:rFonts w:ascii="Arial" w:hAnsi="Arial" w:cs="Arial"/>
          <w:color w:val="222222"/>
          <w:lang w:val="en"/>
        </w:rPr>
        <w:t>used in medicinal products</w:t>
      </w:r>
      <w:r w:rsidR="00266A80" w:rsidRPr="00266A80">
        <w:rPr>
          <w:rFonts w:ascii="Arial" w:hAnsi="Arial" w:cs="Arial"/>
          <w:color w:val="222222"/>
          <w:lang w:val="en"/>
        </w:rPr>
        <w:t xml:space="preserve"> is </w:t>
      </w:r>
      <w:r w:rsidR="00CB7166">
        <w:rPr>
          <w:rFonts w:ascii="Arial" w:hAnsi="Arial" w:cs="Arial"/>
          <w:color w:val="222222"/>
          <w:lang w:val="en"/>
        </w:rPr>
        <w:t>regulated</w:t>
      </w:r>
      <w:r w:rsidR="00CB7166" w:rsidRPr="00266A80">
        <w:rPr>
          <w:rFonts w:ascii="Arial" w:hAnsi="Arial" w:cs="Arial"/>
          <w:color w:val="222222"/>
          <w:lang w:val="en"/>
        </w:rPr>
        <w:t xml:space="preserve"> </w:t>
      </w:r>
      <w:r w:rsidR="00266A80" w:rsidRPr="00266A80">
        <w:rPr>
          <w:rFonts w:ascii="Arial" w:hAnsi="Arial" w:cs="Arial"/>
          <w:color w:val="222222"/>
          <w:lang w:val="en"/>
        </w:rPr>
        <w:t>in the European Pharmacopoeia</w:t>
      </w:r>
      <w:r w:rsidR="00D631BE">
        <w:rPr>
          <w:rFonts w:ascii="Arial" w:hAnsi="Arial" w:cs="Arial"/>
          <w:color w:val="222222"/>
          <w:lang w:val="en"/>
        </w:rPr>
        <w:t xml:space="preserve"> and </w:t>
      </w:r>
      <w:r w:rsidR="00C43A8E">
        <w:rPr>
          <w:rFonts w:ascii="Arial" w:hAnsi="Arial" w:cs="Arial"/>
          <w:color w:val="222222"/>
          <w:lang w:val="en"/>
        </w:rPr>
        <w:t xml:space="preserve">therefore </w:t>
      </w:r>
      <w:r w:rsidR="00266A80" w:rsidRPr="00266A80">
        <w:rPr>
          <w:rFonts w:ascii="Arial" w:hAnsi="Arial" w:cs="Arial"/>
          <w:color w:val="222222"/>
          <w:lang w:val="en"/>
        </w:rPr>
        <w:t>subject</w:t>
      </w:r>
      <w:r w:rsidR="00D631BE">
        <w:rPr>
          <w:rFonts w:ascii="Arial" w:hAnsi="Arial" w:cs="Arial"/>
          <w:color w:val="222222"/>
          <w:lang w:val="en"/>
        </w:rPr>
        <w:t>ed</w:t>
      </w:r>
      <w:r w:rsidR="00266A80" w:rsidRPr="00266A80">
        <w:rPr>
          <w:rFonts w:ascii="Arial" w:hAnsi="Arial" w:cs="Arial"/>
          <w:color w:val="222222"/>
          <w:lang w:val="en"/>
        </w:rPr>
        <w:t xml:space="preserve"> to strict requirements.</w:t>
      </w:r>
      <w:r w:rsidR="00266A80">
        <w:rPr>
          <w:rFonts w:ascii="Arial" w:hAnsi="Arial" w:cs="Arial"/>
          <w:color w:val="222222"/>
          <w:lang w:val="en"/>
        </w:rPr>
        <w:t xml:space="preserve"> </w:t>
      </w:r>
      <w:r>
        <w:rPr>
          <w:rFonts w:ascii="Arial" w:hAnsi="Arial" w:cs="Arial"/>
          <w:color w:val="222222"/>
          <w:lang w:val="en"/>
        </w:rPr>
        <w:t>I</w:t>
      </w:r>
      <w:r w:rsidRPr="00FE6579">
        <w:rPr>
          <w:rFonts w:ascii="Arial" w:hAnsi="Arial" w:cs="Arial"/>
          <w:color w:val="222222"/>
          <w:lang w:val="en"/>
        </w:rPr>
        <w:t xml:space="preserve">n addition to its </w:t>
      </w:r>
      <w:r w:rsidR="00CB7166">
        <w:rPr>
          <w:rFonts w:ascii="Arial" w:hAnsi="Arial" w:cs="Arial"/>
          <w:color w:val="222222"/>
          <w:lang w:val="en"/>
        </w:rPr>
        <w:t>excellent</w:t>
      </w:r>
      <w:r w:rsidR="00CB7166" w:rsidRPr="00CB4254">
        <w:rPr>
          <w:rFonts w:ascii="Arial" w:hAnsi="Arial" w:cs="Arial"/>
          <w:color w:val="222222"/>
          <w:lang w:val="en"/>
        </w:rPr>
        <w:t xml:space="preserve"> </w:t>
      </w:r>
      <w:r w:rsidRPr="00FE6579">
        <w:rPr>
          <w:rFonts w:ascii="Arial" w:hAnsi="Arial" w:cs="Arial"/>
          <w:color w:val="222222"/>
          <w:lang w:val="en"/>
        </w:rPr>
        <w:t xml:space="preserve">property as </w:t>
      </w:r>
      <w:r w:rsidR="00CC6073">
        <w:rPr>
          <w:rFonts w:ascii="Arial" w:hAnsi="Arial" w:cs="Arial"/>
          <w:color w:val="222222"/>
          <w:lang w:val="en"/>
        </w:rPr>
        <w:t>a</w:t>
      </w:r>
      <w:r w:rsidRPr="00FE6579">
        <w:rPr>
          <w:rFonts w:ascii="Arial" w:hAnsi="Arial" w:cs="Arial"/>
          <w:color w:val="222222"/>
          <w:lang w:val="en"/>
        </w:rPr>
        <w:t xml:space="preserve"> </w:t>
      </w:r>
      <w:r w:rsidR="00266A80">
        <w:rPr>
          <w:rFonts w:ascii="Arial" w:hAnsi="Arial" w:cs="Arial"/>
          <w:color w:val="222222"/>
          <w:lang w:val="en"/>
        </w:rPr>
        <w:t xml:space="preserve">white </w:t>
      </w:r>
      <w:r w:rsidRPr="00FE6579">
        <w:rPr>
          <w:rFonts w:ascii="Arial" w:hAnsi="Arial" w:cs="Arial"/>
          <w:color w:val="222222"/>
          <w:lang w:val="en"/>
        </w:rPr>
        <w:t xml:space="preserve">pigment, </w:t>
      </w:r>
      <w:r w:rsidR="00BB0668">
        <w:rPr>
          <w:rFonts w:ascii="Arial" w:hAnsi="Arial" w:cs="Arial"/>
          <w:color w:val="222222"/>
          <w:lang w:val="en"/>
        </w:rPr>
        <w:t>its</w:t>
      </w:r>
      <w:r w:rsidR="00BB0668" w:rsidRPr="00FE6579">
        <w:rPr>
          <w:rFonts w:ascii="Arial" w:hAnsi="Arial" w:cs="Arial"/>
          <w:color w:val="222222"/>
          <w:lang w:val="en"/>
        </w:rPr>
        <w:t xml:space="preserve"> </w:t>
      </w:r>
      <w:r w:rsidRPr="00FE6579">
        <w:rPr>
          <w:rFonts w:ascii="Arial" w:hAnsi="Arial" w:cs="Arial"/>
          <w:color w:val="222222"/>
          <w:lang w:val="en"/>
        </w:rPr>
        <w:t xml:space="preserve">chemical inertness </w:t>
      </w:r>
      <w:r w:rsidR="00BB0668">
        <w:rPr>
          <w:rFonts w:ascii="Arial" w:hAnsi="Arial" w:cs="Arial"/>
          <w:color w:val="222222"/>
          <w:lang w:val="en"/>
        </w:rPr>
        <w:t>plays an important role</w:t>
      </w:r>
      <w:r>
        <w:rPr>
          <w:rFonts w:ascii="Arial" w:hAnsi="Arial" w:cs="Arial"/>
          <w:color w:val="222222"/>
          <w:lang w:val="en"/>
        </w:rPr>
        <w:t xml:space="preserve">. </w:t>
      </w:r>
      <w:r w:rsidRPr="00FE6579">
        <w:rPr>
          <w:rFonts w:ascii="Arial" w:hAnsi="Arial" w:cs="Arial"/>
          <w:color w:val="222222"/>
          <w:lang w:val="en"/>
        </w:rPr>
        <w:t xml:space="preserve">Moreover, it shows a </w:t>
      </w:r>
      <w:r>
        <w:rPr>
          <w:rFonts w:ascii="Arial" w:hAnsi="Arial" w:cs="Arial"/>
          <w:color w:val="222222"/>
          <w:lang w:val="en"/>
        </w:rPr>
        <w:t xml:space="preserve">very </w:t>
      </w:r>
      <w:r w:rsidR="00BB0668">
        <w:rPr>
          <w:rFonts w:ascii="Arial" w:hAnsi="Arial" w:cs="Arial"/>
          <w:color w:val="222222"/>
          <w:lang w:val="en"/>
        </w:rPr>
        <w:t xml:space="preserve">high </w:t>
      </w:r>
      <w:r w:rsidRPr="00FE6579">
        <w:rPr>
          <w:rFonts w:ascii="Arial" w:hAnsi="Arial" w:cs="Arial"/>
          <w:color w:val="222222"/>
          <w:lang w:val="en"/>
        </w:rPr>
        <w:t>stability against UV light</w:t>
      </w:r>
      <w:r w:rsidR="00FA1914">
        <w:rPr>
          <w:rFonts w:ascii="Arial" w:hAnsi="Arial" w:cs="Arial"/>
          <w:color w:val="222222"/>
          <w:lang w:val="en"/>
        </w:rPr>
        <w:t xml:space="preserve"> </w:t>
      </w:r>
      <w:r w:rsidR="00BB0668">
        <w:rPr>
          <w:rFonts w:ascii="Arial" w:hAnsi="Arial" w:cs="Arial"/>
          <w:color w:val="222222"/>
          <w:lang w:val="en"/>
        </w:rPr>
        <w:t>enabling</w:t>
      </w:r>
      <w:r w:rsidR="00FA1914">
        <w:rPr>
          <w:rFonts w:ascii="Arial" w:hAnsi="Arial" w:cs="Arial"/>
          <w:color w:val="222222"/>
          <w:lang w:val="en"/>
        </w:rPr>
        <w:t xml:space="preserve"> a</w:t>
      </w:r>
      <w:r w:rsidR="00524E95">
        <w:rPr>
          <w:rFonts w:ascii="Arial" w:hAnsi="Arial" w:cs="Arial"/>
          <w:color w:val="222222"/>
          <w:lang w:val="en"/>
        </w:rPr>
        <w:t xml:space="preserve"> further </w:t>
      </w:r>
      <w:r w:rsidR="00B35C64">
        <w:rPr>
          <w:rFonts w:ascii="Arial" w:hAnsi="Arial" w:cs="Arial"/>
          <w:color w:val="222222"/>
          <w:lang w:val="en"/>
        </w:rPr>
        <w:t>protection of</w:t>
      </w:r>
      <w:r w:rsidR="00FA1914">
        <w:rPr>
          <w:rFonts w:ascii="Arial" w:hAnsi="Arial" w:cs="Arial"/>
          <w:color w:val="222222"/>
          <w:lang w:val="en"/>
        </w:rPr>
        <w:t xml:space="preserve"> the active </w:t>
      </w:r>
      <w:r w:rsidR="00CA5ABE">
        <w:rPr>
          <w:rFonts w:ascii="Arial" w:hAnsi="Arial" w:cs="Arial"/>
          <w:color w:val="222222"/>
          <w:lang w:val="en"/>
        </w:rPr>
        <w:t>pharmaceutical ingredients (APIs)</w:t>
      </w:r>
      <w:r w:rsidR="00FA1914">
        <w:rPr>
          <w:rFonts w:ascii="Arial" w:hAnsi="Arial" w:cs="Arial"/>
          <w:color w:val="222222"/>
          <w:lang w:val="en"/>
        </w:rPr>
        <w:t xml:space="preserve"> </w:t>
      </w:r>
      <w:r w:rsidR="00CA5ABE">
        <w:rPr>
          <w:rFonts w:ascii="Arial" w:hAnsi="Arial" w:cs="Arial"/>
          <w:color w:val="222222"/>
          <w:lang w:val="en"/>
        </w:rPr>
        <w:t>of</w:t>
      </w:r>
      <w:r w:rsidR="00FA1914">
        <w:rPr>
          <w:rFonts w:ascii="Arial" w:hAnsi="Arial" w:cs="Arial"/>
          <w:color w:val="222222"/>
          <w:lang w:val="en"/>
        </w:rPr>
        <w:t xml:space="preserve"> medicinal product</w:t>
      </w:r>
      <w:r w:rsidR="00CA5ABE">
        <w:rPr>
          <w:rFonts w:ascii="Arial" w:hAnsi="Arial" w:cs="Arial"/>
          <w:color w:val="222222"/>
          <w:lang w:val="en"/>
        </w:rPr>
        <w:t>s</w:t>
      </w:r>
      <w:r w:rsidR="003F476D">
        <w:rPr>
          <w:rFonts w:ascii="Arial" w:hAnsi="Arial" w:cs="Arial"/>
          <w:color w:val="222222"/>
          <w:lang w:val="en"/>
        </w:rPr>
        <w:t xml:space="preserve"> as for example in the capsule shell of opaque capsules</w:t>
      </w:r>
      <w:r>
        <w:rPr>
          <w:rFonts w:ascii="Arial" w:hAnsi="Arial" w:cs="Arial"/>
          <w:color w:val="222222"/>
          <w:lang w:val="en"/>
        </w:rPr>
        <w:t xml:space="preserve">. </w:t>
      </w:r>
      <w:r w:rsidR="00BB0668">
        <w:rPr>
          <w:rFonts w:ascii="Arial" w:hAnsi="Arial" w:cs="Arial"/>
          <w:color w:val="222222"/>
          <w:lang w:val="en"/>
        </w:rPr>
        <w:t xml:space="preserve">It </w:t>
      </w:r>
      <w:r w:rsidR="003F476D">
        <w:rPr>
          <w:rFonts w:ascii="Arial" w:hAnsi="Arial" w:cs="Arial"/>
          <w:color w:val="222222"/>
          <w:lang w:val="en"/>
        </w:rPr>
        <w:t xml:space="preserve">is </w:t>
      </w:r>
      <w:r w:rsidR="00BB0668">
        <w:rPr>
          <w:rFonts w:ascii="Arial" w:hAnsi="Arial" w:cs="Arial"/>
          <w:color w:val="222222"/>
          <w:lang w:val="en"/>
        </w:rPr>
        <w:t xml:space="preserve">also </w:t>
      </w:r>
      <w:r w:rsidR="00CC6073">
        <w:rPr>
          <w:rFonts w:ascii="Arial" w:hAnsi="Arial" w:cs="Arial"/>
          <w:color w:val="222222"/>
          <w:lang w:val="en"/>
        </w:rPr>
        <w:t>relevant for</w:t>
      </w:r>
      <w:r w:rsidR="00EC1E0C">
        <w:rPr>
          <w:rFonts w:ascii="Arial" w:hAnsi="Arial" w:cs="Arial"/>
          <w:color w:val="222222"/>
          <w:lang w:val="en"/>
        </w:rPr>
        <w:t xml:space="preserve"> packaging materials that </w:t>
      </w:r>
      <w:r w:rsidR="00BB0668">
        <w:rPr>
          <w:rFonts w:ascii="Arial" w:hAnsi="Arial" w:cs="Arial"/>
          <w:color w:val="222222"/>
          <w:lang w:val="en"/>
        </w:rPr>
        <w:t>are in</w:t>
      </w:r>
      <w:r w:rsidR="00EC1E0C">
        <w:rPr>
          <w:rFonts w:ascii="Arial" w:hAnsi="Arial" w:cs="Arial"/>
          <w:color w:val="222222"/>
          <w:lang w:val="en"/>
        </w:rPr>
        <w:t xml:space="preserve"> direct contact with the medicinal product</w:t>
      </w:r>
      <w:r w:rsidR="00CB7166">
        <w:rPr>
          <w:rFonts w:ascii="Arial" w:hAnsi="Arial" w:cs="Arial"/>
          <w:color w:val="222222"/>
          <w:lang w:val="en"/>
        </w:rPr>
        <w:t xml:space="preserve"> (primary packaging)</w:t>
      </w:r>
      <w:r>
        <w:rPr>
          <w:rFonts w:ascii="Arial" w:hAnsi="Arial" w:cs="Arial"/>
          <w:color w:val="222222"/>
          <w:lang w:val="en"/>
        </w:rPr>
        <w:t xml:space="preserve">, </w:t>
      </w:r>
      <w:r w:rsidR="00CB7166">
        <w:rPr>
          <w:rFonts w:ascii="Arial" w:hAnsi="Arial" w:cs="Arial"/>
          <w:color w:val="222222"/>
          <w:lang w:val="en"/>
        </w:rPr>
        <w:t>especially with regard</w:t>
      </w:r>
      <w:r w:rsidR="00BB0668">
        <w:rPr>
          <w:rFonts w:ascii="Arial" w:hAnsi="Arial" w:cs="Arial"/>
          <w:color w:val="222222"/>
          <w:lang w:val="en"/>
        </w:rPr>
        <w:t xml:space="preserve"> </w:t>
      </w:r>
      <w:r w:rsidR="009E1CAB">
        <w:rPr>
          <w:rFonts w:ascii="Arial" w:hAnsi="Arial" w:cs="Arial"/>
          <w:color w:val="222222"/>
          <w:lang w:val="en"/>
        </w:rPr>
        <w:t>to</w:t>
      </w:r>
      <w:r w:rsidR="00C53DB0">
        <w:rPr>
          <w:rFonts w:ascii="Arial" w:hAnsi="Arial" w:cs="Arial"/>
          <w:color w:val="222222"/>
          <w:lang w:val="en"/>
        </w:rPr>
        <w:t xml:space="preserve"> </w:t>
      </w:r>
      <w:r w:rsidR="009E1CAB">
        <w:rPr>
          <w:rFonts w:ascii="Arial" w:hAnsi="Arial" w:cs="Arial"/>
          <w:color w:val="222222"/>
          <w:lang w:val="en"/>
        </w:rPr>
        <w:t xml:space="preserve">opaque </w:t>
      </w:r>
      <w:r w:rsidR="009E1CAB" w:rsidRPr="009E1CAB">
        <w:rPr>
          <w:rFonts w:ascii="Arial" w:hAnsi="Arial" w:cs="Arial"/>
          <w:color w:val="222222"/>
          <w:lang w:val="en"/>
        </w:rPr>
        <w:t xml:space="preserve">child-resistant </w:t>
      </w:r>
      <w:r w:rsidR="00CB7166">
        <w:rPr>
          <w:rFonts w:ascii="Arial" w:hAnsi="Arial" w:cs="Arial"/>
          <w:color w:val="222222"/>
          <w:lang w:val="en"/>
        </w:rPr>
        <w:t xml:space="preserve">pharma </w:t>
      </w:r>
      <w:r w:rsidR="009E1CAB" w:rsidRPr="009E1CAB">
        <w:rPr>
          <w:rFonts w:ascii="Arial" w:hAnsi="Arial" w:cs="Arial"/>
          <w:color w:val="222222"/>
          <w:lang w:val="en"/>
        </w:rPr>
        <w:t xml:space="preserve">blister </w:t>
      </w:r>
      <w:r w:rsidR="00C53DB0" w:rsidRPr="009E1CAB">
        <w:rPr>
          <w:rFonts w:ascii="Arial" w:hAnsi="Arial" w:cs="Arial"/>
          <w:color w:val="222222"/>
          <w:lang w:val="en"/>
        </w:rPr>
        <w:t>packages</w:t>
      </w:r>
      <w:r w:rsidRPr="00A3503E">
        <w:rPr>
          <w:rFonts w:ascii="Arial" w:hAnsi="Arial" w:cs="Arial"/>
          <w:color w:val="222222"/>
          <w:lang w:val="en"/>
        </w:rPr>
        <w:t>.</w:t>
      </w:r>
      <w:r w:rsidR="00A3503E" w:rsidRPr="00A3503E">
        <w:rPr>
          <w:rFonts w:ascii="Arial" w:hAnsi="Arial" w:cs="Arial"/>
          <w:lang w:val="en-US"/>
        </w:rPr>
        <w:t xml:space="preserve"> </w:t>
      </w:r>
      <w:r w:rsidR="00BB0668">
        <w:rPr>
          <w:rFonts w:ascii="Arial" w:hAnsi="Arial" w:cs="Arial"/>
          <w:lang w:val="en-US"/>
        </w:rPr>
        <w:t>In summary</w:t>
      </w:r>
      <w:r w:rsidR="00A3503E" w:rsidRPr="00A3503E">
        <w:rPr>
          <w:rFonts w:ascii="Arial" w:hAnsi="Arial" w:cs="Arial"/>
          <w:lang w:val="en-US"/>
        </w:rPr>
        <w:t xml:space="preserve">, </w:t>
      </w:r>
      <w:r w:rsidR="00CC6073">
        <w:rPr>
          <w:rFonts w:ascii="Arial" w:hAnsi="Arial" w:cs="Arial"/>
          <w:lang w:val="en-US"/>
        </w:rPr>
        <w:t>due to its</w:t>
      </w:r>
      <w:r w:rsidR="00CC6073" w:rsidRPr="00CC6073">
        <w:rPr>
          <w:rFonts w:ascii="Arial" w:hAnsi="Arial" w:cs="Arial"/>
          <w:lang w:val="en-US"/>
        </w:rPr>
        <w:t xml:space="preserve"> toxicological safety </w:t>
      </w:r>
      <w:r w:rsidR="00CB7166">
        <w:rPr>
          <w:rFonts w:ascii="Arial" w:hAnsi="Arial" w:cs="Arial"/>
          <w:color w:val="222222"/>
          <w:lang w:val="en"/>
        </w:rPr>
        <w:t>concerning</w:t>
      </w:r>
      <w:r w:rsidR="00CB7166" w:rsidRPr="00A3503E">
        <w:rPr>
          <w:rFonts w:ascii="Arial" w:hAnsi="Arial" w:cs="Arial"/>
          <w:color w:val="222222"/>
          <w:lang w:val="en"/>
        </w:rPr>
        <w:t xml:space="preserve"> </w:t>
      </w:r>
      <w:r w:rsidR="00CC6073" w:rsidRPr="00A3503E">
        <w:rPr>
          <w:rFonts w:ascii="Arial" w:hAnsi="Arial" w:cs="Arial"/>
          <w:color w:val="222222"/>
          <w:lang w:val="en"/>
        </w:rPr>
        <w:t xml:space="preserve">dermal </w:t>
      </w:r>
      <w:r w:rsidR="00CB7166">
        <w:rPr>
          <w:rFonts w:ascii="Arial" w:hAnsi="Arial" w:cs="Arial"/>
          <w:color w:val="222222"/>
          <w:lang w:val="en"/>
        </w:rPr>
        <w:t>and</w:t>
      </w:r>
      <w:r w:rsidR="00CB7166" w:rsidRPr="00A3503E">
        <w:rPr>
          <w:rFonts w:ascii="Arial" w:hAnsi="Arial" w:cs="Arial"/>
          <w:color w:val="222222"/>
          <w:lang w:val="en"/>
        </w:rPr>
        <w:t xml:space="preserve"> </w:t>
      </w:r>
      <w:r w:rsidR="00CC6073" w:rsidRPr="00A3503E">
        <w:rPr>
          <w:rFonts w:ascii="Arial" w:hAnsi="Arial" w:cs="Arial"/>
          <w:color w:val="222222"/>
          <w:lang w:val="en"/>
        </w:rPr>
        <w:t>oral applications</w:t>
      </w:r>
      <w:r w:rsidR="00CB7166">
        <w:rPr>
          <w:rFonts w:ascii="Arial" w:hAnsi="Arial" w:cs="Arial"/>
          <w:color w:val="222222"/>
          <w:lang w:val="en"/>
        </w:rPr>
        <w:t>,</w:t>
      </w:r>
      <w:r w:rsidR="00CC6073" w:rsidRPr="00A3503E">
        <w:rPr>
          <w:rFonts w:ascii="Arial" w:hAnsi="Arial" w:cs="Arial"/>
          <w:color w:val="222222"/>
          <w:lang w:val="en"/>
        </w:rPr>
        <w:t xml:space="preserve">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CC6073" w:rsidRPr="00A3503E">
        <w:rPr>
          <w:rFonts w:ascii="Arial" w:hAnsi="Arial" w:cs="Arial"/>
          <w:color w:val="222222"/>
          <w:lang w:val="en"/>
        </w:rPr>
        <w:t xml:space="preserve"> </w:t>
      </w:r>
      <w:r w:rsidR="00CC6073">
        <w:rPr>
          <w:rFonts w:ascii="Arial" w:hAnsi="Arial" w:cs="Arial"/>
          <w:color w:val="222222"/>
          <w:lang w:val="en"/>
        </w:rPr>
        <w:t>re</w:t>
      </w:r>
      <w:r w:rsidR="00C53DB0">
        <w:rPr>
          <w:rFonts w:ascii="Arial" w:hAnsi="Arial" w:cs="Arial"/>
          <w:color w:val="222222"/>
          <w:lang w:val="en"/>
        </w:rPr>
        <w:t>presents</w:t>
      </w:r>
      <w:r w:rsidR="00BB0668" w:rsidRPr="00A3503E">
        <w:rPr>
          <w:rFonts w:ascii="Arial" w:hAnsi="Arial" w:cs="Arial"/>
          <w:color w:val="222222"/>
          <w:lang w:val="en"/>
        </w:rPr>
        <w:t xml:space="preserve"> </w:t>
      </w:r>
      <w:r w:rsidR="00A3503E" w:rsidRPr="00A3503E">
        <w:rPr>
          <w:rFonts w:ascii="Arial" w:hAnsi="Arial" w:cs="Arial"/>
          <w:color w:val="222222"/>
          <w:lang w:val="en"/>
        </w:rPr>
        <w:t>an ideal and safe excipient for all of the above-</w:t>
      </w:r>
      <w:r w:rsidR="00C53DB0" w:rsidRPr="00A3503E">
        <w:rPr>
          <w:rFonts w:ascii="Arial" w:hAnsi="Arial" w:cs="Arial"/>
          <w:color w:val="222222"/>
          <w:lang w:val="en"/>
        </w:rPr>
        <w:t>mentioned uses</w:t>
      </w:r>
      <w:r w:rsidR="00A3503E">
        <w:rPr>
          <w:rFonts w:ascii="Arial" w:hAnsi="Arial" w:cs="Arial"/>
          <w:color w:val="222222"/>
          <w:lang w:val="en"/>
        </w:rPr>
        <w:t xml:space="preserve"> in medicinal products</w:t>
      </w:r>
      <w:r w:rsidR="00A3503E" w:rsidRPr="00A3503E">
        <w:rPr>
          <w:rFonts w:ascii="Arial" w:hAnsi="Arial" w:cs="Arial"/>
          <w:color w:val="222222"/>
          <w:lang w:val="en"/>
        </w:rPr>
        <w:t>.</w:t>
      </w:r>
    </w:p>
    <w:p w14:paraId="47D6CBD0" w14:textId="77777777" w:rsidR="002D7370" w:rsidRDefault="002D7370" w:rsidP="00425E93">
      <w:pPr>
        <w:jc w:val="both"/>
        <w:rPr>
          <w:rStyle w:val="shorttext"/>
          <w:rFonts w:ascii="Arial" w:hAnsi="Arial" w:cs="Arial"/>
          <w:color w:val="222222"/>
          <w:u w:val="single"/>
          <w:lang w:val="en"/>
        </w:rPr>
      </w:pPr>
    </w:p>
    <w:p w14:paraId="04927392" w14:textId="3F01B19F" w:rsidR="00FE6579" w:rsidRPr="00FE6579" w:rsidRDefault="001B478D" w:rsidP="00425E93">
      <w:pPr>
        <w:jc w:val="both"/>
        <w:rPr>
          <w:rFonts w:ascii="Arial" w:hAnsi="Arial" w:cs="Arial"/>
          <w:color w:val="222222"/>
          <w:u w:val="single"/>
          <w:lang w:val="en"/>
        </w:rPr>
      </w:pPr>
      <w:r>
        <w:rPr>
          <w:rStyle w:val="shorttext"/>
          <w:rFonts w:ascii="Arial" w:hAnsi="Arial" w:cs="Arial"/>
          <w:color w:val="222222"/>
          <w:u w:val="single"/>
          <w:lang w:val="en"/>
        </w:rPr>
        <w:t xml:space="preserve">Use in </w:t>
      </w:r>
      <w:r w:rsidR="00FE6579">
        <w:rPr>
          <w:rStyle w:val="shorttext"/>
          <w:rFonts w:ascii="Arial" w:hAnsi="Arial" w:cs="Arial"/>
          <w:color w:val="222222"/>
          <w:u w:val="single"/>
          <w:lang w:val="en"/>
        </w:rPr>
        <w:t>Medical Devices:</w:t>
      </w:r>
    </w:p>
    <w:p w14:paraId="0168512E" w14:textId="60C968FA" w:rsidR="00FA1914" w:rsidRPr="00FA1914" w:rsidRDefault="00C53DB0" w:rsidP="00850C6F">
      <w:pPr>
        <w:jc w:val="both"/>
        <w:rPr>
          <w:rFonts w:ascii="Arial" w:hAnsi="Arial" w:cs="Arial"/>
          <w:color w:val="222222"/>
          <w:lang w:val="en-US"/>
        </w:rPr>
      </w:pPr>
      <w:r>
        <w:rPr>
          <w:rFonts w:ascii="Arial" w:hAnsi="Arial" w:cs="Arial"/>
          <w:color w:val="222222"/>
          <w:lang w:val="en"/>
        </w:rPr>
        <w:t>Various</w:t>
      </w:r>
      <w:r w:rsidR="00BB0668">
        <w:rPr>
          <w:rFonts w:ascii="Arial" w:hAnsi="Arial" w:cs="Arial"/>
          <w:color w:val="222222"/>
          <w:lang w:val="en"/>
        </w:rPr>
        <w:t xml:space="preserve"> </w:t>
      </w:r>
      <w:r w:rsidR="008D214F">
        <w:rPr>
          <w:rFonts w:ascii="Arial" w:hAnsi="Arial" w:cs="Arial"/>
          <w:color w:val="222222"/>
          <w:lang w:val="en"/>
        </w:rPr>
        <w:t xml:space="preserve">medical devices contain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8D214F">
        <w:rPr>
          <w:rFonts w:ascii="Arial" w:hAnsi="Arial" w:cs="Arial"/>
          <w:color w:val="222222"/>
          <w:lang w:val="en"/>
        </w:rPr>
        <w:t xml:space="preserve"> as a pigment in bound form</w:t>
      </w:r>
      <w:r>
        <w:rPr>
          <w:rFonts w:ascii="Arial" w:hAnsi="Arial" w:cs="Arial"/>
          <w:color w:val="222222"/>
          <w:lang w:val="en"/>
        </w:rPr>
        <w:t xml:space="preserve"> </w:t>
      </w:r>
      <w:r w:rsidR="006D641F">
        <w:rPr>
          <w:rFonts w:ascii="Arial" w:hAnsi="Arial" w:cs="Arial"/>
          <w:color w:val="222222"/>
          <w:lang w:val="en"/>
        </w:rPr>
        <w:t>e.g.</w:t>
      </w:r>
      <w:r w:rsidR="008D214F">
        <w:rPr>
          <w:rFonts w:ascii="Arial" w:hAnsi="Arial" w:cs="Arial"/>
          <w:color w:val="222222"/>
          <w:lang w:val="en"/>
        </w:rPr>
        <w:t xml:space="preserve"> </w:t>
      </w:r>
      <w:r w:rsidR="00FA1914" w:rsidRPr="00FA1914">
        <w:rPr>
          <w:rFonts w:ascii="Arial" w:hAnsi="Arial" w:cs="Arial"/>
          <w:color w:val="222222"/>
          <w:lang w:val="en"/>
        </w:rPr>
        <w:t xml:space="preserve">as </w:t>
      </w:r>
      <w:r w:rsidR="001B478D">
        <w:rPr>
          <w:rFonts w:ascii="Arial" w:hAnsi="Arial" w:cs="Arial"/>
          <w:color w:val="222222"/>
          <w:lang w:val="en"/>
        </w:rPr>
        <w:t xml:space="preserve">dental </w:t>
      </w:r>
      <w:r w:rsidR="00FA1914">
        <w:rPr>
          <w:rFonts w:ascii="Arial" w:hAnsi="Arial" w:cs="Arial"/>
          <w:color w:val="222222"/>
          <w:lang w:val="en"/>
        </w:rPr>
        <w:t xml:space="preserve">impression </w:t>
      </w:r>
      <w:r w:rsidR="001B478D">
        <w:rPr>
          <w:rFonts w:ascii="Arial" w:hAnsi="Arial" w:cs="Arial"/>
          <w:color w:val="222222"/>
          <w:lang w:val="en"/>
        </w:rPr>
        <w:t>or</w:t>
      </w:r>
      <w:r w:rsidR="00FA1914">
        <w:rPr>
          <w:rFonts w:ascii="Arial" w:hAnsi="Arial" w:cs="Arial"/>
          <w:color w:val="222222"/>
          <w:lang w:val="en"/>
        </w:rPr>
        <w:t xml:space="preserve"> d</w:t>
      </w:r>
      <w:r w:rsidR="00FA1914" w:rsidRPr="00FA1914">
        <w:rPr>
          <w:rFonts w:ascii="Arial" w:hAnsi="Arial" w:cs="Arial"/>
          <w:color w:val="222222"/>
          <w:lang w:val="en"/>
        </w:rPr>
        <w:t xml:space="preserve">ental filling </w:t>
      </w:r>
      <w:r w:rsidR="001B478D">
        <w:rPr>
          <w:rFonts w:ascii="Arial" w:hAnsi="Arial" w:cs="Arial"/>
          <w:color w:val="222222"/>
          <w:lang w:val="en"/>
        </w:rPr>
        <w:t>or</w:t>
      </w:r>
      <w:r w:rsidR="00FA1914">
        <w:rPr>
          <w:rFonts w:ascii="Arial" w:hAnsi="Arial" w:cs="Arial"/>
          <w:color w:val="222222"/>
          <w:lang w:val="en"/>
        </w:rPr>
        <w:t xml:space="preserve"> d</w:t>
      </w:r>
      <w:r w:rsidR="00FA1914" w:rsidRPr="00FA1914">
        <w:rPr>
          <w:rFonts w:ascii="Arial" w:hAnsi="Arial" w:cs="Arial"/>
          <w:color w:val="222222"/>
          <w:lang w:val="en"/>
        </w:rPr>
        <w:t xml:space="preserve">ental temporary </w:t>
      </w:r>
      <w:r w:rsidR="001B478D">
        <w:rPr>
          <w:rFonts w:ascii="Arial" w:hAnsi="Arial" w:cs="Arial"/>
          <w:color w:val="222222"/>
          <w:lang w:val="en"/>
        </w:rPr>
        <w:t xml:space="preserve">or dental </w:t>
      </w:r>
      <w:r w:rsidR="00FA1914">
        <w:rPr>
          <w:rFonts w:ascii="Arial" w:hAnsi="Arial" w:cs="Arial"/>
          <w:color w:val="222222"/>
          <w:lang w:val="en"/>
        </w:rPr>
        <w:t xml:space="preserve">lab materials and </w:t>
      </w:r>
      <w:r w:rsidR="00FA1914" w:rsidRPr="00FA1914">
        <w:rPr>
          <w:rFonts w:ascii="Arial" w:hAnsi="Arial" w:cs="Arial"/>
          <w:color w:val="222222"/>
          <w:lang w:val="en"/>
        </w:rPr>
        <w:t>luting cements</w:t>
      </w:r>
      <w:r w:rsidR="00FA1914">
        <w:rPr>
          <w:rFonts w:ascii="Arial" w:hAnsi="Arial" w:cs="Arial"/>
          <w:color w:val="222222"/>
          <w:lang w:val="en"/>
        </w:rPr>
        <w:t xml:space="preserve">. </w:t>
      </w:r>
      <w:r w:rsidR="006C0FF7">
        <w:rPr>
          <w:rFonts w:ascii="Arial" w:hAnsi="Arial" w:cs="Arial"/>
          <w:color w:val="222222"/>
          <w:lang w:val="en"/>
        </w:rPr>
        <w:t>F</w:t>
      </w:r>
      <w:r w:rsidR="006C0FF7" w:rsidRPr="00FA1914">
        <w:rPr>
          <w:rFonts w:ascii="Arial" w:hAnsi="Arial" w:cs="Arial"/>
          <w:color w:val="222222"/>
          <w:lang w:val="en"/>
        </w:rPr>
        <w:t xml:space="preserve">or </w:t>
      </w:r>
      <w:r w:rsidR="001B478D">
        <w:rPr>
          <w:rFonts w:ascii="Arial" w:hAnsi="Arial" w:cs="Arial"/>
          <w:color w:val="222222"/>
          <w:lang w:val="en"/>
        </w:rPr>
        <w:t xml:space="preserve">all </w:t>
      </w:r>
      <w:r w:rsidR="006C0FF7">
        <w:rPr>
          <w:rFonts w:ascii="Arial" w:hAnsi="Arial" w:cs="Arial"/>
          <w:color w:val="222222"/>
          <w:lang w:val="en"/>
        </w:rPr>
        <w:t xml:space="preserve">these </w:t>
      </w:r>
      <w:r w:rsidR="006C0FF7" w:rsidRPr="00FA1914">
        <w:rPr>
          <w:rFonts w:ascii="Arial" w:hAnsi="Arial" w:cs="Arial"/>
          <w:color w:val="222222"/>
          <w:lang w:val="en"/>
        </w:rPr>
        <w:t xml:space="preserve">dental materials </w:t>
      </w:r>
      <w:r w:rsidR="006C0FF7">
        <w:rPr>
          <w:rFonts w:ascii="Arial" w:hAnsi="Arial" w:cs="Arial"/>
          <w:color w:val="222222"/>
          <w:lang w:val="en"/>
        </w:rPr>
        <w:t>t</w:t>
      </w:r>
      <w:r w:rsidR="00FA1914" w:rsidRPr="00FA1914">
        <w:rPr>
          <w:rFonts w:ascii="Arial" w:hAnsi="Arial" w:cs="Arial"/>
          <w:color w:val="222222"/>
          <w:lang w:val="en"/>
        </w:rPr>
        <w:t xml:space="preserve">itanium dioxide </w:t>
      </w:r>
      <w:r w:rsidR="00346E1A">
        <w:rPr>
          <w:rFonts w:ascii="Arial" w:hAnsi="Arial" w:cs="Arial"/>
          <w:color w:val="222222"/>
          <w:lang w:val="en"/>
        </w:rPr>
        <w:t>achieves the</w:t>
      </w:r>
      <w:r w:rsidR="00FA1914" w:rsidRPr="00FA1914">
        <w:rPr>
          <w:rFonts w:ascii="Arial" w:hAnsi="Arial" w:cs="Arial"/>
          <w:color w:val="222222"/>
          <w:lang w:val="en"/>
        </w:rPr>
        <w:t xml:space="preserve"> best results to obtain esthetic colors</w:t>
      </w:r>
      <w:r w:rsidR="009E1CAB">
        <w:rPr>
          <w:rFonts w:ascii="Arial" w:hAnsi="Arial" w:cs="Arial"/>
          <w:color w:val="222222"/>
          <w:lang w:val="en"/>
        </w:rPr>
        <w:t xml:space="preserve"> </w:t>
      </w:r>
      <w:r w:rsidR="005537AF">
        <w:rPr>
          <w:rFonts w:ascii="Arial" w:hAnsi="Arial" w:cs="Arial"/>
          <w:color w:val="222222"/>
          <w:lang w:val="en"/>
        </w:rPr>
        <w:t xml:space="preserve">which </w:t>
      </w:r>
      <w:r w:rsidR="009E1CAB">
        <w:rPr>
          <w:rFonts w:ascii="Arial" w:hAnsi="Arial" w:cs="Arial"/>
          <w:color w:val="222222"/>
          <w:lang w:val="en"/>
        </w:rPr>
        <w:t xml:space="preserve">means the most esthetic dental products can be achieved even </w:t>
      </w:r>
      <w:r w:rsidR="006C0FF7">
        <w:rPr>
          <w:rFonts w:ascii="Arial" w:hAnsi="Arial" w:cs="Arial"/>
          <w:color w:val="222222"/>
          <w:lang w:val="en"/>
        </w:rPr>
        <w:t>w</w:t>
      </w:r>
      <w:r w:rsidR="00FA1914" w:rsidRPr="00FA1914">
        <w:rPr>
          <w:rFonts w:ascii="Arial" w:hAnsi="Arial" w:cs="Arial"/>
          <w:color w:val="222222"/>
          <w:lang w:val="en"/>
        </w:rPr>
        <w:t xml:space="preserve">ith </w:t>
      </w:r>
      <w:r w:rsidR="009E1CAB">
        <w:rPr>
          <w:rFonts w:ascii="Arial" w:hAnsi="Arial" w:cs="Arial"/>
          <w:color w:val="222222"/>
          <w:lang w:val="en"/>
        </w:rPr>
        <w:t>a very</w:t>
      </w:r>
      <w:r w:rsidR="009E1CAB" w:rsidRPr="00FA1914">
        <w:rPr>
          <w:rFonts w:ascii="Arial" w:hAnsi="Arial" w:cs="Arial"/>
          <w:color w:val="222222"/>
          <w:lang w:val="en"/>
        </w:rPr>
        <w:t xml:space="preserve"> </w:t>
      </w:r>
      <w:r w:rsidR="00FA1914" w:rsidRPr="00FA1914">
        <w:rPr>
          <w:rFonts w:ascii="Arial" w:hAnsi="Arial" w:cs="Arial"/>
          <w:color w:val="222222"/>
          <w:lang w:val="en"/>
        </w:rPr>
        <w:t>low pigment concentration</w:t>
      </w:r>
      <w:r w:rsidR="009E1CAB">
        <w:rPr>
          <w:rFonts w:ascii="Arial" w:hAnsi="Arial" w:cs="Arial"/>
          <w:color w:val="222222"/>
          <w:lang w:val="en"/>
        </w:rPr>
        <w:t>.</w:t>
      </w:r>
    </w:p>
    <w:p w14:paraId="19FEFA79" w14:textId="47101052" w:rsidR="003C1288" w:rsidRDefault="00E92A28" w:rsidP="00850C6F">
      <w:pPr>
        <w:jc w:val="both"/>
        <w:rPr>
          <w:rFonts w:ascii="Arial" w:hAnsi="Arial" w:cs="Arial"/>
          <w:color w:val="222222"/>
          <w:lang w:val="en"/>
        </w:rPr>
      </w:pPr>
      <w:r>
        <w:rPr>
          <w:rFonts w:ascii="Arial" w:hAnsi="Arial" w:cs="Arial"/>
          <w:color w:val="222222"/>
          <w:lang w:val="en"/>
        </w:rPr>
        <w:t xml:space="preserve">Furthermore,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3C1288">
        <w:rPr>
          <w:rFonts w:ascii="Arial" w:hAnsi="Arial" w:cs="Arial"/>
          <w:color w:val="222222"/>
          <w:lang w:val="en"/>
        </w:rPr>
        <w:t xml:space="preserve"> is present in various plastic parts in medical equipment/medical</w:t>
      </w:r>
      <w:r w:rsidR="00C41432">
        <w:rPr>
          <w:rFonts w:ascii="Arial" w:hAnsi="Arial" w:cs="Arial"/>
          <w:color w:val="222222"/>
          <w:lang w:val="en"/>
        </w:rPr>
        <w:t xml:space="preserve"> </w:t>
      </w:r>
      <w:r w:rsidR="00B35C64">
        <w:rPr>
          <w:rFonts w:ascii="Arial" w:hAnsi="Arial" w:cs="Arial"/>
          <w:color w:val="222222"/>
          <w:lang w:val="en"/>
        </w:rPr>
        <w:t xml:space="preserve">devices </w:t>
      </w:r>
      <w:r w:rsidR="00C41432">
        <w:rPr>
          <w:rFonts w:ascii="Arial" w:hAnsi="Arial" w:cs="Arial"/>
          <w:color w:val="222222"/>
          <w:lang w:val="en"/>
        </w:rPr>
        <w:t>and act</w:t>
      </w:r>
      <w:r w:rsidR="002E761D">
        <w:rPr>
          <w:rFonts w:ascii="Arial" w:hAnsi="Arial" w:cs="Arial"/>
          <w:color w:val="222222"/>
          <w:lang w:val="en"/>
        </w:rPr>
        <w:t>s</w:t>
      </w:r>
      <w:r w:rsidR="00C41432">
        <w:rPr>
          <w:rFonts w:ascii="Arial" w:hAnsi="Arial" w:cs="Arial"/>
          <w:color w:val="222222"/>
          <w:lang w:val="en"/>
        </w:rPr>
        <w:t xml:space="preserve"> </w:t>
      </w:r>
      <w:r w:rsidR="009E1CAB">
        <w:rPr>
          <w:rFonts w:ascii="Arial" w:hAnsi="Arial" w:cs="Arial"/>
          <w:color w:val="222222"/>
          <w:lang w:val="en"/>
        </w:rPr>
        <w:t xml:space="preserve">to the white coloration </w:t>
      </w:r>
      <w:r w:rsidR="002E761D">
        <w:rPr>
          <w:rFonts w:ascii="Arial" w:hAnsi="Arial" w:cs="Arial"/>
          <w:color w:val="222222"/>
          <w:lang w:val="en"/>
        </w:rPr>
        <w:t xml:space="preserve">as </w:t>
      </w:r>
      <w:r w:rsidR="001B478D">
        <w:rPr>
          <w:rFonts w:ascii="Arial" w:hAnsi="Arial" w:cs="Arial"/>
          <w:color w:val="222222"/>
          <w:lang w:val="en"/>
        </w:rPr>
        <w:t xml:space="preserve">dirt and other </w:t>
      </w:r>
      <w:proofErr w:type="spellStart"/>
      <w:r w:rsidR="00CA5ABE">
        <w:rPr>
          <w:rFonts w:ascii="Arial" w:hAnsi="Arial" w:cs="Arial"/>
          <w:color w:val="222222"/>
          <w:lang w:val="en"/>
        </w:rPr>
        <w:t>soilings</w:t>
      </w:r>
      <w:proofErr w:type="spellEnd"/>
      <w:r w:rsidR="001B478D">
        <w:rPr>
          <w:rFonts w:ascii="Arial" w:hAnsi="Arial" w:cs="Arial"/>
          <w:color w:val="222222"/>
          <w:lang w:val="en"/>
        </w:rPr>
        <w:t xml:space="preserve"> </w:t>
      </w:r>
      <w:r w:rsidR="00827677">
        <w:rPr>
          <w:rFonts w:ascii="Arial" w:hAnsi="Arial" w:cs="Arial"/>
          <w:color w:val="222222"/>
          <w:lang w:val="en"/>
        </w:rPr>
        <w:t xml:space="preserve">are instantly seen, and secondly as </w:t>
      </w:r>
      <w:r w:rsidR="003F476D">
        <w:rPr>
          <w:rFonts w:ascii="Arial" w:hAnsi="Arial" w:cs="Arial"/>
          <w:color w:val="222222"/>
          <w:lang w:val="en"/>
        </w:rPr>
        <w:br/>
        <w:t>UV-</w:t>
      </w:r>
      <w:r w:rsidR="002E761D" w:rsidRPr="002E761D">
        <w:rPr>
          <w:rFonts w:ascii="Arial" w:hAnsi="Arial" w:cs="Arial"/>
          <w:color w:val="222222"/>
          <w:lang w:val="en"/>
        </w:rPr>
        <w:t xml:space="preserve">protection </w:t>
      </w:r>
      <w:r w:rsidR="00346E1A">
        <w:rPr>
          <w:rFonts w:ascii="Arial" w:hAnsi="Arial" w:cs="Arial"/>
          <w:color w:val="222222"/>
          <w:lang w:val="en"/>
        </w:rPr>
        <w:t>due to its light resistance</w:t>
      </w:r>
      <w:r>
        <w:rPr>
          <w:rFonts w:ascii="Arial" w:hAnsi="Arial" w:cs="Arial"/>
          <w:color w:val="222222"/>
          <w:lang w:val="en"/>
        </w:rPr>
        <w:t xml:space="preserve">. </w:t>
      </w:r>
      <w:r w:rsidR="00601C4F">
        <w:rPr>
          <w:rFonts w:ascii="Arial" w:hAnsi="Arial" w:cs="Arial"/>
          <w:color w:val="222222"/>
          <w:lang w:val="en"/>
        </w:rPr>
        <w:t xml:space="preserve">In </w:t>
      </w:r>
      <w:r w:rsidR="00816734">
        <w:rPr>
          <w:rFonts w:ascii="Arial" w:hAnsi="Arial" w:cs="Arial"/>
          <w:color w:val="222222"/>
          <w:lang w:val="en"/>
        </w:rPr>
        <w:t>conclusion</w:t>
      </w:r>
      <w:r w:rsidR="00601C4F">
        <w:rPr>
          <w:rFonts w:ascii="Arial" w:hAnsi="Arial" w:cs="Arial"/>
          <w:color w:val="222222"/>
          <w:lang w:val="en"/>
        </w:rPr>
        <w:t xml:space="preserve">, </w:t>
      </w:r>
      <w:r w:rsidR="00827677">
        <w:rPr>
          <w:rFonts w:ascii="Arial" w:hAnsi="Arial" w:cs="Arial"/>
          <w:color w:val="222222"/>
          <w:lang w:val="en"/>
        </w:rPr>
        <w:t>TiO</w:t>
      </w:r>
      <w:r w:rsidR="00827677" w:rsidRPr="00911ECC">
        <w:rPr>
          <w:rFonts w:ascii="Arial" w:hAnsi="Arial" w:cs="Arial"/>
          <w:color w:val="222222"/>
          <w:vertAlign w:val="subscript"/>
          <w:lang w:val="en"/>
        </w:rPr>
        <w:t>2</w:t>
      </w:r>
      <w:r w:rsidR="00827677">
        <w:rPr>
          <w:rFonts w:ascii="Arial" w:hAnsi="Arial" w:cs="Arial"/>
          <w:color w:val="222222"/>
          <w:lang w:val="en"/>
        </w:rPr>
        <w:t xml:space="preserve"> cares </w:t>
      </w:r>
      <w:r w:rsidR="002E761D">
        <w:rPr>
          <w:rFonts w:ascii="Arial" w:hAnsi="Arial" w:cs="Arial"/>
          <w:color w:val="222222"/>
          <w:lang w:val="en"/>
        </w:rPr>
        <w:t xml:space="preserve">on the </w:t>
      </w:r>
      <w:r w:rsidR="00827677">
        <w:rPr>
          <w:rFonts w:ascii="Arial" w:hAnsi="Arial" w:cs="Arial"/>
          <w:color w:val="222222"/>
          <w:lang w:val="en"/>
        </w:rPr>
        <w:t xml:space="preserve">one hand for the stability of the product and on the </w:t>
      </w:r>
      <w:r w:rsidR="002E761D">
        <w:rPr>
          <w:rFonts w:ascii="Arial" w:hAnsi="Arial" w:cs="Arial"/>
          <w:color w:val="222222"/>
          <w:lang w:val="en"/>
        </w:rPr>
        <w:t xml:space="preserve">other hand </w:t>
      </w:r>
      <w:r w:rsidR="00B35C64">
        <w:rPr>
          <w:rFonts w:ascii="Arial" w:hAnsi="Arial" w:cs="Arial"/>
          <w:color w:val="222222"/>
          <w:lang w:val="en"/>
        </w:rPr>
        <w:t>for hygienic terms</w:t>
      </w:r>
      <w:r w:rsidR="00601C4F">
        <w:rPr>
          <w:rFonts w:ascii="Arial" w:hAnsi="Arial" w:cs="Arial"/>
          <w:color w:val="222222"/>
          <w:lang w:val="en"/>
        </w:rPr>
        <w:t>.</w:t>
      </w:r>
    </w:p>
    <w:p w14:paraId="6DD68489" w14:textId="77777777" w:rsidR="00D84A37" w:rsidRPr="006251B5" w:rsidRDefault="00D84A37" w:rsidP="00850C6F">
      <w:pPr>
        <w:jc w:val="both"/>
        <w:rPr>
          <w:rFonts w:ascii="Arial" w:hAnsi="Arial" w:cs="Arial"/>
          <w:color w:val="222222"/>
          <w:lang w:val="en-US"/>
        </w:rPr>
      </w:pPr>
    </w:p>
    <w:p w14:paraId="18B3C028" w14:textId="4652743F" w:rsidR="00827677" w:rsidRDefault="00827677" w:rsidP="00850C6F">
      <w:pPr>
        <w:jc w:val="both"/>
        <w:rPr>
          <w:rFonts w:ascii="Arial" w:hAnsi="Arial" w:cs="Arial"/>
          <w:color w:val="222222"/>
          <w:lang w:val="en"/>
        </w:rPr>
      </w:pPr>
      <w:r>
        <w:rPr>
          <w:rFonts w:ascii="Arial" w:hAnsi="Arial" w:cs="Arial"/>
          <w:color w:val="222222"/>
          <w:lang w:val="en-US"/>
        </w:rPr>
        <w:t xml:space="preserve">Although </w:t>
      </w:r>
      <w:r>
        <w:rPr>
          <w:rFonts w:ascii="Arial" w:hAnsi="Arial" w:cs="Arial"/>
          <w:color w:val="222222"/>
          <w:lang w:val="en"/>
        </w:rPr>
        <w:t>TiO</w:t>
      </w:r>
      <w:r w:rsidRPr="00B32863">
        <w:rPr>
          <w:rFonts w:ascii="Arial" w:hAnsi="Arial" w:cs="Arial"/>
          <w:color w:val="222222"/>
          <w:vertAlign w:val="subscript"/>
          <w:lang w:val="en"/>
        </w:rPr>
        <w:t>2</w:t>
      </w:r>
      <w:r w:rsidRPr="00911ECC">
        <w:rPr>
          <w:rFonts w:ascii="Arial" w:hAnsi="Arial" w:cs="Arial"/>
          <w:color w:val="222222"/>
          <w:lang w:val="en"/>
        </w:rPr>
        <w:t xml:space="preserve"> </w:t>
      </w:r>
      <w:r>
        <w:rPr>
          <w:rFonts w:ascii="Arial" w:hAnsi="Arial" w:cs="Arial"/>
          <w:color w:val="222222"/>
          <w:lang w:val="en"/>
        </w:rPr>
        <w:t xml:space="preserve">is used for decades not only in medicinal products and medical devices, there are no known examples of </w:t>
      </w:r>
      <w:r w:rsidR="00CA5ABE">
        <w:rPr>
          <w:rFonts w:ascii="Arial" w:hAnsi="Arial" w:cs="Arial"/>
          <w:color w:val="222222"/>
          <w:lang w:val="en"/>
        </w:rPr>
        <w:t>adverse reactions</w:t>
      </w:r>
      <w:r>
        <w:rPr>
          <w:rFonts w:ascii="Arial" w:hAnsi="Arial" w:cs="Arial"/>
          <w:color w:val="222222"/>
          <w:lang w:val="en"/>
        </w:rPr>
        <w:t xml:space="preserve"> caused by the substance in question.</w:t>
      </w:r>
    </w:p>
    <w:p w14:paraId="206F9B8A" w14:textId="77777777" w:rsidR="00850C6F" w:rsidRDefault="00850C6F" w:rsidP="00850C6F">
      <w:pPr>
        <w:jc w:val="both"/>
        <w:rPr>
          <w:rFonts w:ascii="Arial" w:hAnsi="Arial" w:cs="Arial"/>
          <w:color w:val="222222"/>
          <w:lang w:val="en"/>
        </w:rPr>
      </w:pPr>
    </w:p>
    <w:p w14:paraId="13F8F985" w14:textId="77777777" w:rsidR="00523E49" w:rsidRPr="00523E49" w:rsidRDefault="00523E49" w:rsidP="00523E49">
      <w:pPr>
        <w:jc w:val="both"/>
        <w:rPr>
          <w:rFonts w:ascii="Arial" w:hAnsi="Arial" w:cs="Arial"/>
          <w:color w:val="222222"/>
          <w:u w:val="single"/>
          <w:lang w:val="en-US"/>
        </w:rPr>
      </w:pPr>
      <w:r w:rsidRPr="00523E49">
        <w:rPr>
          <w:rFonts w:ascii="Arial" w:hAnsi="Arial" w:cs="Arial"/>
          <w:color w:val="222222"/>
          <w:u w:val="single"/>
          <w:lang w:val="en-US"/>
        </w:rPr>
        <w:lastRenderedPageBreak/>
        <w:t>Use in Food and in Cosmetic Products:</w:t>
      </w:r>
    </w:p>
    <w:p w14:paraId="6862736A" w14:textId="60983E52" w:rsidR="005A746C" w:rsidRDefault="005A746C" w:rsidP="00850C6F">
      <w:pPr>
        <w:jc w:val="both"/>
        <w:rPr>
          <w:rFonts w:ascii="Arial" w:hAnsi="Arial" w:cs="Arial"/>
          <w:color w:val="222222"/>
          <w:lang w:val="en-US"/>
        </w:rPr>
      </w:pPr>
      <w:r>
        <w:rPr>
          <w:rFonts w:ascii="Arial" w:hAnsi="Arial" w:cs="Arial"/>
          <w:color w:val="222222"/>
          <w:lang w:val="en-US"/>
        </w:rPr>
        <w:t xml:space="preserve">Titanium dioxide is an </w:t>
      </w:r>
      <w:proofErr w:type="spellStart"/>
      <w:r>
        <w:rPr>
          <w:rFonts w:ascii="Arial" w:hAnsi="Arial" w:cs="Arial"/>
          <w:color w:val="222222"/>
          <w:lang w:val="en-US"/>
        </w:rPr>
        <w:t>authorised</w:t>
      </w:r>
      <w:proofErr w:type="spellEnd"/>
      <w:r>
        <w:rPr>
          <w:rFonts w:ascii="Arial" w:hAnsi="Arial" w:cs="Arial"/>
          <w:color w:val="222222"/>
          <w:lang w:val="en-US"/>
        </w:rPr>
        <w:t xml:space="preserve"> food additive (E 171) according to Regulation (EU) No 1333/2008. An acceptable daily intake (ADI) level has not been set. This is due to the fact that on the basis of the available toxicological, biochemical and clinical data and the total daily intake the substance will not represent a hazard to health</w:t>
      </w:r>
      <w:r>
        <w:rPr>
          <w:rStyle w:val="Funotenzeichen"/>
          <w:rFonts w:ascii="Arial" w:hAnsi="Arial" w:cs="Arial"/>
          <w:color w:val="222222"/>
          <w:lang w:val="en-US"/>
        </w:rPr>
        <w:footnoteReference w:id="1"/>
      </w:r>
      <w:r>
        <w:rPr>
          <w:rFonts w:ascii="Arial" w:hAnsi="Arial" w:cs="Arial"/>
          <w:color w:val="222222"/>
          <w:lang w:val="en-US"/>
        </w:rPr>
        <w:t xml:space="preserve"> and E 171 is used “quan</w:t>
      </w:r>
      <w:r w:rsidR="00AA6299">
        <w:rPr>
          <w:rFonts w:ascii="Arial" w:hAnsi="Arial" w:cs="Arial"/>
          <w:color w:val="222222"/>
          <w:lang w:val="en-US"/>
        </w:rPr>
        <w:t xml:space="preserve">tum </w:t>
      </w:r>
      <w:proofErr w:type="spellStart"/>
      <w:r w:rsidR="00AA6299">
        <w:rPr>
          <w:rFonts w:ascii="Arial" w:hAnsi="Arial" w:cs="Arial"/>
          <w:color w:val="222222"/>
          <w:lang w:val="en-US"/>
        </w:rPr>
        <w:t>satis</w:t>
      </w:r>
      <w:proofErr w:type="spellEnd"/>
      <w:r w:rsidR="00AA6299">
        <w:rPr>
          <w:rFonts w:ascii="Arial" w:hAnsi="Arial" w:cs="Arial"/>
          <w:color w:val="222222"/>
          <w:lang w:val="en-US"/>
        </w:rPr>
        <w:t xml:space="preserve">” as a food </w:t>
      </w:r>
      <w:proofErr w:type="spellStart"/>
      <w:r w:rsidR="00AA6299">
        <w:rPr>
          <w:rFonts w:ascii="Arial" w:hAnsi="Arial" w:cs="Arial"/>
          <w:color w:val="222222"/>
          <w:lang w:val="en-US"/>
        </w:rPr>
        <w:t>colourant</w:t>
      </w:r>
      <w:proofErr w:type="spellEnd"/>
      <w:r w:rsidR="00AA6299">
        <w:rPr>
          <w:rFonts w:ascii="Arial" w:hAnsi="Arial" w:cs="Arial"/>
          <w:color w:val="222222"/>
          <w:lang w:val="en-US"/>
        </w:rPr>
        <w:t>.</w:t>
      </w:r>
    </w:p>
    <w:p w14:paraId="23F29AF4" w14:textId="23B35A98" w:rsidR="005A746C" w:rsidRDefault="005A746C" w:rsidP="00850C6F">
      <w:pPr>
        <w:jc w:val="both"/>
        <w:rPr>
          <w:rFonts w:ascii="Arial" w:hAnsi="Arial" w:cs="Arial"/>
          <w:color w:val="222222"/>
          <w:lang w:val="en-US"/>
        </w:rPr>
      </w:pPr>
      <w:r>
        <w:rPr>
          <w:rFonts w:ascii="Arial" w:hAnsi="Arial" w:cs="Arial"/>
          <w:color w:val="222222"/>
          <w:lang w:val="en-US"/>
        </w:rPr>
        <w:t>According to Regulation (EC) No 1223/2009 on cosmetic products titanium dioxide is a UV filter allowed in cosmetic products in concentrations up to 25 %. The SCCS opinion confirmed the general safety of titanium dioxide but expressed concerns as regards spray applications and exposure to consumer’s lungs to titanium dioxide (</w:t>
      </w:r>
      <w:proofErr w:type="spellStart"/>
      <w:r>
        <w:rPr>
          <w:rFonts w:ascii="Arial" w:hAnsi="Arial" w:cs="Arial"/>
          <w:color w:val="222222"/>
          <w:lang w:val="en-US"/>
        </w:rPr>
        <w:t>nano</w:t>
      </w:r>
      <w:proofErr w:type="spellEnd"/>
      <w:r>
        <w:rPr>
          <w:rFonts w:ascii="Arial" w:hAnsi="Arial" w:cs="Arial"/>
          <w:color w:val="222222"/>
          <w:lang w:val="en-US"/>
        </w:rPr>
        <w:t>) by inhalation. In answer to this opinion Annex VI to Regulation (EC) No 1223/2009 is amended by Regulation (EU) 2016/1143</w:t>
      </w:r>
      <w:r>
        <w:rPr>
          <w:rStyle w:val="Funotenzeichen"/>
          <w:rFonts w:ascii="Arial" w:hAnsi="Arial" w:cs="Arial"/>
          <w:color w:val="222222"/>
          <w:lang w:val="en-US"/>
        </w:rPr>
        <w:footnoteReference w:id="2"/>
      </w:r>
      <w:r>
        <w:rPr>
          <w:rFonts w:ascii="Arial" w:hAnsi="Arial" w:cs="Arial"/>
          <w:color w:val="222222"/>
          <w:lang w:val="en-US"/>
        </w:rPr>
        <w:t xml:space="preserve"> for the purpose of adapting it to technical and scientific progress by specifying the conditions of use for titanium dioxide (</w:t>
      </w:r>
      <w:proofErr w:type="spellStart"/>
      <w:r>
        <w:rPr>
          <w:rFonts w:ascii="Arial" w:hAnsi="Arial" w:cs="Arial"/>
          <w:color w:val="222222"/>
          <w:lang w:val="en-US"/>
        </w:rPr>
        <w:t>nano</w:t>
      </w:r>
      <w:proofErr w:type="spellEnd"/>
      <w:r>
        <w:rPr>
          <w:rFonts w:ascii="Arial" w:hAnsi="Arial" w:cs="Arial"/>
          <w:color w:val="222222"/>
          <w:lang w:val="en-US"/>
        </w:rPr>
        <w:t>).</w:t>
      </w:r>
    </w:p>
    <w:p w14:paraId="4E8FE92B" w14:textId="77777777" w:rsidR="003F476D" w:rsidRDefault="003F476D" w:rsidP="00425E93">
      <w:pPr>
        <w:jc w:val="both"/>
        <w:rPr>
          <w:rFonts w:ascii="Arial" w:hAnsi="Arial" w:cs="Arial"/>
          <w:color w:val="222222"/>
          <w:lang w:val="en-US"/>
        </w:rPr>
      </w:pPr>
    </w:p>
    <w:p w14:paraId="11ECC010" w14:textId="77777777" w:rsidR="003F476D" w:rsidRPr="00A622E2" w:rsidRDefault="003F476D" w:rsidP="00425E93">
      <w:pPr>
        <w:jc w:val="both"/>
        <w:rPr>
          <w:rFonts w:ascii="Arial" w:hAnsi="Arial" w:cs="Arial"/>
          <w:color w:val="222222"/>
          <w:lang w:val="en-US"/>
        </w:rPr>
      </w:pPr>
    </w:p>
    <w:p w14:paraId="3B5EF4B3" w14:textId="6352C7A5" w:rsidR="006C0FF7" w:rsidRPr="005444C4" w:rsidRDefault="00523E49" w:rsidP="00425E93">
      <w:pPr>
        <w:jc w:val="both"/>
        <w:rPr>
          <w:rFonts w:ascii="Arial" w:hAnsi="Arial" w:cs="Arial"/>
          <w:b/>
          <w:color w:val="222222"/>
          <w:sz w:val="24"/>
          <w:szCs w:val="24"/>
          <w:lang w:val="en-US"/>
        </w:rPr>
      </w:pPr>
      <w:r w:rsidRPr="005444C4">
        <w:rPr>
          <w:rFonts w:ascii="Arial" w:hAnsi="Arial" w:cs="Arial"/>
          <w:b/>
          <w:color w:val="222222"/>
          <w:sz w:val="24"/>
          <w:szCs w:val="24"/>
          <w:lang w:val="en-US"/>
        </w:rPr>
        <w:t>Reasons against the Classification as Carcinogenic S</w:t>
      </w:r>
      <w:r w:rsidR="00827677" w:rsidRPr="005444C4">
        <w:rPr>
          <w:rFonts w:ascii="Arial" w:hAnsi="Arial" w:cs="Arial"/>
          <w:b/>
          <w:color w:val="222222"/>
          <w:sz w:val="24"/>
          <w:szCs w:val="24"/>
          <w:lang w:val="en-US"/>
        </w:rPr>
        <w:t>ubstance</w:t>
      </w:r>
    </w:p>
    <w:p w14:paraId="269BA269" w14:textId="31F1F31C" w:rsidR="00850C6F" w:rsidRPr="001E18C0" w:rsidRDefault="00D07DDE" w:rsidP="00850C6F">
      <w:pPr>
        <w:pStyle w:val="StandardFlietext"/>
        <w:numPr>
          <w:ilvl w:val="0"/>
          <w:numId w:val="3"/>
        </w:numPr>
        <w:spacing w:after="0" w:line="240" w:lineRule="auto"/>
        <w:jc w:val="both"/>
        <w:rPr>
          <w:sz w:val="22"/>
          <w:szCs w:val="22"/>
          <w:lang w:val="en-US"/>
        </w:rPr>
      </w:pPr>
      <w:r w:rsidRPr="001E18C0">
        <w:rPr>
          <w:sz w:val="22"/>
          <w:szCs w:val="22"/>
          <w:lang w:val="en-US"/>
        </w:rPr>
        <w:t xml:space="preserve">The proposal of </w:t>
      </w:r>
      <w:r w:rsidR="00EA6351" w:rsidRPr="001E18C0">
        <w:rPr>
          <w:sz w:val="22"/>
          <w:szCs w:val="22"/>
          <w:lang w:val="en-US"/>
        </w:rPr>
        <w:t xml:space="preserve">a </w:t>
      </w:r>
      <w:r w:rsidR="00523E49" w:rsidRPr="001E18C0">
        <w:rPr>
          <w:sz w:val="22"/>
          <w:szCs w:val="22"/>
          <w:lang w:val="en-US"/>
        </w:rPr>
        <w:t>carcinogenic</w:t>
      </w:r>
      <w:r w:rsidR="00EA6351" w:rsidRPr="001E18C0">
        <w:rPr>
          <w:sz w:val="22"/>
          <w:szCs w:val="22"/>
          <w:lang w:val="en-US"/>
        </w:rPr>
        <w:t xml:space="preserve"> </w:t>
      </w:r>
      <w:r w:rsidRPr="001E18C0">
        <w:rPr>
          <w:sz w:val="22"/>
          <w:szCs w:val="22"/>
          <w:lang w:val="en-US"/>
        </w:rPr>
        <w:t xml:space="preserve">classification </w:t>
      </w:r>
      <w:r w:rsidR="000434B1" w:rsidRPr="001E18C0">
        <w:rPr>
          <w:sz w:val="22"/>
          <w:szCs w:val="22"/>
          <w:lang w:val="en-US"/>
        </w:rPr>
        <w:t>in the</w:t>
      </w:r>
      <w:r w:rsidRPr="001E18C0">
        <w:rPr>
          <w:sz w:val="22"/>
          <w:szCs w:val="22"/>
          <w:lang w:val="en-US"/>
        </w:rPr>
        <w:t xml:space="preserve"> CLH report is based on </w:t>
      </w:r>
      <w:r w:rsidR="00945433" w:rsidRPr="001E18C0">
        <w:rPr>
          <w:sz w:val="22"/>
          <w:szCs w:val="22"/>
          <w:lang w:val="en-US"/>
        </w:rPr>
        <w:t xml:space="preserve">inhalation </w:t>
      </w:r>
      <w:r w:rsidRPr="001E18C0">
        <w:rPr>
          <w:sz w:val="22"/>
          <w:szCs w:val="22"/>
          <w:lang w:val="en-US"/>
        </w:rPr>
        <w:t xml:space="preserve">studies in </w:t>
      </w:r>
      <w:r w:rsidR="00DA209C">
        <w:rPr>
          <w:sz w:val="22"/>
          <w:szCs w:val="22"/>
          <w:lang w:val="en-US"/>
        </w:rPr>
        <w:t>rats</w:t>
      </w:r>
      <w:r w:rsidR="004F1B7C">
        <w:rPr>
          <w:sz w:val="22"/>
          <w:szCs w:val="22"/>
          <w:lang w:val="en-US"/>
        </w:rPr>
        <w:t xml:space="preserve"> that</w:t>
      </w:r>
      <w:r w:rsidRPr="001E18C0">
        <w:rPr>
          <w:sz w:val="22"/>
          <w:szCs w:val="22"/>
          <w:lang w:val="en-US"/>
        </w:rPr>
        <w:t xml:space="preserve"> </w:t>
      </w:r>
      <w:r w:rsidR="005537AF" w:rsidRPr="001E18C0">
        <w:rPr>
          <w:sz w:val="22"/>
          <w:szCs w:val="22"/>
          <w:lang w:val="en-US"/>
        </w:rPr>
        <w:t>were</w:t>
      </w:r>
      <w:r w:rsidRPr="001E18C0">
        <w:rPr>
          <w:sz w:val="22"/>
          <w:szCs w:val="22"/>
          <w:lang w:val="en-US"/>
        </w:rPr>
        <w:t xml:space="preserve"> exposed to extremely high concentrations of titan</w:t>
      </w:r>
      <w:r w:rsidR="00F97F08" w:rsidRPr="001E18C0">
        <w:rPr>
          <w:sz w:val="22"/>
          <w:szCs w:val="22"/>
          <w:lang w:val="en-US"/>
        </w:rPr>
        <w:t>ium dioxide dust</w:t>
      </w:r>
      <w:r w:rsidR="00346E1A" w:rsidRPr="001E18C0">
        <w:rPr>
          <w:sz w:val="22"/>
          <w:szCs w:val="22"/>
          <w:lang w:val="en-US"/>
        </w:rPr>
        <w:t xml:space="preserve"> resulting in an effect</w:t>
      </w:r>
      <w:r w:rsidRPr="001E18C0">
        <w:rPr>
          <w:sz w:val="22"/>
          <w:szCs w:val="22"/>
          <w:lang w:val="en-US"/>
        </w:rPr>
        <w:t xml:space="preserve"> </w:t>
      </w:r>
      <w:r w:rsidR="005537AF" w:rsidRPr="001E18C0">
        <w:rPr>
          <w:sz w:val="22"/>
          <w:szCs w:val="22"/>
          <w:lang w:val="en-US"/>
        </w:rPr>
        <w:t xml:space="preserve">which is </w:t>
      </w:r>
      <w:r w:rsidRPr="001E18C0">
        <w:rPr>
          <w:sz w:val="22"/>
          <w:szCs w:val="22"/>
          <w:lang w:val="en-US"/>
        </w:rPr>
        <w:t>called "lung overload".</w:t>
      </w:r>
      <w:r w:rsidR="000434B1" w:rsidRPr="001E18C0">
        <w:rPr>
          <w:sz w:val="22"/>
          <w:szCs w:val="22"/>
          <w:lang w:val="en-US"/>
        </w:rPr>
        <w:t xml:space="preserve"> All relevant guidelines of ECHA, the OECD and ECETOC </w:t>
      </w:r>
      <w:r w:rsidR="004F1B7C">
        <w:rPr>
          <w:sz w:val="22"/>
          <w:szCs w:val="22"/>
          <w:lang w:val="en-US"/>
        </w:rPr>
        <w:t>unanimously establish</w:t>
      </w:r>
      <w:r w:rsidR="00F8434D" w:rsidRPr="001E18C0">
        <w:rPr>
          <w:sz w:val="22"/>
          <w:szCs w:val="22"/>
          <w:lang w:val="en-US"/>
        </w:rPr>
        <w:t xml:space="preserve"> without </w:t>
      </w:r>
      <w:r w:rsidR="00C57F8A" w:rsidRPr="001E18C0">
        <w:rPr>
          <w:sz w:val="22"/>
          <w:szCs w:val="22"/>
          <w:lang w:val="en-US"/>
        </w:rPr>
        <w:t>dissent that</w:t>
      </w:r>
      <w:r w:rsidR="000434B1" w:rsidRPr="001E18C0">
        <w:rPr>
          <w:sz w:val="22"/>
          <w:szCs w:val="22"/>
          <w:lang w:val="en-US"/>
        </w:rPr>
        <w:t xml:space="preserve"> results from "lung overload" studies in rats for several reasons should not be trans</w:t>
      </w:r>
      <w:r w:rsidR="00F8434D" w:rsidRPr="001E18C0">
        <w:rPr>
          <w:sz w:val="22"/>
          <w:szCs w:val="22"/>
          <w:lang w:val="en-US"/>
        </w:rPr>
        <w:t>ferred</w:t>
      </w:r>
      <w:r w:rsidR="000434B1" w:rsidRPr="001E18C0">
        <w:rPr>
          <w:sz w:val="22"/>
          <w:szCs w:val="22"/>
          <w:lang w:val="en-US"/>
        </w:rPr>
        <w:t xml:space="preserve"> to humans. </w:t>
      </w:r>
      <w:r w:rsidR="00850C6F" w:rsidRPr="001E18C0">
        <w:rPr>
          <w:sz w:val="22"/>
          <w:szCs w:val="22"/>
          <w:lang w:val="en-US"/>
        </w:rPr>
        <w:t>T</w:t>
      </w:r>
      <w:r w:rsidR="003573A8" w:rsidRPr="001E18C0">
        <w:rPr>
          <w:sz w:val="22"/>
          <w:szCs w:val="22"/>
          <w:lang w:val="en-US"/>
        </w:rPr>
        <w:t>he two studies cited in the CL</w:t>
      </w:r>
      <w:r w:rsidR="00827677" w:rsidRPr="001E18C0">
        <w:rPr>
          <w:sz w:val="22"/>
          <w:szCs w:val="22"/>
          <w:lang w:val="en-US"/>
        </w:rPr>
        <w:t>H</w:t>
      </w:r>
      <w:r w:rsidR="003573A8" w:rsidRPr="001E18C0">
        <w:rPr>
          <w:sz w:val="22"/>
          <w:szCs w:val="22"/>
          <w:lang w:val="en-US"/>
        </w:rPr>
        <w:t xml:space="preserve"> report </w:t>
      </w:r>
      <w:r w:rsidR="00827677" w:rsidRPr="001E18C0">
        <w:rPr>
          <w:sz w:val="22"/>
          <w:szCs w:val="22"/>
          <w:lang w:val="en-US"/>
        </w:rPr>
        <w:t>concluded</w:t>
      </w:r>
      <w:r w:rsidR="004F1B7C">
        <w:rPr>
          <w:sz w:val="22"/>
          <w:szCs w:val="22"/>
          <w:lang w:val="en-US"/>
        </w:rPr>
        <w:t>,</w:t>
      </w:r>
      <w:r w:rsidR="003573A8" w:rsidRPr="001E18C0">
        <w:rPr>
          <w:sz w:val="22"/>
          <w:szCs w:val="22"/>
          <w:lang w:val="en-US"/>
        </w:rPr>
        <w:t xml:space="preserve"> that there was no evidence of a carcinogenic effect by oral intake of titan</w:t>
      </w:r>
      <w:r w:rsidR="005C6904" w:rsidRPr="001E18C0">
        <w:rPr>
          <w:sz w:val="22"/>
          <w:szCs w:val="22"/>
          <w:lang w:val="en-US"/>
        </w:rPr>
        <w:t>ium</w:t>
      </w:r>
      <w:r w:rsidR="00850C6F" w:rsidRPr="001E18C0">
        <w:rPr>
          <w:sz w:val="22"/>
          <w:szCs w:val="22"/>
          <w:lang w:val="en-US"/>
        </w:rPr>
        <w:t xml:space="preserve"> dioxide.</w:t>
      </w:r>
    </w:p>
    <w:p w14:paraId="1830B7CF" w14:textId="07521E66" w:rsidR="00850C6F" w:rsidRPr="001E18C0" w:rsidRDefault="00850C6F" w:rsidP="00850C6F">
      <w:pPr>
        <w:pStyle w:val="StandardFlietext"/>
        <w:numPr>
          <w:ilvl w:val="0"/>
          <w:numId w:val="3"/>
        </w:numPr>
        <w:spacing w:after="0" w:line="240" w:lineRule="auto"/>
        <w:jc w:val="both"/>
        <w:rPr>
          <w:sz w:val="22"/>
          <w:szCs w:val="22"/>
          <w:lang w:val="en-US"/>
        </w:rPr>
      </w:pPr>
      <w:r w:rsidRPr="001E18C0">
        <w:rPr>
          <w:sz w:val="22"/>
          <w:szCs w:val="22"/>
          <w:lang w:val="en-US"/>
        </w:rPr>
        <w:t>Furthermore, the statement in the CLH report</w:t>
      </w:r>
      <w:r w:rsidR="004F1B7C">
        <w:rPr>
          <w:sz w:val="22"/>
          <w:szCs w:val="22"/>
          <w:lang w:val="en-US"/>
        </w:rPr>
        <w:t>,</w:t>
      </w:r>
      <w:r w:rsidRPr="001E18C0">
        <w:rPr>
          <w:sz w:val="22"/>
          <w:szCs w:val="22"/>
          <w:lang w:val="en-US"/>
        </w:rPr>
        <w:t xml:space="preserve"> that there is sufficient evidence in experimental animals for the carcinogenicity of titanium dioxide (CLH report, page 8, 4th paragraph) is taken from an IARC monograph. The statement was published in the 2006 IARC edition on TiO</w:t>
      </w:r>
      <w:r w:rsidRPr="001E18C0">
        <w:rPr>
          <w:sz w:val="22"/>
          <w:szCs w:val="22"/>
          <w:vertAlign w:val="subscript"/>
          <w:lang w:val="en-US"/>
        </w:rPr>
        <w:t>2</w:t>
      </w:r>
      <w:r w:rsidRPr="001E18C0">
        <w:rPr>
          <w:sz w:val="22"/>
          <w:szCs w:val="22"/>
          <w:lang w:val="en-US"/>
        </w:rPr>
        <w:t xml:space="preserve"> as well as in the 2010 edition. However, the statement is incompletely quoted</w:t>
      </w:r>
      <w:r w:rsidR="004F1B7C">
        <w:rPr>
          <w:sz w:val="22"/>
          <w:szCs w:val="22"/>
          <w:lang w:val="en-US"/>
        </w:rPr>
        <w:t xml:space="preserve"> in the CLH report</w:t>
      </w:r>
      <w:r w:rsidRPr="001E18C0">
        <w:rPr>
          <w:sz w:val="22"/>
          <w:szCs w:val="22"/>
          <w:lang w:val="en-US"/>
        </w:rPr>
        <w:t xml:space="preserve">. In fact, the sentence prior to the above statement reads “There is inadequate evidence in humans for the </w:t>
      </w:r>
      <w:proofErr w:type="spellStart"/>
      <w:r w:rsidRPr="001E18C0">
        <w:rPr>
          <w:sz w:val="22"/>
          <w:szCs w:val="22"/>
          <w:lang w:val="en-US"/>
        </w:rPr>
        <w:t>carcinogenity</w:t>
      </w:r>
      <w:proofErr w:type="spellEnd"/>
      <w:r w:rsidRPr="001E18C0">
        <w:rPr>
          <w:sz w:val="22"/>
          <w:szCs w:val="22"/>
          <w:lang w:val="en-US"/>
        </w:rPr>
        <w:t xml:space="preserve"> of TiO</w:t>
      </w:r>
      <w:r w:rsidRPr="0099351D">
        <w:rPr>
          <w:sz w:val="22"/>
          <w:szCs w:val="22"/>
          <w:vertAlign w:val="subscript"/>
          <w:lang w:val="en-US"/>
        </w:rPr>
        <w:t>2</w:t>
      </w:r>
      <w:r w:rsidRPr="001E18C0">
        <w:rPr>
          <w:sz w:val="22"/>
          <w:szCs w:val="22"/>
          <w:lang w:val="en-US"/>
        </w:rPr>
        <w:t>.” (</w:t>
      </w:r>
      <w:r w:rsidR="00DA209C" w:rsidRPr="001E18C0">
        <w:rPr>
          <w:sz w:val="22"/>
          <w:szCs w:val="22"/>
          <w:lang w:val="en-US"/>
        </w:rPr>
        <w:t>Please</w:t>
      </w:r>
      <w:r w:rsidRPr="001E18C0">
        <w:rPr>
          <w:sz w:val="22"/>
          <w:szCs w:val="22"/>
          <w:lang w:val="en-US"/>
        </w:rPr>
        <w:t xml:space="preserve"> see the 2010 edition, page 275, paragraph 6.2/ underlining added). Scientifically it is </w:t>
      </w:r>
      <w:r w:rsidR="004F1B7C">
        <w:rPr>
          <w:sz w:val="22"/>
          <w:szCs w:val="22"/>
          <w:lang w:val="en-US"/>
        </w:rPr>
        <w:t xml:space="preserve">not justified to cite only </w:t>
      </w:r>
      <w:r w:rsidRPr="001E18C0">
        <w:rPr>
          <w:sz w:val="22"/>
          <w:szCs w:val="22"/>
          <w:lang w:val="en-US"/>
        </w:rPr>
        <w:t>one assessment but to be silent on the other, by far more important, assessment.</w:t>
      </w:r>
    </w:p>
    <w:p w14:paraId="5E22ABFE" w14:textId="07C04CAF" w:rsidR="00850C6F" w:rsidRPr="001E18C0" w:rsidRDefault="00850C6F" w:rsidP="001E18C0">
      <w:pPr>
        <w:pStyle w:val="StandardFlietext"/>
        <w:numPr>
          <w:ilvl w:val="0"/>
          <w:numId w:val="3"/>
        </w:numPr>
        <w:spacing w:after="0" w:line="240" w:lineRule="auto"/>
        <w:jc w:val="both"/>
        <w:rPr>
          <w:sz w:val="22"/>
          <w:szCs w:val="22"/>
          <w:lang w:val="en-US"/>
        </w:rPr>
      </w:pPr>
      <w:r w:rsidRPr="001E18C0">
        <w:rPr>
          <w:sz w:val="22"/>
          <w:szCs w:val="22"/>
          <w:lang w:val="en-US"/>
        </w:rPr>
        <w:t>The German Federal Institute for Risk Assessment (</w:t>
      </w:r>
      <w:proofErr w:type="spellStart"/>
      <w:r w:rsidRPr="001E18C0">
        <w:rPr>
          <w:sz w:val="22"/>
          <w:szCs w:val="22"/>
          <w:lang w:val="en-US"/>
        </w:rPr>
        <w:t>BfR</w:t>
      </w:r>
      <w:proofErr w:type="spellEnd"/>
      <w:r w:rsidRPr="001E18C0">
        <w:rPr>
          <w:sz w:val="22"/>
          <w:szCs w:val="22"/>
          <w:lang w:val="en-US"/>
        </w:rPr>
        <w:t xml:space="preserve">) and the German Federal Environmental Agency (UBA) both published a </w:t>
      </w:r>
      <w:r w:rsidR="004F1B7C">
        <w:rPr>
          <w:sz w:val="22"/>
          <w:szCs w:val="22"/>
          <w:lang w:val="en-US"/>
        </w:rPr>
        <w:t>common assessment with the title</w:t>
      </w:r>
      <w:r w:rsidRPr="001E18C0">
        <w:rPr>
          <w:sz w:val="22"/>
          <w:szCs w:val="22"/>
          <w:lang w:val="en-US"/>
        </w:rPr>
        <w:t xml:space="preserve"> “</w:t>
      </w:r>
      <w:proofErr w:type="spellStart"/>
      <w:r w:rsidRPr="001E18C0">
        <w:rPr>
          <w:sz w:val="22"/>
          <w:szCs w:val="22"/>
          <w:lang w:val="en-US"/>
        </w:rPr>
        <w:t>Beurteilung</w:t>
      </w:r>
      <w:proofErr w:type="spellEnd"/>
      <w:r w:rsidRPr="001E18C0">
        <w:rPr>
          <w:sz w:val="22"/>
          <w:szCs w:val="22"/>
          <w:lang w:val="en-US"/>
        </w:rPr>
        <w:t xml:space="preserve"> </w:t>
      </w:r>
      <w:proofErr w:type="spellStart"/>
      <w:r w:rsidRPr="001E18C0">
        <w:rPr>
          <w:sz w:val="22"/>
          <w:szCs w:val="22"/>
          <w:lang w:val="en-US"/>
        </w:rPr>
        <w:t>eines</w:t>
      </w:r>
      <w:proofErr w:type="spellEnd"/>
      <w:r w:rsidRPr="001E18C0">
        <w:rPr>
          <w:sz w:val="22"/>
          <w:szCs w:val="22"/>
          <w:lang w:val="en-US"/>
        </w:rPr>
        <w:t xml:space="preserve"> </w:t>
      </w:r>
      <w:proofErr w:type="spellStart"/>
      <w:r w:rsidRPr="001E18C0">
        <w:rPr>
          <w:sz w:val="22"/>
          <w:szCs w:val="22"/>
          <w:lang w:val="en-US"/>
        </w:rPr>
        <w:t>möglichen</w:t>
      </w:r>
      <w:proofErr w:type="spellEnd"/>
      <w:r w:rsidRPr="001E18C0">
        <w:rPr>
          <w:sz w:val="22"/>
          <w:szCs w:val="22"/>
          <w:lang w:val="en-US"/>
        </w:rPr>
        <w:t xml:space="preserve"> </w:t>
      </w:r>
      <w:proofErr w:type="spellStart"/>
      <w:r w:rsidRPr="001E18C0">
        <w:rPr>
          <w:sz w:val="22"/>
          <w:szCs w:val="22"/>
          <w:lang w:val="en-US"/>
        </w:rPr>
        <w:t>Krebsrisikos</w:t>
      </w:r>
      <w:proofErr w:type="spellEnd"/>
      <w:r w:rsidRPr="001E18C0">
        <w:rPr>
          <w:sz w:val="22"/>
          <w:szCs w:val="22"/>
          <w:lang w:val="en-US"/>
        </w:rPr>
        <w:t xml:space="preserve"> von </w:t>
      </w:r>
      <w:proofErr w:type="spellStart"/>
      <w:r w:rsidRPr="001E18C0">
        <w:rPr>
          <w:sz w:val="22"/>
          <w:szCs w:val="22"/>
          <w:lang w:val="en-US"/>
        </w:rPr>
        <w:t>Nanomaterialien</w:t>
      </w:r>
      <w:proofErr w:type="spellEnd"/>
      <w:r w:rsidRPr="001E18C0">
        <w:rPr>
          <w:sz w:val="22"/>
          <w:szCs w:val="22"/>
          <w:lang w:val="en-US"/>
        </w:rPr>
        <w:t xml:space="preserve"> und von </w:t>
      </w:r>
      <w:proofErr w:type="spellStart"/>
      <w:r w:rsidRPr="001E18C0">
        <w:rPr>
          <w:sz w:val="22"/>
          <w:szCs w:val="22"/>
          <w:lang w:val="en-US"/>
        </w:rPr>
        <w:t>aus</w:t>
      </w:r>
      <w:proofErr w:type="spellEnd"/>
      <w:r w:rsidRPr="001E18C0">
        <w:rPr>
          <w:sz w:val="22"/>
          <w:szCs w:val="22"/>
          <w:lang w:val="en-US"/>
        </w:rPr>
        <w:t xml:space="preserve"> </w:t>
      </w:r>
      <w:proofErr w:type="spellStart"/>
      <w:r w:rsidRPr="001E18C0">
        <w:rPr>
          <w:sz w:val="22"/>
          <w:szCs w:val="22"/>
          <w:lang w:val="en-US"/>
        </w:rPr>
        <w:t>Produkten</w:t>
      </w:r>
      <w:proofErr w:type="spellEnd"/>
      <w:r w:rsidRPr="001E18C0">
        <w:rPr>
          <w:sz w:val="22"/>
          <w:szCs w:val="22"/>
          <w:lang w:val="en-US"/>
        </w:rPr>
        <w:t xml:space="preserve"> </w:t>
      </w:r>
      <w:proofErr w:type="spellStart"/>
      <w:r w:rsidRPr="001E18C0">
        <w:rPr>
          <w:sz w:val="22"/>
          <w:szCs w:val="22"/>
          <w:lang w:val="en-US"/>
        </w:rPr>
        <w:t>freigesetzten</w:t>
      </w:r>
      <w:proofErr w:type="spellEnd"/>
      <w:r w:rsidRPr="001E18C0">
        <w:rPr>
          <w:sz w:val="22"/>
          <w:szCs w:val="22"/>
          <w:lang w:val="en-US"/>
        </w:rPr>
        <w:t xml:space="preserve"> </w:t>
      </w:r>
      <w:proofErr w:type="spellStart"/>
      <w:r w:rsidRPr="001E18C0">
        <w:rPr>
          <w:sz w:val="22"/>
          <w:szCs w:val="22"/>
          <w:lang w:val="en-US"/>
        </w:rPr>
        <w:t>Nanopartikeln</w:t>
      </w:r>
      <w:proofErr w:type="spellEnd"/>
      <w:r w:rsidRPr="001E18C0">
        <w:rPr>
          <w:sz w:val="22"/>
          <w:szCs w:val="22"/>
          <w:lang w:val="en-US"/>
        </w:rPr>
        <w:t>” (assessment No 005/2011</w:t>
      </w:r>
      <w:r w:rsidR="004F1B7C">
        <w:rPr>
          <w:sz w:val="22"/>
          <w:szCs w:val="22"/>
          <w:lang w:val="en-US"/>
        </w:rPr>
        <w:t>, 2010</w:t>
      </w:r>
      <w:r w:rsidR="00AA7ECC">
        <w:rPr>
          <w:rStyle w:val="Funotenzeichen"/>
          <w:sz w:val="22"/>
          <w:szCs w:val="22"/>
          <w:lang w:val="en-US"/>
        </w:rPr>
        <w:footnoteReference w:id="3"/>
      </w:r>
      <w:r w:rsidRPr="001E18C0">
        <w:rPr>
          <w:sz w:val="22"/>
          <w:szCs w:val="22"/>
          <w:lang w:val="en-US"/>
        </w:rPr>
        <w:t>). In this paper special attention was drawn to TiO</w:t>
      </w:r>
      <w:r w:rsidRPr="001E18C0">
        <w:rPr>
          <w:sz w:val="22"/>
          <w:szCs w:val="22"/>
          <w:vertAlign w:val="subscript"/>
          <w:lang w:val="en-US"/>
        </w:rPr>
        <w:t>2</w:t>
      </w:r>
      <w:r w:rsidRPr="001E18C0">
        <w:rPr>
          <w:sz w:val="22"/>
          <w:szCs w:val="22"/>
          <w:lang w:val="en-US"/>
        </w:rPr>
        <w:t xml:space="preserve"> (please see pages 4 to 10). </w:t>
      </w:r>
      <w:r w:rsidRPr="001E18C0">
        <w:rPr>
          <w:sz w:val="22"/>
          <w:szCs w:val="22"/>
        </w:rPr>
        <w:t xml:space="preserve">On </w:t>
      </w:r>
      <w:proofErr w:type="spellStart"/>
      <w:r w:rsidRPr="001E18C0">
        <w:rPr>
          <w:sz w:val="22"/>
          <w:szCs w:val="22"/>
        </w:rPr>
        <w:t>page</w:t>
      </w:r>
      <w:proofErr w:type="spellEnd"/>
      <w:r w:rsidRPr="001E18C0">
        <w:rPr>
          <w:sz w:val="22"/>
          <w:szCs w:val="22"/>
        </w:rPr>
        <w:t xml:space="preserve"> 7</w:t>
      </w:r>
      <w:r w:rsidR="004F1B7C">
        <w:rPr>
          <w:sz w:val="22"/>
          <w:szCs w:val="22"/>
        </w:rPr>
        <w:t xml:space="preserve"> </w:t>
      </w:r>
      <w:proofErr w:type="spellStart"/>
      <w:r w:rsidR="004F1B7C">
        <w:rPr>
          <w:sz w:val="22"/>
          <w:szCs w:val="22"/>
        </w:rPr>
        <w:t>of</w:t>
      </w:r>
      <w:proofErr w:type="spellEnd"/>
      <w:r w:rsidR="004F1B7C">
        <w:rPr>
          <w:sz w:val="22"/>
          <w:szCs w:val="22"/>
        </w:rPr>
        <w:t xml:space="preserve"> </w:t>
      </w:r>
      <w:proofErr w:type="spellStart"/>
      <w:r w:rsidR="004F1B7C">
        <w:rPr>
          <w:sz w:val="22"/>
          <w:szCs w:val="22"/>
        </w:rPr>
        <w:t>this</w:t>
      </w:r>
      <w:proofErr w:type="spellEnd"/>
      <w:r w:rsidR="004F1B7C">
        <w:rPr>
          <w:sz w:val="22"/>
          <w:szCs w:val="22"/>
        </w:rPr>
        <w:t xml:space="preserve"> </w:t>
      </w:r>
      <w:proofErr w:type="spellStart"/>
      <w:r w:rsidR="004F1B7C">
        <w:rPr>
          <w:sz w:val="22"/>
          <w:szCs w:val="22"/>
        </w:rPr>
        <w:t>document</w:t>
      </w:r>
      <w:proofErr w:type="spellEnd"/>
      <w:r w:rsidRPr="001E18C0">
        <w:rPr>
          <w:sz w:val="22"/>
          <w:szCs w:val="22"/>
        </w:rPr>
        <w:t xml:space="preserve">, last </w:t>
      </w:r>
      <w:proofErr w:type="spellStart"/>
      <w:r w:rsidRPr="001E18C0">
        <w:rPr>
          <w:sz w:val="22"/>
          <w:szCs w:val="22"/>
        </w:rPr>
        <w:t>paragraph</w:t>
      </w:r>
      <w:proofErr w:type="spellEnd"/>
      <w:r w:rsidRPr="001E18C0">
        <w:rPr>
          <w:sz w:val="22"/>
          <w:szCs w:val="22"/>
        </w:rPr>
        <w:t xml:space="preserve">, </w:t>
      </w:r>
      <w:proofErr w:type="spellStart"/>
      <w:r w:rsidRPr="001E18C0">
        <w:rPr>
          <w:sz w:val="22"/>
          <w:szCs w:val="22"/>
        </w:rPr>
        <w:t>this</w:t>
      </w:r>
      <w:proofErr w:type="spellEnd"/>
      <w:r w:rsidRPr="001E18C0">
        <w:rPr>
          <w:sz w:val="22"/>
          <w:szCs w:val="22"/>
        </w:rPr>
        <w:t xml:space="preserve"> </w:t>
      </w:r>
      <w:proofErr w:type="spellStart"/>
      <w:r w:rsidRPr="001E18C0">
        <w:rPr>
          <w:sz w:val="22"/>
          <w:szCs w:val="22"/>
        </w:rPr>
        <w:t>assessment</w:t>
      </w:r>
      <w:proofErr w:type="spellEnd"/>
      <w:r w:rsidRPr="001E18C0">
        <w:rPr>
          <w:sz w:val="22"/>
          <w:szCs w:val="22"/>
        </w:rPr>
        <w:t xml:space="preserve"> </w:t>
      </w:r>
      <w:proofErr w:type="spellStart"/>
      <w:r w:rsidRPr="001E18C0">
        <w:rPr>
          <w:sz w:val="22"/>
          <w:szCs w:val="22"/>
        </w:rPr>
        <w:t>concludes</w:t>
      </w:r>
      <w:proofErr w:type="spellEnd"/>
      <w:r w:rsidRPr="001E18C0">
        <w:rPr>
          <w:sz w:val="22"/>
          <w:szCs w:val="22"/>
        </w:rPr>
        <w:t xml:space="preserve"> “Zur karzinogenen Wirkung von Nano-TiO</w:t>
      </w:r>
      <w:r w:rsidRPr="0099351D">
        <w:rPr>
          <w:sz w:val="22"/>
          <w:szCs w:val="22"/>
          <w:vertAlign w:val="subscript"/>
        </w:rPr>
        <w:t>2</w:t>
      </w:r>
      <w:r w:rsidRPr="001E18C0">
        <w:rPr>
          <w:sz w:val="22"/>
          <w:szCs w:val="22"/>
        </w:rPr>
        <w:t xml:space="preserve"> kann gegenwärtig keine endgültige Aussage für den Menschen getroffen werden. Auf der Basis der Tierdaten ist lediglich ein Verdacht auf ein karzinogenes Potential von Nano-TiO</w:t>
      </w:r>
      <w:r w:rsidRPr="0099351D">
        <w:rPr>
          <w:sz w:val="22"/>
          <w:szCs w:val="22"/>
          <w:vertAlign w:val="subscript"/>
        </w:rPr>
        <w:t>2</w:t>
      </w:r>
      <w:r w:rsidRPr="001E18C0">
        <w:rPr>
          <w:sz w:val="22"/>
          <w:szCs w:val="22"/>
        </w:rPr>
        <w:t xml:space="preserve"> für den Menschen auszusprechen, da die bisher vorliegenden Untersuchungen diesbezüglich nicht hinreichend belastbar sind.“</w:t>
      </w:r>
      <w:r w:rsidR="001E18C0" w:rsidRPr="001E18C0">
        <w:rPr>
          <w:sz w:val="22"/>
          <w:szCs w:val="22"/>
        </w:rPr>
        <w:t xml:space="preserve"> </w:t>
      </w:r>
      <w:r w:rsidR="001E18C0" w:rsidRPr="001E18C0">
        <w:rPr>
          <w:sz w:val="22"/>
          <w:szCs w:val="22"/>
          <w:lang w:val="en-US"/>
        </w:rPr>
        <w:t xml:space="preserve">The conclusion of the </w:t>
      </w:r>
      <w:proofErr w:type="spellStart"/>
      <w:r w:rsidR="001E18C0" w:rsidRPr="001E18C0">
        <w:rPr>
          <w:sz w:val="22"/>
          <w:szCs w:val="22"/>
          <w:lang w:val="en-US"/>
        </w:rPr>
        <w:t>BfR</w:t>
      </w:r>
      <w:proofErr w:type="spellEnd"/>
      <w:r w:rsidR="001E18C0" w:rsidRPr="001E18C0">
        <w:rPr>
          <w:sz w:val="22"/>
          <w:szCs w:val="22"/>
          <w:lang w:val="en-US"/>
        </w:rPr>
        <w:t xml:space="preserve"> and UBA is in line with the finding of IARC as well as with the assessments of the US agencies NIOSH, NTP, OSHA and EPA.</w:t>
      </w:r>
    </w:p>
    <w:p w14:paraId="732D066A" w14:textId="5BD60553" w:rsidR="00850C6F" w:rsidRPr="001E18C0" w:rsidRDefault="00850C6F" w:rsidP="00850C6F">
      <w:pPr>
        <w:pStyle w:val="StandardFlietext"/>
        <w:numPr>
          <w:ilvl w:val="0"/>
          <w:numId w:val="3"/>
        </w:numPr>
        <w:spacing w:after="0" w:line="240" w:lineRule="auto"/>
        <w:jc w:val="both"/>
        <w:rPr>
          <w:sz w:val="22"/>
          <w:szCs w:val="22"/>
          <w:lang w:val="en-US"/>
        </w:rPr>
      </w:pPr>
    </w:p>
    <w:p w14:paraId="4C70D75D" w14:textId="20E53C42" w:rsidR="00850C6F" w:rsidRPr="001E18C0" w:rsidRDefault="00850C6F" w:rsidP="00850C6F">
      <w:pPr>
        <w:pStyle w:val="StandardFlietext"/>
        <w:numPr>
          <w:ilvl w:val="0"/>
          <w:numId w:val="3"/>
        </w:numPr>
        <w:spacing w:after="0" w:line="240" w:lineRule="auto"/>
        <w:jc w:val="both"/>
        <w:rPr>
          <w:sz w:val="22"/>
          <w:szCs w:val="22"/>
          <w:lang w:val="en-US"/>
        </w:rPr>
      </w:pPr>
      <w:r w:rsidRPr="001E18C0">
        <w:rPr>
          <w:sz w:val="22"/>
          <w:szCs w:val="22"/>
          <w:lang w:val="en-US"/>
        </w:rPr>
        <w:t>In summary, f</w:t>
      </w:r>
      <w:r w:rsidR="000434B1" w:rsidRPr="001E18C0">
        <w:rPr>
          <w:sz w:val="22"/>
          <w:szCs w:val="22"/>
          <w:lang w:val="en-US"/>
        </w:rPr>
        <w:t xml:space="preserve">rom a toxicological point of view, </w:t>
      </w:r>
      <w:r w:rsidR="003B40E0" w:rsidRPr="001E18C0">
        <w:rPr>
          <w:sz w:val="22"/>
          <w:szCs w:val="22"/>
          <w:lang w:val="en-US"/>
        </w:rPr>
        <w:t xml:space="preserve">the </w:t>
      </w:r>
      <w:r w:rsidR="000434B1" w:rsidRPr="001E18C0">
        <w:rPr>
          <w:sz w:val="22"/>
          <w:szCs w:val="22"/>
          <w:lang w:val="en-US"/>
        </w:rPr>
        <w:t xml:space="preserve">classification </w:t>
      </w:r>
      <w:r w:rsidR="003B40E0" w:rsidRPr="001E18C0">
        <w:rPr>
          <w:sz w:val="22"/>
          <w:szCs w:val="22"/>
          <w:lang w:val="en-US"/>
        </w:rPr>
        <w:t xml:space="preserve">in the CLH report </w:t>
      </w:r>
      <w:r w:rsidR="000434B1" w:rsidRPr="001E18C0">
        <w:rPr>
          <w:sz w:val="22"/>
          <w:szCs w:val="22"/>
          <w:lang w:val="en-US"/>
        </w:rPr>
        <w:t>is therefore neither justified nor appropriate.</w:t>
      </w:r>
      <w:r w:rsidR="00F8434D" w:rsidRPr="001E18C0">
        <w:rPr>
          <w:sz w:val="22"/>
          <w:szCs w:val="22"/>
          <w:lang w:val="en-US"/>
        </w:rPr>
        <w:t xml:space="preserve"> </w:t>
      </w:r>
    </w:p>
    <w:p w14:paraId="052DE32D" w14:textId="77777777" w:rsidR="00850C6F" w:rsidRDefault="00850C6F" w:rsidP="004F1B7C">
      <w:pPr>
        <w:pStyle w:val="StandardFlietext"/>
        <w:numPr>
          <w:ilvl w:val="0"/>
          <w:numId w:val="0"/>
        </w:numPr>
        <w:spacing w:after="0" w:line="240" w:lineRule="auto"/>
        <w:jc w:val="both"/>
        <w:rPr>
          <w:sz w:val="22"/>
          <w:szCs w:val="22"/>
          <w:lang w:val="en-US"/>
        </w:rPr>
      </w:pPr>
    </w:p>
    <w:p w14:paraId="23F528C3" w14:textId="7E6DF08E" w:rsidR="004F1B7C" w:rsidRPr="004F1B7C" w:rsidRDefault="004F1B7C" w:rsidP="004F1B7C">
      <w:pPr>
        <w:pStyle w:val="StandardFlietext"/>
        <w:numPr>
          <w:ilvl w:val="0"/>
          <w:numId w:val="0"/>
        </w:numPr>
        <w:spacing w:after="0" w:line="240" w:lineRule="auto"/>
        <w:jc w:val="both"/>
        <w:rPr>
          <w:b/>
          <w:lang w:val="en-US"/>
        </w:rPr>
      </w:pPr>
      <w:r w:rsidRPr="004F1B7C">
        <w:rPr>
          <w:b/>
          <w:lang w:val="en-US"/>
        </w:rPr>
        <w:lastRenderedPageBreak/>
        <w:t>Consequences within REACH</w:t>
      </w:r>
    </w:p>
    <w:p w14:paraId="0F298D7F" w14:textId="77777777" w:rsidR="004F1B7C" w:rsidRPr="001E18C0" w:rsidRDefault="004F1B7C" w:rsidP="004F1B7C">
      <w:pPr>
        <w:pStyle w:val="StandardFlietext"/>
        <w:numPr>
          <w:ilvl w:val="0"/>
          <w:numId w:val="0"/>
        </w:numPr>
        <w:spacing w:after="0" w:line="240" w:lineRule="auto"/>
        <w:jc w:val="both"/>
        <w:rPr>
          <w:sz w:val="22"/>
          <w:szCs w:val="22"/>
          <w:lang w:val="en-US"/>
        </w:rPr>
      </w:pPr>
    </w:p>
    <w:p w14:paraId="1DFC9B67" w14:textId="2850D14A" w:rsidR="00A24D69" w:rsidRDefault="0012223E" w:rsidP="00850C6F">
      <w:pPr>
        <w:pStyle w:val="StandardFlietext"/>
        <w:numPr>
          <w:ilvl w:val="0"/>
          <w:numId w:val="3"/>
        </w:numPr>
        <w:spacing w:after="0" w:line="240" w:lineRule="auto"/>
        <w:jc w:val="both"/>
        <w:rPr>
          <w:sz w:val="22"/>
          <w:szCs w:val="22"/>
          <w:lang w:val="en-GB"/>
        </w:rPr>
      </w:pPr>
      <w:r w:rsidRPr="001E18C0">
        <w:rPr>
          <w:sz w:val="22"/>
          <w:szCs w:val="22"/>
          <w:lang w:val="en-US"/>
        </w:rPr>
        <w:t>Th</w:t>
      </w:r>
      <w:r w:rsidR="005537AF" w:rsidRPr="001E18C0">
        <w:rPr>
          <w:sz w:val="22"/>
          <w:szCs w:val="22"/>
          <w:lang w:val="en-US"/>
        </w:rPr>
        <w:t>is</w:t>
      </w:r>
      <w:r w:rsidRPr="001E18C0">
        <w:rPr>
          <w:sz w:val="22"/>
          <w:szCs w:val="22"/>
          <w:lang w:val="en-US"/>
        </w:rPr>
        <w:t xml:space="preserve"> classification </w:t>
      </w:r>
      <w:r w:rsidR="009D7A20" w:rsidRPr="001E18C0">
        <w:rPr>
          <w:sz w:val="22"/>
          <w:szCs w:val="22"/>
          <w:lang w:val="en-US"/>
        </w:rPr>
        <w:t xml:space="preserve">of </w:t>
      </w:r>
      <w:r w:rsidR="009D7A20" w:rsidRPr="001E18C0">
        <w:rPr>
          <w:color w:val="222222"/>
          <w:sz w:val="22"/>
          <w:szCs w:val="22"/>
          <w:lang w:val="en"/>
        </w:rPr>
        <w:t>TiO</w:t>
      </w:r>
      <w:r w:rsidR="009D7A20" w:rsidRPr="001E18C0">
        <w:rPr>
          <w:color w:val="222222"/>
          <w:sz w:val="22"/>
          <w:szCs w:val="22"/>
          <w:vertAlign w:val="subscript"/>
          <w:lang w:val="en"/>
        </w:rPr>
        <w:t>2</w:t>
      </w:r>
      <w:r w:rsidR="009D7A20" w:rsidRPr="001E18C0">
        <w:rPr>
          <w:sz w:val="22"/>
          <w:szCs w:val="22"/>
          <w:lang w:val="en-US"/>
        </w:rPr>
        <w:t xml:space="preserve"> </w:t>
      </w:r>
      <w:r w:rsidRPr="001E18C0">
        <w:rPr>
          <w:sz w:val="22"/>
          <w:szCs w:val="22"/>
          <w:lang w:val="en-US"/>
        </w:rPr>
        <w:t xml:space="preserve">would lead to far-reaching consequences for both the industry and the consumer. For example, </w:t>
      </w:r>
      <w:r w:rsidR="006A7862" w:rsidRPr="001E18C0">
        <w:rPr>
          <w:sz w:val="22"/>
          <w:szCs w:val="22"/>
          <w:lang w:val="en-GB"/>
        </w:rPr>
        <w:t xml:space="preserve">following </w:t>
      </w:r>
      <w:r w:rsidRPr="001E18C0">
        <w:rPr>
          <w:sz w:val="22"/>
          <w:szCs w:val="22"/>
          <w:lang w:val="en-GB"/>
        </w:rPr>
        <w:t xml:space="preserve">the procedure given by the REACH legislation, the substance would </w:t>
      </w:r>
      <w:r w:rsidR="00C97658" w:rsidRPr="001E18C0">
        <w:rPr>
          <w:sz w:val="22"/>
          <w:szCs w:val="22"/>
          <w:lang w:val="en-GB"/>
        </w:rPr>
        <w:t xml:space="preserve">be </w:t>
      </w:r>
      <w:r w:rsidR="006A7862" w:rsidRPr="001E18C0">
        <w:rPr>
          <w:sz w:val="22"/>
          <w:szCs w:val="22"/>
          <w:lang w:val="en-GB"/>
        </w:rPr>
        <w:t>placed in</w:t>
      </w:r>
      <w:r w:rsidR="00C32657" w:rsidRPr="001E18C0">
        <w:rPr>
          <w:sz w:val="22"/>
          <w:szCs w:val="22"/>
          <w:lang w:val="en-GB"/>
        </w:rPr>
        <w:t xml:space="preserve"> a first step on the so-called list of candidates</w:t>
      </w:r>
      <w:r w:rsidR="00F97F08" w:rsidRPr="001E18C0">
        <w:rPr>
          <w:sz w:val="22"/>
          <w:szCs w:val="22"/>
          <w:lang w:val="en-GB"/>
        </w:rPr>
        <w:t xml:space="preserve"> (Art. 59 (</w:t>
      </w:r>
      <w:r w:rsidR="009D7A20" w:rsidRPr="001E18C0">
        <w:rPr>
          <w:sz w:val="22"/>
          <w:szCs w:val="22"/>
          <w:lang w:val="en-GB"/>
        </w:rPr>
        <w:t>EC</w:t>
      </w:r>
      <w:r w:rsidR="00F97F08" w:rsidRPr="001E18C0">
        <w:rPr>
          <w:sz w:val="22"/>
          <w:szCs w:val="22"/>
          <w:lang w:val="en-GB"/>
        </w:rPr>
        <w:t xml:space="preserve">) </w:t>
      </w:r>
      <w:r w:rsidR="009D7A20" w:rsidRPr="001E18C0">
        <w:rPr>
          <w:sz w:val="22"/>
          <w:szCs w:val="22"/>
          <w:lang w:val="en-GB"/>
        </w:rPr>
        <w:t>No</w:t>
      </w:r>
      <w:r w:rsidR="00F97F08" w:rsidRPr="001E18C0">
        <w:rPr>
          <w:sz w:val="22"/>
          <w:szCs w:val="22"/>
          <w:lang w:val="en-GB"/>
        </w:rPr>
        <w:t>. 1907/2006)</w:t>
      </w:r>
      <w:r w:rsidR="00C32657" w:rsidRPr="001E18C0">
        <w:rPr>
          <w:sz w:val="22"/>
          <w:szCs w:val="22"/>
          <w:lang w:val="en-GB"/>
        </w:rPr>
        <w:t xml:space="preserve">. </w:t>
      </w:r>
      <w:r w:rsidR="00F97F08" w:rsidRPr="001E18C0">
        <w:rPr>
          <w:sz w:val="22"/>
          <w:szCs w:val="22"/>
          <w:lang w:val="en-GB"/>
        </w:rPr>
        <w:t xml:space="preserve">In the </w:t>
      </w:r>
      <w:r w:rsidR="006A7862" w:rsidRPr="001E18C0">
        <w:rPr>
          <w:sz w:val="22"/>
          <w:szCs w:val="22"/>
          <w:lang w:val="en-GB"/>
        </w:rPr>
        <w:t xml:space="preserve">second </w:t>
      </w:r>
      <w:r w:rsidR="00F97F08" w:rsidRPr="001E18C0">
        <w:rPr>
          <w:sz w:val="22"/>
          <w:szCs w:val="22"/>
          <w:lang w:val="en-GB"/>
        </w:rPr>
        <w:t xml:space="preserve">step the Commission decides if the substance </w:t>
      </w:r>
      <w:r w:rsidR="003644E7" w:rsidRPr="001E18C0">
        <w:rPr>
          <w:sz w:val="22"/>
          <w:szCs w:val="22"/>
          <w:lang w:val="en-GB"/>
        </w:rPr>
        <w:t xml:space="preserve">is added to </w:t>
      </w:r>
      <w:r w:rsidR="00F97F08" w:rsidRPr="001E18C0">
        <w:rPr>
          <w:sz w:val="22"/>
          <w:szCs w:val="22"/>
          <w:lang w:val="en-GB"/>
        </w:rPr>
        <w:t xml:space="preserve">Annex </w:t>
      </w:r>
      <w:r w:rsidR="00945433" w:rsidRPr="001E18C0">
        <w:rPr>
          <w:sz w:val="22"/>
          <w:szCs w:val="22"/>
          <w:lang w:val="en-GB"/>
        </w:rPr>
        <w:t>XIV</w:t>
      </w:r>
      <w:r w:rsidR="00F97F08" w:rsidRPr="001E18C0">
        <w:rPr>
          <w:sz w:val="22"/>
          <w:szCs w:val="22"/>
          <w:lang w:val="en-GB"/>
        </w:rPr>
        <w:t xml:space="preserve">. Substances </w:t>
      </w:r>
      <w:r w:rsidR="006A7862" w:rsidRPr="001E18C0">
        <w:rPr>
          <w:sz w:val="22"/>
          <w:szCs w:val="22"/>
          <w:lang w:val="en-GB"/>
        </w:rPr>
        <w:t xml:space="preserve">listed in </w:t>
      </w:r>
      <w:r w:rsidR="00F97F08" w:rsidRPr="001E18C0">
        <w:rPr>
          <w:sz w:val="22"/>
          <w:szCs w:val="22"/>
          <w:lang w:val="en-GB"/>
        </w:rPr>
        <w:t xml:space="preserve">Annex </w:t>
      </w:r>
      <w:r w:rsidR="00945433" w:rsidRPr="001E18C0">
        <w:rPr>
          <w:sz w:val="22"/>
          <w:szCs w:val="22"/>
          <w:lang w:val="en-GB"/>
        </w:rPr>
        <w:t>XIV</w:t>
      </w:r>
      <w:r w:rsidR="00F97F08" w:rsidRPr="001E18C0">
        <w:rPr>
          <w:sz w:val="22"/>
          <w:szCs w:val="22"/>
          <w:lang w:val="en-GB"/>
        </w:rPr>
        <w:t xml:space="preserve"> have to be approved </w:t>
      </w:r>
      <w:r w:rsidR="006A7862" w:rsidRPr="001E18C0">
        <w:rPr>
          <w:sz w:val="22"/>
          <w:szCs w:val="22"/>
          <w:lang w:val="en-GB"/>
        </w:rPr>
        <w:t>within a</w:t>
      </w:r>
      <w:r w:rsidR="003644E7" w:rsidRPr="001E18C0">
        <w:rPr>
          <w:sz w:val="22"/>
          <w:szCs w:val="22"/>
          <w:lang w:val="en-GB"/>
        </w:rPr>
        <w:t xml:space="preserve"> specific</w:t>
      </w:r>
      <w:r w:rsidR="00F97F08" w:rsidRPr="001E18C0">
        <w:rPr>
          <w:sz w:val="22"/>
          <w:szCs w:val="22"/>
          <w:lang w:val="en-GB"/>
        </w:rPr>
        <w:t xml:space="preserve"> </w:t>
      </w:r>
      <w:r w:rsidR="003644E7" w:rsidRPr="001E18C0">
        <w:rPr>
          <w:sz w:val="22"/>
          <w:szCs w:val="22"/>
          <w:lang w:val="en-GB"/>
        </w:rPr>
        <w:t>a</w:t>
      </w:r>
      <w:r w:rsidR="00F97F08" w:rsidRPr="001E18C0">
        <w:rPr>
          <w:sz w:val="22"/>
          <w:szCs w:val="22"/>
          <w:lang w:val="en-GB"/>
        </w:rPr>
        <w:t>pplication</w:t>
      </w:r>
      <w:r w:rsidR="003644E7" w:rsidRPr="001E18C0">
        <w:rPr>
          <w:sz w:val="22"/>
          <w:szCs w:val="22"/>
          <w:lang w:val="en-GB"/>
        </w:rPr>
        <w:t xml:space="preserve">, </w:t>
      </w:r>
      <w:r w:rsidR="003644E7" w:rsidRPr="001E18C0">
        <w:rPr>
          <w:sz w:val="22"/>
          <w:szCs w:val="22"/>
          <w:lang w:val="en-US"/>
        </w:rPr>
        <w:t xml:space="preserve">implying the consequence of extremely high costs. </w:t>
      </w:r>
      <w:r w:rsidR="00A24D69" w:rsidRPr="001E18C0">
        <w:rPr>
          <w:rStyle w:val="shorttext"/>
          <w:color w:val="222222"/>
          <w:sz w:val="22"/>
          <w:szCs w:val="22"/>
          <w:lang w:val="en"/>
        </w:rPr>
        <w:t xml:space="preserve">Besides REACH, </w:t>
      </w:r>
      <w:r w:rsidR="00A24D69" w:rsidRPr="001E18C0">
        <w:rPr>
          <w:sz w:val="22"/>
          <w:szCs w:val="22"/>
          <w:lang w:val="en-GB"/>
        </w:rPr>
        <w:t xml:space="preserve">in many legislations – e.g. </w:t>
      </w:r>
      <w:r w:rsidR="009D7A20" w:rsidRPr="001E18C0">
        <w:rPr>
          <w:sz w:val="22"/>
          <w:szCs w:val="22"/>
          <w:lang w:val="en-GB"/>
        </w:rPr>
        <w:t xml:space="preserve">concerning </w:t>
      </w:r>
      <w:r w:rsidR="00A24D69" w:rsidRPr="001E18C0">
        <w:rPr>
          <w:sz w:val="22"/>
          <w:szCs w:val="22"/>
          <w:lang w:val="en-GB"/>
        </w:rPr>
        <w:t xml:space="preserve">industrial plant safety or special legislations </w:t>
      </w:r>
      <w:r w:rsidR="006A7862" w:rsidRPr="001E18C0">
        <w:rPr>
          <w:sz w:val="22"/>
          <w:szCs w:val="22"/>
          <w:lang w:val="en-GB"/>
        </w:rPr>
        <w:t xml:space="preserve">for </w:t>
      </w:r>
      <w:r w:rsidR="00A24D69" w:rsidRPr="001E18C0">
        <w:rPr>
          <w:sz w:val="22"/>
          <w:szCs w:val="22"/>
          <w:lang w:val="en-GB"/>
        </w:rPr>
        <w:t xml:space="preserve">biocidal products or cosmetics – classification and labelling </w:t>
      </w:r>
      <w:r w:rsidR="00601C4F" w:rsidRPr="001E18C0">
        <w:rPr>
          <w:sz w:val="22"/>
          <w:szCs w:val="22"/>
          <w:lang w:val="en-GB"/>
        </w:rPr>
        <w:t xml:space="preserve">automatically </w:t>
      </w:r>
      <w:r w:rsidR="009D7A20" w:rsidRPr="001E18C0">
        <w:rPr>
          <w:sz w:val="22"/>
          <w:szCs w:val="22"/>
          <w:lang w:val="en-GB"/>
        </w:rPr>
        <w:t xml:space="preserve">leads </w:t>
      </w:r>
      <w:r w:rsidR="00A24D69" w:rsidRPr="001E18C0">
        <w:rPr>
          <w:sz w:val="22"/>
          <w:szCs w:val="22"/>
          <w:lang w:val="en-GB"/>
        </w:rPr>
        <w:t>to comprehensive obligations and far-reaching bans and restrictions and without any further examination of whether the use of the substance really poses risks.</w:t>
      </w:r>
    </w:p>
    <w:p w14:paraId="27AF4DF6" w14:textId="77777777" w:rsidR="00DA209C" w:rsidRPr="001E18C0" w:rsidRDefault="00DA209C" w:rsidP="00850C6F">
      <w:pPr>
        <w:pStyle w:val="StandardFlietext"/>
        <w:numPr>
          <w:ilvl w:val="0"/>
          <w:numId w:val="3"/>
        </w:numPr>
        <w:spacing w:after="0" w:line="240" w:lineRule="auto"/>
        <w:jc w:val="both"/>
        <w:rPr>
          <w:sz w:val="22"/>
          <w:szCs w:val="22"/>
          <w:lang w:val="en-GB"/>
        </w:rPr>
      </w:pPr>
    </w:p>
    <w:p w14:paraId="40DB4726" w14:textId="77777777" w:rsidR="006A7666" w:rsidRPr="00F8434D" w:rsidRDefault="006A7666" w:rsidP="00425E93">
      <w:pPr>
        <w:jc w:val="both"/>
        <w:rPr>
          <w:rFonts w:ascii="Arial" w:hAnsi="Arial" w:cs="Arial"/>
          <w:color w:val="222222"/>
          <w:lang w:val="en-US"/>
        </w:rPr>
      </w:pPr>
    </w:p>
    <w:p w14:paraId="77C8FE7E" w14:textId="77777777" w:rsidR="00AA7ECC" w:rsidRDefault="006C0FF7" w:rsidP="00AA7ECC">
      <w:pPr>
        <w:jc w:val="both"/>
        <w:rPr>
          <w:rFonts w:ascii="Arial" w:hAnsi="Arial" w:cs="Arial"/>
          <w:color w:val="222222"/>
          <w:lang w:val="en-US"/>
        </w:rPr>
      </w:pPr>
      <w:r w:rsidRPr="005444C4">
        <w:rPr>
          <w:rFonts w:ascii="Arial" w:hAnsi="Arial" w:cs="Arial"/>
          <w:b/>
          <w:sz w:val="24"/>
          <w:szCs w:val="24"/>
          <w:lang w:val="en-US"/>
        </w:rPr>
        <w:t xml:space="preserve">Consequences </w:t>
      </w:r>
      <w:r w:rsidRPr="005444C4">
        <w:rPr>
          <w:rFonts w:ascii="Arial" w:hAnsi="Arial" w:cs="Arial"/>
          <w:b/>
          <w:color w:val="222222"/>
          <w:sz w:val="24"/>
          <w:szCs w:val="24"/>
          <w:lang w:val="en"/>
        </w:rPr>
        <w:t>for</w:t>
      </w:r>
      <w:r w:rsidR="00523E49" w:rsidRPr="005444C4">
        <w:rPr>
          <w:rFonts w:ascii="Arial" w:hAnsi="Arial" w:cs="Arial"/>
          <w:b/>
          <w:color w:val="222222"/>
          <w:sz w:val="24"/>
          <w:szCs w:val="24"/>
          <w:lang w:val="en"/>
        </w:rPr>
        <w:t xml:space="preserve"> the Pharmaceutical Manufacturers and the Medical Devices M</w:t>
      </w:r>
      <w:r w:rsidR="0040735A" w:rsidRPr="005444C4">
        <w:rPr>
          <w:rFonts w:ascii="Arial" w:hAnsi="Arial" w:cs="Arial"/>
          <w:b/>
          <w:color w:val="222222"/>
          <w:sz w:val="24"/>
          <w:szCs w:val="24"/>
          <w:lang w:val="en"/>
        </w:rPr>
        <w:t>anufacturer</w:t>
      </w:r>
    </w:p>
    <w:p w14:paraId="2D588504" w14:textId="77777777" w:rsidR="00AA7ECC" w:rsidRDefault="00AA7ECC" w:rsidP="00AA7ECC">
      <w:pPr>
        <w:jc w:val="both"/>
        <w:rPr>
          <w:rFonts w:ascii="Arial" w:hAnsi="Arial" w:cs="Arial"/>
          <w:color w:val="222222"/>
          <w:lang w:val="en-US"/>
        </w:rPr>
      </w:pPr>
    </w:p>
    <w:p w14:paraId="5944D47C" w14:textId="74D828B9" w:rsidR="00AA7ECC" w:rsidRPr="004F1B7C" w:rsidRDefault="00AA7ECC" w:rsidP="00AA7ECC">
      <w:pPr>
        <w:jc w:val="both"/>
        <w:rPr>
          <w:rFonts w:ascii="Arial" w:hAnsi="Arial" w:cs="Arial"/>
          <w:color w:val="222222"/>
          <w:lang w:val="en-US"/>
        </w:rPr>
      </w:pPr>
      <w:r>
        <w:rPr>
          <w:rFonts w:ascii="Arial" w:hAnsi="Arial" w:cs="Arial"/>
          <w:color w:val="222222"/>
          <w:lang w:val="en-US"/>
        </w:rPr>
        <w:t>The following is showing consequences when TiO</w:t>
      </w:r>
      <w:r w:rsidRPr="0099351D">
        <w:rPr>
          <w:rFonts w:ascii="Arial" w:hAnsi="Arial" w:cs="Arial"/>
          <w:color w:val="222222"/>
          <w:vertAlign w:val="subscript"/>
          <w:lang w:val="en-US"/>
        </w:rPr>
        <w:t>2</w:t>
      </w:r>
      <w:r>
        <w:rPr>
          <w:rFonts w:ascii="Arial" w:hAnsi="Arial" w:cs="Arial"/>
          <w:color w:val="222222"/>
          <w:lang w:val="en-US"/>
        </w:rPr>
        <w:t xml:space="preserve"> would be classified as </w:t>
      </w:r>
      <w:r w:rsidRPr="004F1B7C">
        <w:rPr>
          <w:rFonts w:ascii="Arial" w:hAnsi="Arial" w:cs="Arial"/>
          <w:color w:val="222222"/>
          <w:lang w:val="en-US"/>
        </w:rPr>
        <w:t>carcinogenic</w:t>
      </w:r>
      <w:r>
        <w:rPr>
          <w:rFonts w:ascii="Arial" w:hAnsi="Arial" w:cs="Arial"/>
          <w:color w:val="222222"/>
          <w:lang w:val="en-US"/>
        </w:rPr>
        <w:t>.</w:t>
      </w:r>
    </w:p>
    <w:p w14:paraId="239F3247" w14:textId="77777777" w:rsidR="00AA7ECC" w:rsidRDefault="00AA7ECC" w:rsidP="00A24D69">
      <w:pPr>
        <w:jc w:val="both"/>
        <w:rPr>
          <w:rStyle w:val="shorttext"/>
          <w:rFonts w:ascii="Arial" w:hAnsi="Arial" w:cs="Arial"/>
          <w:color w:val="222222"/>
          <w:u w:val="single"/>
          <w:lang w:val="en"/>
        </w:rPr>
      </w:pPr>
    </w:p>
    <w:p w14:paraId="02A35EA5" w14:textId="77777777" w:rsidR="00A24D69" w:rsidRPr="003644E7" w:rsidRDefault="00A24D69" w:rsidP="00A24D69">
      <w:pPr>
        <w:jc w:val="both"/>
        <w:rPr>
          <w:rStyle w:val="shorttext"/>
          <w:rFonts w:ascii="Arial" w:hAnsi="Arial" w:cs="Arial"/>
          <w:color w:val="222222"/>
          <w:u w:val="single"/>
          <w:lang w:val="en"/>
        </w:rPr>
      </w:pPr>
      <w:r w:rsidRPr="003644E7">
        <w:rPr>
          <w:rStyle w:val="shorttext"/>
          <w:rFonts w:ascii="Arial" w:hAnsi="Arial" w:cs="Arial"/>
          <w:color w:val="222222"/>
          <w:u w:val="single"/>
          <w:lang w:val="en"/>
        </w:rPr>
        <w:t xml:space="preserve">Medicinal Products: </w:t>
      </w:r>
    </w:p>
    <w:p w14:paraId="5279CD06" w14:textId="63DBF99D" w:rsidR="006A3AE6" w:rsidRPr="004F3016" w:rsidRDefault="00B35084" w:rsidP="00850C6F">
      <w:pPr>
        <w:jc w:val="both"/>
        <w:rPr>
          <w:rFonts w:ascii="Arial" w:hAnsi="Arial" w:cs="Arial"/>
          <w:lang w:val="en"/>
        </w:rPr>
      </w:pPr>
      <w:r w:rsidRPr="00AA51C2">
        <w:rPr>
          <w:rFonts w:ascii="Arial" w:hAnsi="Arial" w:cs="Arial"/>
          <w:lang w:val="en"/>
        </w:rPr>
        <w:t>For pharmaceutical manufacture</w:t>
      </w:r>
      <w:r w:rsidR="00DE67DE" w:rsidRPr="00AA51C2">
        <w:rPr>
          <w:rFonts w:ascii="Arial" w:hAnsi="Arial" w:cs="Arial"/>
          <w:lang w:val="en"/>
        </w:rPr>
        <w:t>r</w:t>
      </w:r>
      <w:r w:rsidRPr="00AA51C2">
        <w:rPr>
          <w:rFonts w:ascii="Arial" w:hAnsi="Arial" w:cs="Arial"/>
          <w:lang w:val="en"/>
        </w:rPr>
        <w:t xml:space="preserve">s the fundamental problem arises, </w:t>
      </w:r>
      <w:r w:rsidR="005C6904" w:rsidRPr="00AA51C2">
        <w:rPr>
          <w:rFonts w:ascii="Arial" w:hAnsi="Arial" w:cs="Arial"/>
          <w:lang w:val="en"/>
        </w:rPr>
        <w:t xml:space="preserve">that there are no alternatives available offering the same/required characteristics of titanium dioxide </w:t>
      </w:r>
      <w:r w:rsidRPr="00AA51C2">
        <w:rPr>
          <w:rFonts w:ascii="Arial" w:hAnsi="Arial" w:cs="Arial"/>
          <w:lang w:val="en"/>
        </w:rPr>
        <w:t>(</w:t>
      </w:r>
      <w:r w:rsidR="006A7666" w:rsidRPr="00AA51C2">
        <w:rPr>
          <w:rFonts w:ascii="Arial" w:hAnsi="Arial" w:cs="Arial"/>
          <w:lang w:val="en"/>
        </w:rPr>
        <w:t xml:space="preserve">excellent </w:t>
      </w:r>
      <w:r w:rsidRPr="00AA51C2">
        <w:rPr>
          <w:rFonts w:ascii="Arial" w:hAnsi="Arial" w:cs="Arial"/>
          <w:lang w:val="en"/>
        </w:rPr>
        <w:t>white pigment, chemical inertness, high stability against UV light, opaque child-resistant blister packages).</w:t>
      </w:r>
      <w:r w:rsidR="006A3AE6" w:rsidRPr="00AA51C2">
        <w:rPr>
          <w:rFonts w:ascii="Arial" w:hAnsi="Arial" w:cs="Arial"/>
          <w:lang w:val="en"/>
        </w:rPr>
        <w:t xml:space="preserve"> </w:t>
      </w:r>
      <w:r w:rsidR="00DE67DE" w:rsidRPr="00AA51C2">
        <w:rPr>
          <w:rFonts w:ascii="Arial" w:hAnsi="Arial" w:cs="Arial"/>
          <w:lang w:val="en"/>
        </w:rPr>
        <w:t>The</w:t>
      </w:r>
      <w:r w:rsidR="00F131D8" w:rsidRPr="00AA51C2">
        <w:rPr>
          <w:rFonts w:ascii="Arial" w:hAnsi="Arial" w:cs="Arial"/>
          <w:lang w:val="en"/>
        </w:rPr>
        <w:t xml:space="preserve"> classification </w:t>
      </w:r>
      <w:r w:rsidR="00DE67DE" w:rsidRPr="00AA51C2">
        <w:rPr>
          <w:rFonts w:ascii="Arial" w:hAnsi="Arial" w:cs="Arial"/>
          <w:lang w:val="en"/>
        </w:rPr>
        <w:t xml:space="preserve">of </w:t>
      </w:r>
      <w:r w:rsidR="00F131D8" w:rsidRPr="00AA51C2">
        <w:rPr>
          <w:rFonts w:ascii="Arial" w:hAnsi="Arial" w:cs="Arial"/>
          <w:lang w:val="en"/>
        </w:rPr>
        <w:t>titanium dioxide as a carcinogenic substance would necessitate direct additional measures in occupational health and safety</w:t>
      </w:r>
      <w:r w:rsidR="00DE67DE" w:rsidRPr="00AA51C2">
        <w:rPr>
          <w:rFonts w:ascii="Arial" w:hAnsi="Arial" w:cs="Arial"/>
          <w:lang w:val="en"/>
        </w:rPr>
        <w:t xml:space="preserve"> and with regard to specific features of the pharmaceutical industry even considerable</w:t>
      </w:r>
      <w:r w:rsidR="00AB4ECA" w:rsidRPr="00AA51C2">
        <w:rPr>
          <w:rFonts w:ascii="Arial" w:hAnsi="Arial" w:cs="Arial"/>
          <w:lang w:val="en"/>
        </w:rPr>
        <w:t xml:space="preserve"> investments might be required.</w:t>
      </w:r>
      <w:r w:rsidR="006A3AE6" w:rsidRPr="00AA51C2">
        <w:rPr>
          <w:rFonts w:ascii="Arial" w:hAnsi="Arial" w:cs="Arial"/>
          <w:lang w:val="en"/>
        </w:rPr>
        <w:t xml:space="preserve"> In general, substances (active substances or excipients) which are used for medicinal product manufacturing a</w:t>
      </w:r>
      <w:r w:rsidR="00AB4ECA" w:rsidRPr="00AA51C2">
        <w:rPr>
          <w:rFonts w:ascii="Arial" w:hAnsi="Arial" w:cs="Arial"/>
          <w:lang w:val="en"/>
        </w:rPr>
        <w:t>nd applied</w:t>
      </w:r>
      <w:r w:rsidR="006A3AE6" w:rsidRPr="00AA51C2">
        <w:rPr>
          <w:rFonts w:ascii="Arial" w:hAnsi="Arial" w:cs="Arial"/>
          <w:lang w:val="en"/>
        </w:rPr>
        <w:t xml:space="preserve"> unaltered in medicinal product are excluded from the REACH regulation</w:t>
      </w:r>
      <w:r w:rsidR="00523E49">
        <w:rPr>
          <w:rFonts w:ascii="Arial" w:hAnsi="Arial" w:cs="Arial"/>
          <w:lang w:val="en"/>
        </w:rPr>
        <w:t>.</w:t>
      </w:r>
      <w:r w:rsidR="00845EE4">
        <w:rPr>
          <w:rFonts w:ascii="Arial" w:hAnsi="Arial" w:cs="Arial"/>
          <w:lang w:val="en"/>
        </w:rPr>
        <w:t xml:space="preserve"> However, a classification as </w:t>
      </w:r>
      <w:r w:rsidR="00DA209C" w:rsidRPr="004F1B7C">
        <w:rPr>
          <w:rFonts w:ascii="Arial" w:hAnsi="Arial" w:cs="Arial"/>
          <w:color w:val="222222"/>
          <w:lang w:val="en-US"/>
        </w:rPr>
        <w:t>carcinogenic</w:t>
      </w:r>
      <w:r w:rsidR="00845EE4">
        <w:rPr>
          <w:rFonts w:ascii="Arial" w:hAnsi="Arial" w:cs="Arial"/>
          <w:lang w:val="en"/>
        </w:rPr>
        <w:t xml:space="preserve"> would cause a substantial uncertai</w:t>
      </w:r>
      <w:r w:rsidR="00CA5ABE">
        <w:rPr>
          <w:rFonts w:ascii="Arial" w:hAnsi="Arial" w:cs="Arial"/>
          <w:lang w:val="en"/>
        </w:rPr>
        <w:t>n</w:t>
      </w:r>
      <w:r w:rsidR="00845EE4">
        <w:rPr>
          <w:rFonts w:ascii="Arial" w:hAnsi="Arial" w:cs="Arial"/>
          <w:lang w:val="en"/>
        </w:rPr>
        <w:t>ty among patients and will lead to a refusal of any product containing titanium dioxide.</w:t>
      </w:r>
      <w:r w:rsidR="00523E49">
        <w:rPr>
          <w:rFonts w:ascii="Arial" w:hAnsi="Arial" w:cs="Arial"/>
          <w:lang w:val="en"/>
        </w:rPr>
        <w:t xml:space="preserve"> </w:t>
      </w:r>
      <w:r w:rsidR="006A3AE6" w:rsidRPr="004F3016">
        <w:rPr>
          <w:rFonts w:ascii="Arial" w:hAnsi="Arial" w:cs="Arial"/>
          <w:lang w:val="en"/>
        </w:rPr>
        <w:t xml:space="preserve">Furthermore, </w:t>
      </w:r>
      <w:r w:rsidR="00472EF7" w:rsidRPr="004F3016">
        <w:rPr>
          <w:rFonts w:ascii="Arial" w:hAnsi="Arial" w:cs="Arial"/>
          <w:lang w:val="en"/>
        </w:rPr>
        <w:t>the manufacture</w:t>
      </w:r>
      <w:r w:rsidR="00A51D2E" w:rsidRPr="004F3016">
        <w:rPr>
          <w:rFonts w:ascii="Arial" w:hAnsi="Arial" w:cs="Arial"/>
          <w:lang w:val="en"/>
        </w:rPr>
        <w:t>r</w:t>
      </w:r>
      <w:r w:rsidR="00472EF7" w:rsidRPr="004F3016">
        <w:rPr>
          <w:rFonts w:ascii="Arial" w:hAnsi="Arial" w:cs="Arial"/>
          <w:lang w:val="en"/>
        </w:rPr>
        <w:t>s of titanium dioxide have to approve the substance within a specific appl</w:t>
      </w:r>
      <w:r w:rsidR="00AB4ECA" w:rsidRPr="004F3016">
        <w:rPr>
          <w:rFonts w:ascii="Arial" w:hAnsi="Arial" w:cs="Arial"/>
          <w:lang w:val="en"/>
        </w:rPr>
        <w:t>ication if the substance would become part of</w:t>
      </w:r>
      <w:r w:rsidR="00472EF7" w:rsidRPr="004F3016">
        <w:rPr>
          <w:rFonts w:ascii="Arial" w:hAnsi="Arial" w:cs="Arial"/>
          <w:lang w:val="en"/>
        </w:rPr>
        <w:t xml:space="preserve"> Annex </w:t>
      </w:r>
      <w:r w:rsidR="00945433" w:rsidRPr="00945433">
        <w:rPr>
          <w:rFonts w:ascii="Arial" w:hAnsi="Arial" w:cs="Arial"/>
          <w:lang w:val="en"/>
        </w:rPr>
        <w:t>XIV</w:t>
      </w:r>
      <w:r w:rsidR="00472EF7" w:rsidRPr="004F3016">
        <w:rPr>
          <w:rFonts w:ascii="Arial" w:hAnsi="Arial" w:cs="Arial"/>
          <w:lang w:val="en"/>
        </w:rPr>
        <w:t xml:space="preserve"> of the REACH regulation. This </w:t>
      </w:r>
      <w:r w:rsidR="00AB4ECA" w:rsidRPr="004F3016">
        <w:rPr>
          <w:rFonts w:ascii="Arial" w:hAnsi="Arial" w:cs="Arial"/>
          <w:lang w:val="en"/>
        </w:rPr>
        <w:t xml:space="preserve">approval </w:t>
      </w:r>
      <w:r w:rsidR="00472EF7" w:rsidRPr="004F3016">
        <w:rPr>
          <w:rFonts w:ascii="Arial" w:hAnsi="Arial" w:cs="Arial"/>
          <w:lang w:val="en"/>
        </w:rPr>
        <w:t>would result in enormous costs</w:t>
      </w:r>
      <w:r w:rsidR="006A7666" w:rsidRPr="004F3016">
        <w:rPr>
          <w:rFonts w:ascii="Arial" w:hAnsi="Arial" w:cs="Arial"/>
          <w:lang w:val="en"/>
        </w:rPr>
        <w:t xml:space="preserve"> </w:t>
      </w:r>
      <w:r w:rsidR="00472EF7" w:rsidRPr="004F3016">
        <w:rPr>
          <w:rFonts w:ascii="Arial" w:hAnsi="Arial" w:cs="Arial"/>
          <w:lang w:val="en"/>
        </w:rPr>
        <w:t xml:space="preserve">and </w:t>
      </w:r>
      <w:r w:rsidR="0047030A" w:rsidRPr="004F3016">
        <w:rPr>
          <w:rFonts w:ascii="Arial" w:hAnsi="Arial" w:cs="Arial"/>
          <w:lang w:val="en"/>
        </w:rPr>
        <w:t xml:space="preserve">the question </w:t>
      </w:r>
      <w:r w:rsidR="00CD3F50" w:rsidRPr="004F3016">
        <w:rPr>
          <w:rFonts w:ascii="Arial" w:hAnsi="Arial" w:cs="Arial"/>
          <w:lang w:val="en"/>
        </w:rPr>
        <w:t xml:space="preserve">arises </w:t>
      </w:r>
      <w:r w:rsidR="0047030A" w:rsidRPr="004F3016">
        <w:rPr>
          <w:rFonts w:ascii="Arial" w:hAnsi="Arial" w:cs="Arial"/>
          <w:lang w:val="en"/>
        </w:rPr>
        <w:t xml:space="preserve">whether </w:t>
      </w:r>
      <w:r w:rsidR="006432F3" w:rsidRPr="004F3016">
        <w:rPr>
          <w:rFonts w:ascii="Arial" w:hAnsi="Arial" w:cs="Arial"/>
          <w:lang w:val="en"/>
        </w:rPr>
        <w:t xml:space="preserve">titanium dioxide will </w:t>
      </w:r>
      <w:r w:rsidR="00CD3F50" w:rsidRPr="004F3016">
        <w:rPr>
          <w:rFonts w:ascii="Arial" w:hAnsi="Arial" w:cs="Arial"/>
          <w:lang w:val="en"/>
        </w:rPr>
        <w:t xml:space="preserve">still </w:t>
      </w:r>
      <w:r w:rsidR="006432F3" w:rsidRPr="004F3016">
        <w:rPr>
          <w:rFonts w:ascii="Arial" w:hAnsi="Arial" w:cs="Arial"/>
          <w:lang w:val="en"/>
        </w:rPr>
        <w:t>be commercially available in future.</w:t>
      </w:r>
      <w:r w:rsidR="006A7666" w:rsidRPr="004F3016">
        <w:rPr>
          <w:lang w:val="en-US"/>
        </w:rPr>
        <w:t xml:space="preserve"> </w:t>
      </w:r>
      <w:r w:rsidR="006A7666" w:rsidRPr="004F3016">
        <w:rPr>
          <w:rFonts w:ascii="Arial" w:hAnsi="Arial" w:cs="Arial"/>
          <w:lang w:val="en"/>
        </w:rPr>
        <w:t xml:space="preserve">However, where a manufacturer or importer supplies substances and mixtures (e.g. active substances) or excipients which </w:t>
      </w:r>
      <w:r w:rsidR="00CD3F50" w:rsidRPr="004F3016">
        <w:rPr>
          <w:rFonts w:ascii="Arial" w:hAnsi="Arial" w:cs="Arial"/>
          <w:lang w:val="en"/>
        </w:rPr>
        <w:t>are not yet processed to</w:t>
      </w:r>
      <w:r w:rsidR="006A7666" w:rsidRPr="004F3016">
        <w:rPr>
          <w:rFonts w:ascii="Arial" w:hAnsi="Arial" w:cs="Arial"/>
          <w:lang w:val="en"/>
        </w:rPr>
        <w:t xml:space="preserve"> finished products, the manufacturer or importer is indeed under the obligation to classify, pack and label such substances and mixtures in accordance with the CLP </w:t>
      </w:r>
      <w:r w:rsidR="00CD3F50" w:rsidRPr="004F3016">
        <w:rPr>
          <w:rFonts w:ascii="Arial" w:hAnsi="Arial" w:cs="Arial"/>
          <w:lang w:val="en"/>
        </w:rPr>
        <w:t>r</w:t>
      </w:r>
      <w:r w:rsidR="006A7666" w:rsidRPr="004F3016">
        <w:rPr>
          <w:rFonts w:ascii="Arial" w:hAnsi="Arial" w:cs="Arial"/>
          <w:lang w:val="en"/>
        </w:rPr>
        <w:t xml:space="preserve">egulation. </w:t>
      </w:r>
    </w:p>
    <w:p w14:paraId="09B650D9" w14:textId="77777777" w:rsidR="006A7666" w:rsidRPr="004F3016" w:rsidRDefault="006A7666" w:rsidP="006A7666">
      <w:pPr>
        <w:jc w:val="both"/>
        <w:rPr>
          <w:rFonts w:ascii="Arial" w:hAnsi="Arial" w:cs="Arial"/>
          <w:lang w:val="en-US"/>
        </w:rPr>
      </w:pPr>
    </w:p>
    <w:p w14:paraId="5E58AE5D" w14:textId="12947EAE" w:rsidR="006432F3" w:rsidRPr="004F3016" w:rsidRDefault="00AB4ECA" w:rsidP="00425E93">
      <w:pPr>
        <w:jc w:val="both"/>
        <w:rPr>
          <w:rFonts w:ascii="Arial" w:hAnsi="Arial" w:cs="Arial"/>
          <w:color w:val="222222"/>
          <w:lang w:val="en-US"/>
        </w:rPr>
      </w:pPr>
      <w:r w:rsidRPr="004F3016">
        <w:rPr>
          <w:rFonts w:ascii="Arial" w:hAnsi="Arial" w:cs="Arial"/>
          <w:lang w:val="en-US"/>
        </w:rPr>
        <w:t xml:space="preserve">Regardless of a non-existent substance containing the described and excellent characteristics of titanium dioxide, a replacement by an alternative would have </w:t>
      </w:r>
      <w:r w:rsidR="006432F3" w:rsidRPr="004F3016">
        <w:rPr>
          <w:rFonts w:ascii="Arial" w:hAnsi="Arial" w:cs="Arial"/>
          <w:lang w:val="en-US"/>
        </w:rPr>
        <w:t xml:space="preserve">far-reaching consequences </w:t>
      </w:r>
      <w:r w:rsidR="006432F3" w:rsidRPr="004F3016">
        <w:rPr>
          <w:rFonts w:ascii="Arial" w:hAnsi="Arial" w:cs="Arial"/>
          <w:lang w:val="en"/>
        </w:rPr>
        <w:t>for pharmaceutical manufacture</w:t>
      </w:r>
      <w:r w:rsidR="00A51D2E" w:rsidRPr="004F3016">
        <w:rPr>
          <w:rFonts w:ascii="Arial" w:hAnsi="Arial" w:cs="Arial"/>
          <w:lang w:val="en"/>
        </w:rPr>
        <w:t>r</w:t>
      </w:r>
      <w:r w:rsidR="006432F3" w:rsidRPr="004F3016">
        <w:rPr>
          <w:rFonts w:ascii="Arial" w:hAnsi="Arial" w:cs="Arial"/>
          <w:lang w:val="en"/>
        </w:rPr>
        <w:t xml:space="preserve">s. </w:t>
      </w:r>
      <w:r w:rsidR="008C113D" w:rsidRPr="004F3016">
        <w:rPr>
          <w:rFonts w:ascii="Arial" w:hAnsi="Arial" w:cs="Arial"/>
          <w:lang w:val="en"/>
        </w:rPr>
        <w:t xml:space="preserve">A change </w:t>
      </w:r>
      <w:r w:rsidR="004F3016">
        <w:rPr>
          <w:rFonts w:ascii="Arial" w:hAnsi="Arial" w:cs="Arial"/>
          <w:lang w:val="en"/>
        </w:rPr>
        <w:t>in</w:t>
      </w:r>
      <w:r w:rsidR="00CD3F50" w:rsidRPr="004F3016">
        <w:rPr>
          <w:rFonts w:ascii="Arial" w:hAnsi="Arial" w:cs="Arial"/>
          <w:lang w:val="en"/>
        </w:rPr>
        <w:t xml:space="preserve"> the</w:t>
      </w:r>
      <w:r w:rsidR="008C113D" w:rsidRPr="004F3016">
        <w:rPr>
          <w:rFonts w:ascii="Arial" w:hAnsi="Arial" w:cs="Arial"/>
          <w:lang w:val="en"/>
        </w:rPr>
        <w:t xml:space="preserve"> formulation of a medicinal product </w:t>
      </w:r>
      <w:r w:rsidR="00CD3F50" w:rsidRPr="004F3016">
        <w:rPr>
          <w:rFonts w:ascii="Arial" w:hAnsi="Arial" w:cs="Arial"/>
          <w:lang w:val="en"/>
        </w:rPr>
        <w:t>results in</w:t>
      </w:r>
      <w:r w:rsidR="008C113D" w:rsidRPr="004F3016">
        <w:rPr>
          <w:rFonts w:ascii="Arial" w:hAnsi="Arial" w:cs="Arial"/>
          <w:lang w:val="en"/>
        </w:rPr>
        <w:t xml:space="preserve"> the </w:t>
      </w:r>
      <w:r w:rsidR="00753DA3" w:rsidRPr="004F3016">
        <w:rPr>
          <w:rFonts w:ascii="Arial" w:hAnsi="Arial" w:cs="Arial"/>
          <w:lang w:val="en"/>
        </w:rPr>
        <w:t>demand for</w:t>
      </w:r>
      <w:r w:rsidR="008C113D" w:rsidRPr="004F3016">
        <w:rPr>
          <w:rFonts w:ascii="Arial" w:hAnsi="Arial" w:cs="Arial"/>
          <w:lang w:val="en"/>
        </w:rPr>
        <w:t xml:space="preserve"> co</w:t>
      </w:r>
      <w:r w:rsidR="006A7666" w:rsidRPr="004F3016">
        <w:rPr>
          <w:rFonts w:ascii="Arial" w:hAnsi="Arial" w:cs="Arial"/>
          <w:lang w:val="en"/>
        </w:rPr>
        <w:t xml:space="preserve">mprehensive studies of efficacy, </w:t>
      </w:r>
      <w:r w:rsidR="008C113D" w:rsidRPr="004F3016">
        <w:rPr>
          <w:rFonts w:ascii="Arial" w:hAnsi="Arial" w:cs="Arial"/>
          <w:lang w:val="en"/>
        </w:rPr>
        <w:t xml:space="preserve">safety and stability of the new formulations, involving </w:t>
      </w:r>
      <w:r w:rsidR="00CD3F50" w:rsidRPr="004F3016">
        <w:rPr>
          <w:rFonts w:ascii="Arial" w:hAnsi="Arial" w:cs="Arial"/>
          <w:lang w:val="en"/>
        </w:rPr>
        <w:t xml:space="preserve">enormous </w:t>
      </w:r>
      <w:r w:rsidR="008C113D" w:rsidRPr="004F3016">
        <w:rPr>
          <w:rFonts w:ascii="Arial" w:hAnsi="Arial" w:cs="Arial"/>
          <w:lang w:val="en"/>
        </w:rPr>
        <w:t>work and cost</w:t>
      </w:r>
      <w:r w:rsidR="00753DA3" w:rsidRPr="004F3016">
        <w:rPr>
          <w:rFonts w:ascii="Arial" w:hAnsi="Arial" w:cs="Arial"/>
          <w:lang w:val="en"/>
        </w:rPr>
        <w:t>s</w:t>
      </w:r>
      <w:r w:rsidR="008C113D" w:rsidRPr="004F3016">
        <w:rPr>
          <w:rFonts w:ascii="Arial" w:hAnsi="Arial" w:cs="Arial"/>
          <w:lang w:val="en"/>
        </w:rPr>
        <w:t xml:space="preserve">. This </w:t>
      </w:r>
      <w:r w:rsidR="00753DA3" w:rsidRPr="004F3016">
        <w:rPr>
          <w:rFonts w:ascii="Arial" w:hAnsi="Arial" w:cs="Arial"/>
          <w:lang w:val="en"/>
        </w:rPr>
        <w:t>fact is of high importance</w:t>
      </w:r>
      <w:r w:rsidR="008C113D" w:rsidRPr="004F3016">
        <w:rPr>
          <w:rFonts w:ascii="Arial" w:hAnsi="Arial" w:cs="Arial"/>
          <w:lang w:val="en"/>
        </w:rPr>
        <w:t xml:space="preserve"> because titanium dioxide is a component of nearly all </w:t>
      </w:r>
      <w:r w:rsidR="008C113D" w:rsidRPr="004F3016">
        <w:rPr>
          <w:rFonts w:ascii="Arial" w:hAnsi="Arial" w:cs="Arial"/>
          <w:color w:val="222222"/>
          <w:lang w:val="en"/>
        </w:rPr>
        <w:t xml:space="preserve">solid dosage forms of medicinal products and a change in their formulations would become necessary for thousands of medicinal products. </w:t>
      </w:r>
      <w:r w:rsidR="006A7666" w:rsidRPr="004F3016">
        <w:rPr>
          <w:rFonts w:ascii="Arial" w:hAnsi="Arial" w:cs="Arial"/>
          <w:color w:val="222222"/>
          <w:lang w:val="en"/>
        </w:rPr>
        <w:t>The</w:t>
      </w:r>
      <w:r w:rsidR="00753DA3" w:rsidRPr="004F3016">
        <w:rPr>
          <w:rFonts w:ascii="Arial" w:hAnsi="Arial" w:cs="Arial"/>
          <w:color w:val="222222"/>
          <w:lang w:val="en"/>
        </w:rPr>
        <w:t>se</w:t>
      </w:r>
      <w:r w:rsidR="006A7666" w:rsidRPr="004F3016">
        <w:rPr>
          <w:rFonts w:ascii="Arial" w:hAnsi="Arial" w:cs="Arial"/>
          <w:color w:val="222222"/>
          <w:lang w:val="en"/>
        </w:rPr>
        <w:t xml:space="preserve"> </w:t>
      </w:r>
      <w:r w:rsidR="00845EE4">
        <w:rPr>
          <w:rFonts w:ascii="Arial" w:hAnsi="Arial" w:cs="Arial"/>
          <w:color w:val="222222"/>
          <w:lang w:val="en"/>
        </w:rPr>
        <w:t xml:space="preserve">thousands of regulatory </w:t>
      </w:r>
      <w:r w:rsidR="00CA5ABE">
        <w:rPr>
          <w:rFonts w:ascii="Arial" w:hAnsi="Arial" w:cs="Arial"/>
          <w:color w:val="222222"/>
          <w:lang w:val="en"/>
        </w:rPr>
        <w:t xml:space="preserve">induced </w:t>
      </w:r>
      <w:r w:rsidR="00845EE4">
        <w:rPr>
          <w:rFonts w:ascii="Arial" w:hAnsi="Arial" w:cs="Arial"/>
          <w:color w:val="222222"/>
          <w:lang w:val="en"/>
        </w:rPr>
        <w:t xml:space="preserve">variations </w:t>
      </w:r>
      <w:r w:rsidR="006A7666" w:rsidRPr="004F3016">
        <w:rPr>
          <w:rFonts w:ascii="Arial" w:hAnsi="Arial" w:cs="Arial"/>
          <w:color w:val="222222"/>
          <w:lang w:val="en"/>
        </w:rPr>
        <w:t xml:space="preserve">and financial challenges would exceed </w:t>
      </w:r>
      <w:r w:rsidR="00753DA3" w:rsidRPr="004F3016">
        <w:rPr>
          <w:rFonts w:ascii="Arial" w:hAnsi="Arial" w:cs="Arial"/>
          <w:color w:val="222222"/>
          <w:lang w:val="en"/>
        </w:rPr>
        <w:t>unexpected dimensions</w:t>
      </w:r>
      <w:r w:rsidR="00CA5ABE">
        <w:rPr>
          <w:rFonts w:ascii="Arial" w:hAnsi="Arial" w:cs="Arial"/>
          <w:color w:val="222222"/>
          <w:lang w:val="en"/>
        </w:rPr>
        <w:t xml:space="preserve"> – however, </w:t>
      </w:r>
      <w:r w:rsidR="00845EE4">
        <w:rPr>
          <w:rFonts w:ascii="Arial" w:hAnsi="Arial" w:cs="Arial"/>
          <w:color w:val="222222"/>
          <w:lang w:val="en"/>
        </w:rPr>
        <w:t xml:space="preserve">without any additional benefit </w:t>
      </w:r>
      <w:r w:rsidR="00CA5ABE">
        <w:rPr>
          <w:rFonts w:ascii="Arial" w:hAnsi="Arial" w:cs="Arial"/>
          <w:color w:val="222222"/>
          <w:lang w:val="en"/>
        </w:rPr>
        <w:t xml:space="preserve">for </w:t>
      </w:r>
      <w:r w:rsidR="00753DA3" w:rsidRPr="004F3016">
        <w:rPr>
          <w:rFonts w:ascii="Arial" w:hAnsi="Arial" w:cs="Arial"/>
          <w:color w:val="222222"/>
          <w:lang w:val="en"/>
        </w:rPr>
        <w:t xml:space="preserve">the </w:t>
      </w:r>
      <w:r w:rsidR="006A7666" w:rsidRPr="004F3016">
        <w:rPr>
          <w:rFonts w:ascii="Arial" w:hAnsi="Arial" w:cs="Arial"/>
          <w:color w:val="222222"/>
          <w:lang w:val="en"/>
        </w:rPr>
        <w:t>patients.</w:t>
      </w:r>
    </w:p>
    <w:p w14:paraId="59A7772D" w14:textId="77777777" w:rsidR="00D84A37" w:rsidRPr="004E612C" w:rsidRDefault="00D84A37" w:rsidP="0018785B">
      <w:pPr>
        <w:jc w:val="both"/>
        <w:rPr>
          <w:rFonts w:ascii="Arial" w:hAnsi="Arial" w:cs="Arial"/>
          <w:color w:val="222222"/>
          <w:lang w:val="en-US"/>
        </w:rPr>
      </w:pPr>
    </w:p>
    <w:p w14:paraId="4C8550C8" w14:textId="77777777" w:rsidR="0018785B" w:rsidRPr="00D84A37" w:rsidRDefault="0018785B" w:rsidP="0018785B">
      <w:pPr>
        <w:jc w:val="both"/>
        <w:rPr>
          <w:rFonts w:ascii="Arial" w:hAnsi="Arial" w:cs="Arial"/>
          <w:color w:val="222222"/>
          <w:lang w:val="en-US"/>
        </w:rPr>
      </w:pPr>
      <w:r w:rsidRPr="00D84A37">
        <w:rPr>
          <w:rStyle w:val="shorttext"/>
          <w:rFonts w:ascii="Arial" w:hAnsi="Arial" w:cs="Arial"/>
          <w:color w:val="222222"/>
          <w:u w:val="single"/>
          <w:lang w:val="en-US"/>
        </w:rPr>
        <w:t>Medical Devices:</w:t>
      </w:r>
    </w:p>
    <w:p w14:paraId="3178EB30" w14:textId="64030280" w:rsidR="0018785B" w:rsidRPr="004F3016" w:rsidRDefault="0018785B" w:rsidP="0018785B">
      <w:pPr>
        <w:jc w:val="both"/>
        <w:rPr>
          <w:rFonts w:ascii="Arial" w:hAnsi="Arial" w:cs="Arial"/>
          <w:color w:val="222222"/>
          <w:lang w:val="en"/>
        </w:rPr>
      </w:pPr>
      <w:r w:rsidRPr="004F3016">
        <w:rPr>
          <w:rFonts w:ascii="Arial" w:hAnsi="Arial" w:cs="Arial"/>
          <w:color w:val="222222"/>
          <w:lang w:val="en"/>
        </w:rPr>
        <w:t>In the dental field, a replacement of titanium dioxide by another white pigment is not possible, because they either do not reach the same shading effect or must be used in much higher concentrations that could affect th</w:t>
      </w:r>
      <w:r>
        <w:rPr>
          <w:rFonts w:ascii="Arial" w:hAnsi="Arial" w:cs="Arial"/>
          <w:color w:val="222222"/>
          <w:lang w:val="en"/>
        </w:rPr>
        <w:t>e performance of the product or</w:t>
      </w:r>
      <w:r w:rsidRPr="004F3016">
        <w:rPr>
          <w:rFonts w:ascii="Arial" w:hAnsi="Arial" w:cs="Arial"/>
          <w:color w:val="222222"/>
          <w:lang w:val="en"/>
        </w:rPr>
        <w:t xml:space="preserve"> </w:t>
      </w:r>
      <w:r w:rsidRPr="00D84A37">
        <w:rPr>
          <w:rFonts w:ascii="Arial" w:hAnsi="Arial" w:cs="Arial"/>
          <w:color w:val="000000" w:themeColor="text1"/>
          <w:lang w:val="en"/>
        </w:rPr>
        <w:t xml:space="preserve">give </w:t>
      </w:r>
      <w:r w:rsidR="00D84A37" w:rsidRPr="00D84A37">
        <w:rPr>
          <w:rFonts w:ascii="Arial" w:hAnsi="Arial" w:cs="Arial"/>
          <w:color w:val="000000" w:themeColor="text1"/>
          <w:lang w:val="en"/>
        </w:rPr>
        <w:t>undesired</w:t>
      </w:r>
      <w:r w:rsidRPr="00D84A37">
        <w:rPr>
          <w:rFonts w:ascii="Arial" w:hAnsi="Arial" w:cs="Arial"/>
          <w:color w:val="000000" w:themeColor="text1"/>
          <w:lang w:val="en"/>
        </w:rPr>
        <w:t xml:space="preserve"> toxicological </w:t>
      </w:r>
      <w:r w:rsidRPr="004F3016">
        <w:rPr>
          <w:rFonts w:ascii="Arial" w:hAnsi="Arial" w:cs="Arial"/>
          <w:color w:val="222222"/>
          <w:lang w:val="en"/>
        </w:rPr>
        <w:t xml:space="preserve">effects compromising the biocompatibility of the products. Due to the necessity of using higher quantities of such alternative pigments </w:t>
      </w:r>
      <w:r>
        <w:rPr>
          <w:rFonts w:ascii="Arial" w:hAnsi="Arial" w:cs="Arial"/>
          <w:color w:val="222222"/>
          <w:lang w:val="en"/>
        </w:rPr>
        <w:t>comprehensive development studies have to be carried out to test the characteristics of the (new) product (stability, performance etc.) to decide, whether it is acceptable for the intended use</w:t>
      </w:r>
      <w:r w:rsidRPr="004F3016">
        <w:rPr>
          <w:rFonts w:ascii="Arial" w:hAnsi="Arial" w:cs="Arial"/>
          <w:color w:val="222222"/>
          <w:lang w:val="en"/>
        </w:rPr>
        <w:t xml:space="preserve">. This is aggravated by the fact that certain </w:t>
      </w:r>
      <w:r w:rsidRPr="004F3016">
        <w:rPr>
          <w:rFonts w:ascii="Arial" w:hAnsi="Arial" w:cs="Arial"/>
          <w:color w:val="222222"/>
          <w:lang w:val="en"/>
        </w:rPr>
        <w:lastRenderedPageBreak/>
        <w:t>applications of modern techniques (e.g. the scanning of impressions in the digital workflow for producing indirect restorations) would be difficult or even impossible.</w:t>
      </w:r>
    </w:p>
    <w:p w14:paraId="5C9F20E7" w14:textId="1D50420C" w:rsidR="0018785B" w:rsidRDefault="0018785B" w:rsidP="0018785B">
      <w:pPr>
        <w:jc w:val="both"/>
        <w:rPr>
          <w:rStyle w:val="shorttext"/>
          <w:rFonts w:ascii="Arial" w:hAnsi="Arial" w:cs="Arial"/>
          <w:color w:val="222222"/>
          <w:lang w:val="en"/>
        </w:rPr>
      </w:pPr>
      <w:r w:rsidRPr="004F3016">
        <w:rPr>
          <w:rFonts w:ascii="Arial" w:hAnsi="Arial" w:cs="Arial"/>
          <w:color w:val="222222"/>
          <w:lang w:val="en"/>
        </w:rPr>
        <w:t xml:space="preserve">Another issue is the fact that </w:t>
      </w:r>
      <w:r w:rsidRPr="004F3016">
        <w:rPr>
          <w:rFonts w:ascii="Arial" w:hAnsi="Arial" w:cs="Arial"/>
          <w:lang w:val="en"/>
        </w:rPr>
        <w:t xml:space="preserve">medical devices are </w:t>
      </w:r>
      <w:r w:rsidRPr="004F3016">
        <w:rPr>
          <w:rFonts w:ascii="Arial" w:hAnsi="Arial" w:cs="Arial"/>
          <w:color w:val="222222"/>
          <w:lang w:val="en"/>
        </w:rPr>
        <w:t>not</w:t>
      </w:r>
      <w:r w:rsidRPr="004F3016">
        <w:rPr>
          <w:rFonts w:ascii="Arial" w:hAnsi="Arial" w:cs="Arial"/>
          <w:lang w:val="en"/>
        </w:rPr>
        <w:t xml:space="preserve"> excluded of the REACH regulation. Substances and mixtures which are used in medical devices are comprehensively under an obligation to be registered und approved when appropriate. This will result in unnecessary and high costs for the manufacturers. Medical devices are only exempted from REACH Title IV (Information in the Supply Chain) if they are used invasively or used in direct physic</w:t>
      </w:r>
      <w:r w:rsidR="00D84A37">
        <w:rPr>
          <w:rFonts w:ascii="Arial" w:hAnsi="Arial" w:cs="Arial"/>
          <w:lang w:val="en"/>
        </w:rPr>
        <w:t xml:space="preserve">al contact with the human body. </w:t>
      </w:r>
      <w:r w:rsidRPr="00243D0A">
        <w:rPr>
          <w:rFonts w:ascii="Arial" w:hAnsi="Arial" w:cs="Arial"/>
          <w:lang w:val="en"/>
        </w:rPr>
        <w:t xml:space="preserve">Therefore, </w:t>
      </w:r>
      <w:r w:rsidR="00D84A37" w:rsidRPr="00243D0A">
        <w:rPr>
          <w:rFonts w:ascii="Arial" w:hAnsi="Arial" w:cs="Arial"/>
          <w:lang w:val="en"/>
        </w:rPr>
        <w:t xml:space="preserve">on the one hand </w:t>
      </w:r>
      <w:r w:rsidRPr="00243D0A">
        <w:rPr>
          <w:rFonts w:ascii="Arial" w:hAnsi="Arial" w:cs="Arial"/>
          <w:lang w:val="en"/>
        </w:rPr>
        <w:t>medical devices like dental fillings introduced directly into the tooth by the dentist</w:t>
      </w:r>
      <w:r w:rsidR="00D84A37" w:rsidRPr="00243D0A">
        <w:rPr>
          <w:rFonts w:ascii="Arial" w:hAnsi="Arial" w:cs="Arial"/>
          <w:lang w:val="en"/>
        </w:rPr>
        <w:t xml:space="preserve"> are exempted from REACH Title IV</w:t>
      </w:r>
      <w:r w:rsidR="001025A5" w:rsidRPr="00243D0A">
        <w:rPr>
          <w:rFonts w:ascii="Arial" w:hAnsi="Arial" w:cs="Arial"/>
          <w:lang w:val="en"/>
        </w:rPr>
        <w:t xml:space="preserve">, but </w:t>
      </w:r>
      <w:r w:rsidR="00D84A37" w:rsidRPr="00243D0A">
        <w:rPr>
          <w:rFonts w:ascii="Arial" w:hAnsi="Arial" w:cs="Arial"/>
          <w:lang w:val="en"/>
        </w:rPr>
        <w:t xml:space="preserve">on the other hand </w:t>
      </w:r>
      <w:r w:rsidR="004E612C" w:rsidRPr="00243D0A">
        <w:rPr>
          <w:rStyle w:val="shorttext"/>
          <w:rFonts w:ascii="Arial" w:hAnsi="Arial" w:cs="Arial"/>
          <w:color w:val="222222"/>
          <w:lang w:val="en"/>
        </w:rPr>
        <w:t>the regulation Title IV will apply</w:t>
      </w:r>
      <w:r w:rsidR="004E612C" w:rsidRPr="00243D0A">
        <w:rPr>
          <w:rFonts w:ascii="Arial" w:hAnsi="Arial" w:cs="Arial"/>
          <w:lang w:val="en"/>
        </w:rPr>
        <w:t xml:space="preserve"> </w:t>
      </w:r>
      <w:r w:rsidR="001025A5" w:rsidRPr="00243D0A">
        <w:rPr>
          <w:rFonts w:ascii="Arial" w:hAnsi="Arial" w:cs="Arial"/>
          <w:lang w:val="en"/>
        </w:rPr>
        <w:t>i</w:t>
      </w:r>
      <w:r w:rsidRPr="00243D0A">
        <w:rPr>
          <w:rFonts w:ascii="Arial" w:hAnsi="Arial" w:cs="Arial"/>
          <w:lang w:val="en"/>
        </w:rPr>
        <w:t xml:space="preserve">f the medical device is processed by </w:t>
      </w:r>
      <w:r w:rsidRPr="00243D0A">
        <w:rPr>
          <w:rStyle w:val="shorttext"/>
          <w:rFonts w:ascii="Arial" w:hAnsi="Arial" w:cs="Arial"/>
          <w:color w:val="222222"/>
          <w:lang w:val="en"/>
        </w:rPr>
        <w:t>a dental technician before utilization for the patient</w:t>
      </w:r>
      <w:r w:rsidR="001025A5" w:rsidRPr="00243D0A">
        <w:rPr>
          <w:rStyle w:val="shorttext"/>
          <w:rFonts w:ascii="Arial" w:hAnsi="Arial" w:cs="Arial"/>
          <w:color w:val="222222"/>
          <w:lang w:val="en"/>
        </w:rPr>
        <w:t xml:space="preserve">. That </w:t>
      </w:r>
      <w:r w:rsidR="00C701D2" w:rsidRPr="00243D0A">
        <w:rPr>
          <w:rStyle w:val="shorttext"/>
          <w:rFonts w:ascii="Arial" w:hAnsi="Arial" w:cs="Arial"/>
          <w:color w:val="222222"/>
          <w:lang w:val="en"/>
        </w:rPr>
        <w:t>implies</w:t>
      </w:r>
      <w:r w:rsidR="00D84A37" w:rsidRPr="00243D0A">
        <w:rPr>
          <w:rStyle w:val="shorttext"/>
          <w:rFonts w:ascii="Arial" w:hAnsi="Arial" w:cs="Arial"/>
          <w:color w:val="222222"/>
          <w:lang w:val="en"/>
        </w:rPr>
        <w:t xml:space="preserve"> a lot of work without additional benefit for the patients.</w:t>
      </w:r>
    </w:p>
    <w:p w14:paraId="5FBE379A" w14:textId="650DFCB3" w:rsidR="0018785B" w:rsidRPr="00AA51C2" w:rsidRDefault="001025A5" w:rsidP="0018785B">
      <w:pPr>
        <w:jc w:val="both"/>
        <w:rPr>
          <w:rFonts w:ascii="Arial" w:hAnsi="Arial" w:cs="Arial"/>
          <w:lang w:val="en"/>
        </w:rPr>
      </w:pPr>
      <w:r>
        <w:rPr>
          <w:rFonts w:ascii="Arial" w:hAnsi="Arial" w:cs="Arial"/>
          <w:lang w:val="en"/>
        </w:rPr>
        <w:t>In addition, t</w:t>
      </w:r>
      <w:r w:rsidR="0018785B" w:rsidRPr="00AA51C2">
        <w:rPr>
          <w:rFonts w:ascii="Arial" w:hAnsi="Arial" w:cs="Arial"/>
          <w:lang w:val="en"/>
        </w:rPr>
        <w:t>he new MDR Annex 1 states the following: “</w:t>
      </w:r>
      <w:r w:rsidR="0018785B" w:rsidRPr="00AA51C2">
        <w:rPr>
          <w:rFonts w:ascii="Arial" w:hAnsi="Arial" w:cs="Arial"/>
          <w:i/>
          <w:lang w:val="en"/>
        </w:rPr>
        <w:t xml:space="preserve">If devices, parts thereof or materials used therein as referred to in Section 7.4.1. contain substances referred to in points (a) or (b) of Section 7.4.1. in a concentration above 0.1% weight by weight (w/w), these devices shall be labelled on the device itself and/or on the packaging for each unit or, where appropriate, on the sales packaging, with the list of such substances….”. </w:t>
      </w:r>
      <w:r w:rsidR="0018785B" w:rsidRPr="00243D0A">
        <w:rPr>
          <w:rFonts w:ascii="Arial" w:hAnsi="Arial" w:cs="Arial"/>
          <w:lang w:val="en"/>
        </w:rPr>
        <w:t xml:space="preserve">The required labelling will lead to </w:t>
      </w:r>
      <w:r w:rsidRPr="00243D0A">
        <w:rPr>
          <w:rFonts w:ascii="Arial" w:hAnsi="Arial" w:cs="Arial"/>
          <w:lang w:val="en"/>
        </w:rPr>
        <w:t>an unc</w:t>
      </w:r>
      <w:r w:rsidR="00D84A37" w:rsidRPr="00243D0A">
        <w:rPr>
          <w:rFonts w:ascii="Arial" w:hAnsi="Arial" w:cs="Arial"/>
          <w:lang w:val="en"/>
        </w:rPr>
        <w:t>ertainty for the patient</w:t>
      </w:r>
      <w:r w:rsidRPr="00243D0A">
        <w:rPr>
          <w:rFonts w:ascii="Arial" w:hAnsi="Arial" w:cs="Arial"/>
          <w:lang w:val="en"/>
        </w:rPr>
        <w:t xml:space="preserve"> whether the product is appropriate to him.</w:t>
      </w:r>
    </w:p>
    <w:p w14:paraId="15DE98C7" w14:textId="77777777" w:rsidR="00C725C8" w:rsidRDefault="00C725C8" w:rsidP="00C725C8">
      <w:pPr>
        <w:jc w:val="both"/>
        <w:rPr>
          <w:rFonts w:ascii="Arial" w:hAnsi="Arial" w:cs="Arial"/>
          <w:color w:val="222222"/>
          <w:lang w:val="en"/>
        </w:rPr>
      </w:pPr>
    </w:p>
    <w:p w14:paraId="789A4E82" w14:textId="77777777" w:rsidR="0032348B" w:rsidRPr="00AA51C2" w:rsidRDefault="0032348B" w:rsidP="00C725C8">
      <w:pPr>
        <w:jc w:val="both"/>
        <w:rPr>
          <w:rFonts w:ascii="Arial" w:hAnsi="Arial" w:cs="Arial"/>
          <w:color w:val="222222"/>
          <w:lang w:val="en"/>
        </w:rPr>
      </w:pPr>
    </w:p>
    <w:p w14:paraId="2B40F640" w14:textId="0F7DD391" w:rsidR="00C725C8" w:rsidRPr="005444C4" w:rsidRDefault="00C725C8" w:rsidP="00C725C8">
      <w:pPr>
        <w:jc w:val="both"/>
        <w:rPr>
          <w:rFonts w:ascii="Arial" w:hAnsi="Arial" w:cs="Arial"/>
          <w:b/>
          <w:color w:val="222222"/>
          <w:sz w:val="24"/>
          <w:szCs w:val="24"/>
          <w:lang w:val="en-US"/>
        </w:rPr>
      </w:pPr>
      <w:r w:rsidRPr="005444C4">
        <w:rPr>
          <w:rFonts w:ascii="Arial" w:hAnsi="Arial" w:cs="Arial"/>
          <w:b/>
          <w:color w:val="222222"/>
          <w:sz w:val="24"/>
          <w:szCs w:val="24"/>
          <w:lang w:val="en-US"/>
        </w:rPr>
        <w:t>Summary</w:t>
      </w:r>
    </w:p>
    <w:p w14:paraId="32D3C630" w14:textId="1714CA0D" w:rsidR="00C725C8" w:rsidRDefault="00C725C8" w:rsidP="00C725C8">
      <w:pPr>
        <w:jc w:val="both"/>
        <w:rPr>
          <w:rFonts w:ascii="Arial" w:hAnsi="Arial" w:cs="Arial"/>
          <w:color w:val="222222"/>
          <w:lang w:val="en"/>
        </w:rPr>
      </w:pPr>
      <w:r w:rsidRPr="00AA51C2">
        <w:rPr>
          <w:rFonts w:ascii="Arial" w:hAnsi="Arial" w:cs="Arial"/>
          <w:color w:val="222222"/>
          <w:lang w:val="en"/>
        </w:rPr>
        <w:t>The current proposal for the classification and labelling of titanium dioxide is not appropriate from</w:t>
      </w:r>
      <w:r w:rsidR="00D84A37">
        <w:rPr>
          <w:rFonts w:ascii="Arial" w:hAnsi="Arial" w:cs="Arial"/>
          <w:color w:val="222222"/>
          <w:lang w:val="en"/>
        </w:rPr>
        <w:t xml:space="preserve"> a toxicological point of view</w:t>
      </w:r>
      <w:r w:rsidR="007C3FB9">
        <w:rPr>
          <w:rFonts w:ascii="Arial" w:hAnsi="Arial" w:cs="Arial"/>
          <w:color w:val="222222"/>
          <w:lang w:val="en"/>
        </w:rPr>
        <w:t>, because the results of the mentioned studies are weak and not related to humans</w:t>
      </w:r>
      <w:r w:rsidR="00D84A37">
        <w:rPr>
          <w:rFonts w:ascii="Arial" w:hAnsi="Arial" w:cs="Arial"/>
          <w:color w:val="222222"/>
          <w:lang w:val="en"/>
        </w:rPr>
        <w:t xml:space="preserve">. </w:t>
      </w:r>
      <w:r w:rsidR="00D84A37" w:rsidRPr="00243D0A">
        <w:rPr>
          <w:rFonts w:ascii="Arial" w:hAnsi="Arial" w:cs="Arial"/>
          <w:color w:val="222222"/>
          <w:lang w:val="en"/>
        </w:rPr>
        <w:t xml:space="preserve">The classification would lead to </w:t>
      </w:r>
      <w:r w:rsidR="00D84A37" w:rsidRPr="00243D0A">
        <w:rPr>
          <w:rFonts w:ascii="Arial" w:hAnsi="Arial" w:cs="Arial"/>
          <w:lang w:val="en"/>
        </w:rPr>
        <w:t xml:space="preserve">an uncertainty for the </w:t>
      </w:r>
      <w:r w:rsidR="00945433">
        <w:rPr>
          <w:rFonts w:ascii="Arial" w:hAnsi="Arial" w:cs="Arial"/>
          <w:lang w:val="en"/>
        </w:rPr>
        <w:t xml:space="preserve">users and </w:t>
      </w:r>
      <w:r w:rsidR="00D84A37" w:rsidRPr="001E18C0">
        <w:rPr>
          <w:rFonts w:ascii="Arial" w:hAnsi="Arial" w:cs="Arial"/>
          <w:lang w:val="en"/>
        </w:rPr>
        <w:t xml:space="preserve">patients. Furthermore, the necessity of </w:t>
      </w:r>
      <w:r w:rsidR="00D84A37" w:rsidRPr="001E18C0">
        <w:rPr>
          <w:rFonts w:ascii="Arial" w:hAnsi="Arial" w:cs="Arial"/>
          <w:color w:val="222222"/>
          <w:lang w:val="en"/>
        </w:rPr>
        <w:t xml:space="preserve">additional studies will lead to </w:t>
      </w:r>
      <w:r w:rsidR="00243D0A" w:rsidRPr="001E18C0">
        <w:rPr>
          <w:rFonts w:ascii="Arial" w:hAnsi="Arial" w:cs="Arial"/>
          <w:color w:val="222222"/>
          <w:lang w:val="en"/>
        </w:rPr>
        <w:t>an increase of</w:t>
      </w:r>
      <w:r w:rsidR="00D84A37" w:rsidRPr="001E18C0">
        <w:rPr>
          <w:rFonts w:ascii="Arial" w:hAnsi="Arial" w:cs="Arial"/>
          <w:color w:val="222222"/>
          <w:lang w:val="en"/>
        </w:rPr>
        <w:t xml:space="preserve"> </w:t>
      </w:r>
      <w:r w:rsidR="002B1600" w:rsidRPr="001E18C0">
        <w:rPr>
          <w:rFonts w:ascii="Arial" w:hAnsi="Arial" w:cs="Arial"/>
          <w:color w:val="222222"/>
          <w:lang w:val="en"/>
        </w:rPr>
        <w:t xml:space="preserve">the </w:t>
      </w:r>
      <w:r w:rsidR="00D84A37" w:rsidRPr="001E18C0">
        <w:rPr>
          <w:rFonts w:ascii="Arial" w:hAnsi="Arial" w:cs="Arial"/>
          <w:color w:val="222222"/>
          <w:lang w:val="en"/>
        </w:rPr>
        <w:t>product cost</w:t>
      </w:r>
      <w:r w:rsidR="002B1600" w:rsidRPr="001E18C0">
        <w:rPr>
          <w:rFonts w:ascii="Arial" w:hAnsi="Arial" w:cs="Arial"/>
          <w:color w:val="222222"/>
          <w:lang w:val="en"/>
        </w:rPr>
        <w:t xml:space="preserve">s </w:t>
      </w:r>
      <w:r w:rsidR="00D84A37" w:rsidRPr="001E18C0">
        <w:rPr>
          <w:rFonts w:ascii="Arial" w:hAnsi="Arial" w:cs="Arial"/>
          <w:lang w:val="en"/>
        </w:rPr>
        <w:t xml:space="preserve">and </w:t>
      </w:r>
      <w:r w:rsidR="002B1600" w:rsidRPr="001E18C0">
        <w:rPr>
          <w:rFonts w:ascii="Arial" w:hAnsi="Arial" w:cs="Arial"/>
          <w:color w:val="222222"/>
          <w:lang w:val="en"/>
        </w:rPr>
        <w:t xml:space="preserve">financial </w:t>
      </w:r>
      <w:r w:rsidR="001025A5" w:rsidRPr="001E18C0">
        <w:rPr>
          <w:rFonts w:ascii="Arial" w:hAnsi="Arial" w:cs="Arial"/>
          <w:color w:val="222222"/>
          <w:lang w:val="en"/>
        </w:rPr>
        <w:t>impact of the health care system</w:t>
      </w:r>
      <w:r w:rsidR="002B1600" w:rsidRPr="001E18C0">
        <w:rPr>
          <w:rFonts w:ascii="Arial" w:hAnsi="Arial" w:cs="Arial"/>
          <w:color w:val="222222"/>
          <w:lang w:val="en"/>
        </w:rPr>
        <w:t>.</w:t>
      </w:r>
      <w:r w:rsidRPr="001E18C0">
        <w:rPr>
          <w:rFonts w:ascii="Arial" w:hAnsi="Arial" w:cs="Arial"/>
          <w:lang w:val="en"/>
        </w:rPr>
        <w:t xml:space="preserve"> </w:t>
      </w:r>
      <w:r w:rsidRPr="001E18C0">
        <w:rPr>
          <w:rFonts w:ascii="Arial" w:hAnsi="Arial" w:cs="Arial"/>
          <w:color w:val="222222"/>
          <w:lang w:val="en"/>
        </w:rPr>
        <w:t xml:space="preserve">A classification will not contribute to an improvement in health, </w:t>
      </w:r>
      <w:r w:rsidRPr="001E18C0">
        <w:rPr>
          <w:rFonts w:ascii="Arial" w:hAnsi="Arial" w:cs="Arial"/>
          <w:lang w:val="en"/>
        </w:rPr>
        <w:t>patient's safety</w:t>
      </w:r>
      <w:r w:rsidRPr="001E18C0">
        <w:rPr>
          <w:rFonts w:ascii="Arial" w:hAnsi="Arial" w:cs="Arial"/>
          <w:color w:val="222222"/>
          <w:lang w:val="en"/>
        </w:rPr>
        <w:t xml:space="preserve"> and environmental protection, but </w:t>
      </w:r>
      <w:r w:rsidR="00523E49" w:rsidRPr="001E18C0">
        <w:rPr>
          <w:rFonts w:ascii="Arial" w:hAnsi="Arial" w:cs="Arial"/>
          <w:color w:val="222222"/>
          <w:lang w:val="en"/>
        </w:rPr>
        <w:t xml:space="preserve">will </w:t>
      </w:r>
      <w:r w:rsidR="00CA5ABE" w:rsidRPr="001E18C0">
        <w:rPr>
          <w:rFonts w:ascii="Arial" w:hAnsi="Arial" w:cs="Arial"/>
          <w:color w:val="222222"/>
          <w:lang w:val="en"/>
        </w:rPr>
        <w:t>has</w:t>
      </w:r>
      <w:r w:rsidRPr="001E18C0">
        <w:rPr>
          <w:rFonts w:ascii="Arial" w:hAnsi="Arial" w:cs="Arial"/>
          <w:color w:val="222222"/>
          <w:lang w:val="en"/>
        </w:rPr>
        <w:t xml:space="preserve"> serious and disproportionate problematic effects in almost all areas of law</w:t>
      </w:r>
      <w:r w:rsidR="00F33599" w:rsidRPr="001E18C0">
        <w:rPr>
          <w:rFonts w:ascii="Arial" w:hAnsi="Arial" w:cs="Arial"/>
          <w:color w:val="222222"/>
          <w:lang w:val="en"/>
        </w:rPr>
        <w:t xml:space="preserve"> and </w:t>
      </w:r>
      <w:r w:rsidR="00F33599" w:rsidRPr="001E18C0">
        <w:rPr>
          <w:rStyle w:val="shorttext"/>
          <w:rFonts w:ascii="Arial" w:hAnsi="Arial" w:cs="Arial"/>
          <w:color w:val="222222"/>
          <w:lang w:val="en"/>
        </w:rPr>
        <w:t>almost</w:t>
      </w:r>
      <w:r w:rsidR="00523E49" w:rsidRPr="001E18C0">
        <w:rPr>
          <w:rStyle w:val="shorttext"/>
          <w:rFonts w:ascii="Arial" w:hAnsi="Arial" w:cs="Arial"/>
          <w:color w:val="222222"/>
          <w:lang w:val="en"/>
        </w:rPr>
        <w:t xml:space="preserve"> all product categories</w:t>
      </w:r>
      <w:r w:rsidR="00F33599" w:rsidRPr="001E18C0">
        <w:rPr>
          <w:rStyle w:val="shorttext"/>
          <w:rFonts w:ascii="Arial" w:hAnsi="Arial" w:cs="Arial"/>
          <w:color w:val="222222"/>
          <w:lang w:val="en"/>
        </w:rPr>
        <w:t xml:space="preserve"> (e.g.</w:t>
      </w:r>
      <w:r w:rsidR="00F33599" w:rsidRPr="001E18C0">
        <w:rPr>
          <w:rFonts w:ascii="Arial" w:hAnsi="Arial" w:cs="Arial"/>
          <w:color w:val="222222"/>
          <w:lang w:val="en"/>
        </w:rPr>
        <w:t xml:space="preserve"> paints and varnishes, plastics, textiles, food and feed, papermaking, pharmaceutical </w:t>
      </w:r>
      <w:r w:rsidR="00CA5ABE" w:rsidRPr="001E18C0">
        <w:rPr>
          <w:rFonts w:ascii="Arial" w:hAnsi="Arial" w:cs="Arial"/>
          <w:color w:val="222222"/>
          <w:lang w:val="en"/>
        </w:rPr>
        <w:t>and cosmetic products, medical</w:t>
      </w:r>
      <w:r w:rsidR="00F33599" w:rsidRPr="001E18C0">
        <w:rPr>
          <w:rFonts w:ascii="Arial" w:hAnsi="Arial" w:cs="Arial"/>
          <w:color w:val="222222"/>
          <w:lang w:val="en"/>
        </w:rPr>
        <w:t xml:space="preserve"> devices and in enamels and ceramics).</w:t>
      </w:r>
    </w:p>
    <w:p w14:paraId="66B2BB5C" w14:textId="77777777" w:rsidR="001E18C0" w:rsidRPr="001E18C0" w:rsidRDefault="001E18C0" w:rsidP="00C725C8">
      <w:pPr>
        <w:jc w:val="both"/>
        <w:rPr>
          <w:rFonts w:ascii="Arial" w:hAnsi="Arial" w:cs="Arial"/>
          <w:lang w:val="en-US"/>
        </w:rPr>
      </w:pPr>
    </w:p>
    <w:p w14:paraId="0166F695" w14:textId="7E582873" w:rsidR="00C725C8" w:rsidRPr="001E18C0" w:rsidRDefault="00C725C8" w:rsidP="00C725C8">
      <w:pPr>
        <w:jc w:val="both"/>
        <w:rPr>
          <w:rFonts w:ascii="Arial" w:hAnsi="Arial" w:cs="Arial"/>
          <w:lang w:val="en"/>
        </w:rPr>
      </w:pPr>
      <w:r w:rsidRPr="001E18C0">
        <w:rPr>
          <w:rFonts w:ascii="Arial" w:hAnsi="Arial" w:cs="Arial"/>
          <w:lang w:val="en"/>
        </w:rPr>
        <w:t xml:space="preserve">Therefore, a </w:t>
      </w:r>
      <w:r w:rsidR="00523E49" w:rsidRPr="001E18C0">
        <w:rPr>
          <w:rFonts w:ascii="Arial" w:hAnsi="Arial" w:cs="Arial"/>
          <w:lang w:val="en"/>
        </w:rPr>
        <w:t>carcinogenic</w:t>
      </w:r>
      <w:r w:rsidR="006D349F" w:rsidRPr="001E18C0">
        <w:rPr>
          <w:rFonts w:ascii="Arial" w:hAnsi="Arial" w:cs="Arial"/>
          <w:lang w:val="en"/>
        </w:rPr>
        <w:t xml:space="preserve"> </w:t>
      </w:r>
      <w:r w:rsidRPr="001E18C0">
        <w:rPr>
          <w:rFonts w:ascii="Arial" w:hAnsi="Arial" w:cs="Arial"/>
          <w:lang w:val="en"/>
        </w:rPr>
        <w:t xml:space="preserve">classification </w:t>
      </w:r>
      <w:r w:rsidRPr="001E18C0">
        <w:rPr>
          <w:rFonts w:ascii="Arial" w:hAnsi="Arial" w:cs="Arial"/>
          <w:color w:val="222222"/>
          <w:lang w:val="en"/>
        </w:rPr>
        <w:t xml:space="preserve">of titanium dioxide </w:t>
      </w:r>
      <w:r w:rsidR="007C3FB9" w:rsidRPr="001E18C0">
        <w:rPr>
          <w:rFonts w:ascii="Arial" w:hAnsi="Arial" w:cs="Arial"/>
          <w:lang w:val="en"/>
        </w:rPr>
        <w:t>ha</w:t>
      </w:r>
      <w:r w:rsidR="00CA5ABE" w:rsidRPr="001E18C0">
        <w:rPr>
          <w:rFonts w:ascii="Arial" w:hAnsi="Arial" w:cs="Arial"/>
          <w:lang w:val="en"/>
        </w:rPr>
        <w:t>s</w:t>
      </w:r>
      <w:r w:rsidR="007C3FB9" w:rsidRPr="001E18C0">
        <w:rPr>
          <w:rFonts w:ascii="Arial" w:hAnsi="Arial" w:cs="Arial"/>
          <w:lang w:val="en"/>
        </w:rPr>
        <w:t xml:space="preserve"> to </w:t>
      </w:r>
      <w:r w:rsidRPr="001E18C0">
        <w:rPr>
          <w:rFonts w:ascii="Arial" w:hAnsi="Arial" w:cs="Arial"/>
          <w:lang w:val="en"/>
        </w:rPr>
        <w:t xml:space="preserve">be avoided. </w:t>
      </w:r>
    </w:p>
    <w:p w14:paraId="3234ECAB" w14:textId="77777777" w:rsidR="00425E93" w:rsidRPr="001E18C0" w:rsidRDefault="00425E93" w:rsidP="00425E93">
      <w:pPr>
        <w:jc w:val="both"/>
        <w:rPr>
          <w:rFonts w:ascii="Arial" w:hAnsi="Arial" w:cs="Arial"/>
          <w:u w:val="single"/>
          <w:lang w:val="en-US"/>
        </w:rPr>
      </w:pPr>
    </w:p>
    <w:p w14:paraId="4D5F3D17" w14:textId="77777777" w:rsidR="00523E49" w:rsidRPr="001E18C0" w:rsidRDefault="00523E49" w:rsidP="00425E93">
      <w:pPr>
        <w:jc w:val="both"/>
        <w:rPr>
          <w:rFonts w:ascii="Arial" w:hAnsi="Arial" w:cs="Arial"/>
          <w:u w:val="single"/>
          <w:lang w:val="en-US"/>
        </w:rPr>
      </w:pPr>
    </w:p>
    <w:p w14:paraId="59B787ED" w14:textId="77777777" w:rsidR="00523E49" w:rsidRPr="001E18C0" w:rsidRDefault="00523E49" w:rsidP="00425E93">
      <w:pPr>
        <w:jc w:val="both"/>
        <w:rPr>
          <w:rFonts w:ascii="Arial" w:hAnsi="Arial" w:cs="Arial"/>
          <w:u w:val="single"/>
          <w:lang w:val="en-US"/>
        </w:rPr>
      </w:pPr>
    </w:p>
    <w:p w14:paraId="336834B0" w14:textId="1B142E38" w:rsidR="00425E93" w:rsidRPr="001E18C0" w:rsidRDefault="00425E93" w:rsidP="00425E93">
      <w:pPr>
        <w:spacing w:line="360" w:lineRule="auto"/>
        <w:jc w:val="both"/>
        <w:rPr>
          <w:rFonts w:ascii="Arial" w:hAnsi="Arial" w:cs="Arial"/>
        </w:rPr>
      </w:pPr>
      <w:r w:rsidRPr="001E18C0">
        <w:rPr>
          <w:rFonts w:ascii="Arial" w:hAnsi="Arial" w:cs="Arial"/>
        </w:rPr>
        <w:t xml:space="preserve">Bonn, </w:t>
      </w:r>
      <w:proofErr w:type="spellStart"/>
      <w:r w:rsidR="00057730" w:rsidRPr="001E18C0">
        <w:rPr>
          <w:rFonts w:ascii="Arial" w:hAnsi="Arial" w:cs="Arial"/>
        </w:rPr>
        <w:t>July</w:t>
      </w:r>
      <w:proofErr w:type="spellEnd"/>
      <w:r w:rsidR="00057730" w:rsidRPr="001E18C0">
        <w:rPr>
          <w:rFonts w:ascii="Arial" w:hAnsi="Arial" w:cs="Arial"/>
        </w:rPr>
        <w:t xml:space="preserve"> 15</w:t>
      </w:r>
      <w:r w:rsidRPr="001E18C0">
        <w:rPr>
          <w:rFonts w:ascii="Arial" w:hAnsi="Arial" w:cs="Arial"/>
        </w:rPr>
        <w:t>, 2016</w:t>
      </w:r>
    </w:p>
    <w:p w14:paraId="1455E5DA" w14:textId="77777777" w:rsidR="005444C4" w:rsidRPr="001E18C0" w:rsidRDefault="005444C4" w:rsidP="00425E93">
      <w:pPr>
        <w:spacing w:line="360" w:lineRule="auto"/>
        <w:jc w:val="both"/>
        <w:rPr>
          <w:rFonts w:ascii="Arial" w:hAnsi="Arial" w:cs="Arial"/>
        </w:rPr>
      </w:pPr>
    </w:p>
    <w:p w14:paraId="3E5F92F8" w14:textId="77777777" w:rsidR="005444C4" w:rsidRPr="001E18C0" w:rsidRDefault="005444C4" w:rsidP="00425E93">
      <w:pPr>
        <w:spacing w:line="360" w:lineRule="auto"/>
        <w:jc w:val="both"/>
        <w:rPr>
          <w:rFonts w:ascii="Arial" w:hAnsi="Arial" w:cs="Arial"/>
        </w:rPr>
      </w:pPr>
    </w:p>
    <w:p w14:paraId="73960577" w14:textId="77777777" w:rsidR="005444C4" w:rsidRDefault="005444C4" w:rsidP="00425E93">
      <w:pPr>
        <w:spacing w:line="360" w:lineRule="auto"/>
        <w:jc w:val="both"/>
      </w:pPr>
    </w:p>
    <w:p w14:paraId="5D5C8A1C" w14:textId="77777777" w:rsidR="005444C4" w:rsidRDefault="005444C4" w:rsidP="00425E93">
      <w:pPr>
        <w:spacing w:line="360" w:lineRule="auto"/>
        <w:jc w:val="both"/>
      </w:pPr>
    </w:p>
    <w:p w14:paraId="422B32F5" w14:textId="77777777" w:rsidR="005444C4" w:rsidRDefault="005444C4" w:rsidP="00425E93">
      <w:pPr>
        <w:spacing w:line="360" w:lineRule="auto"/>
        <w:jc w:val="both"/>
      </w:pPr>
    </w:p>
    <w:p w14:paraId="0E4EB23B" w14:textId="77777777" w:rsidR="005444C4" w:rsidRDefault="005444C4" w:rsidP="00425E93">
      <w:pPr>
        <w:spacing w:line="360" w:lineRule="auto"/>
        <w:jc w:val="both"/>
      </w:pPr>
    </w:p>
    <w:p w14:paraId="7C183102" w14:textId="77777777" w:rsidR="005444C4" w:rsidRDefault="005444C4" w:rsidP="00425E93">
      <w:pPr>
        <w:spacing w:line="360" w:lineRule="auto"/>
        <w:jc w:val="both"/>
      </w:pPr>
    </w:p>
    <w:p w14:paraId="471D270B" w14:textId="77777777" w:rsidR="005444C4" w:rsidRDefault="005444C4" w:rsidP="00425E93">
      <w:pPr>
        <w:spacing w:line="360" w:lineRule="auto"/>
        <w:jc w:val="both"/>
      </w:pPr>
    </w:p>
    <w:p w14:paraId="446F9AA7" w14:textId="77777777" w:rsidR="005444C4" w:rsidRDefault="005444C4" w:rsidP="00425E93">
      <w:pPr>
        <w:spacing w:line="360" w:lineRule="auto"/>
        <w:jc w:val="both"/>
      </w:pPr>
    </w:p>
    <w:p w14:paraId="053755A8" w14:textId="77777777" w:rsidR="005444C4" w:rsidRDefault="005444C4" w:rsidP="00425E93">
      <w:pPr>
        <w:spacing w:line="360" w:lineRule="auto"/>
        <w:jc w:val="both"/>
      </w:pPr>
    </w:p>
    <w:p w14:paraId="36DDBD76" w14:textId="77777777" w:rsidR="005444C4" w:rsidRDefault="005444C4" w:rsidP="00425E93">
      <w:pPr>
        <w:spacing w:line="360" w:lineRule="auto"/>
        <w:jc w:val="both"/>
      </w:pPr>
    </w:p>
    <w:p w14:paraId="73BA30E1" w14:textId="77777777" w:rsidR="005444C4" w:rsidRDefault="005444C4" w:rsidP="00425E93">
      <w:pPr>
        <w:spacing w:line="360" w:lineRule="auto"/>
        <w:jc w:val="both"/>
      </w:pPr>
    </w:p>
    <w:p w14:paraId="60D08FCE" w14:textId="77777777" w:rsidR="005444C4" w:rsidRPr="004351E3" w:rsidRDefault="005444C4" w:rsidP="005444C4">
      <w:pPr>
        <w:pStyle w:val="Fuzeile"/>
        <w:rPr>
          <w:sz w:val="18"/>
          <w:szCs w:val="18"/>
        </w:rPr>
      </w:pPr>
      <w:r w:rsidRPr="004351E3">
        <w:rPr>
          <w:sz w:val="18"/>
          <w:szCs w:val="18"/>
        </w:rPr>
        <w:t>H:\_Allgemein\Team_PT</w:t>
      </w:r>
      <w:r>
        <w:rPr>
          <w:sz w:val="18"/>
          <w:szCs w:val="18"/>
        </w:rPr>
        <w:t>M\Pharmazeutische Technologie\02</w:t>
      </w:r>
      <w:r w:rsidRPr="004351E3">
        <w:rPr>
          <w:sz w:val="18"/>
          <w:szCs w:val="18"/>
        </w:rPr>
        <w:t xml:space="preserve"> PT Herstellung und QK\</w:t>
      </w:r>
      <w:r>
        <w:rPr>
          <w:sz w:val="18"/>
          <w:szCs w:val="18"/>
        </w:rPr>
        <w:t>Titandioxid</w:t>
      </w:r>
      <w:r w:rsidRPr="004351E3">
        <w:rPr>
          <w:sz w:val="18"/>
          <w:szCs w:val="18"/>
        </w:rPr>
        <w:t>\</w:t>
      </w:r>
      <w:r w:rsidRPr="004351E3">
        <w:rPr>
          <w:sz w:val="18"/>
          <w:szCs w:val="18"/>
        </w:rPr>
        <w:br/>
      </w:r>
      <w:r>
        <w:rPr>
          <w:sz w:val="18"/>
          <w:szCs w:val="18"/>
        </w:rPr>
        <w:t>TiO2 Stellungnahme BAH 2016_07_15</w:t>
      </w:r>
    </w:p>
    <w:sectPr w:rsidR="005444C4" w:rsidRPr="004351E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D13FF" w14:textId="77777777" w:rsidR="00A74BF5" w:rsidRDefault="00A74BF5" w:rsidP="00523E49">
      <w:r>
        <w:separator/>
      </w:r>
    </w:p>
  </w:endnote>
  <w:endnote w:type="continuationSeparator" w:id="0">
    <w:p w14:paraId="40FBCDA3" w14:textId="77777777" w:rsidR="00A74BF5" w:rsidRDefault="00A74BF5" w:rsidP="0052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EABED" w14:textId="77777777" w:rsidR="00A74BF5" w:rsidRDefault="00A74BF5" w:rsidP="00523E49">
      <w:r>
        <w:separator/>
      </w:r>
    </w:p>
  </w:footnote>
  <w:footnote w:type="continuationSeparator" w:id="0">
    <w:p w14:paraId="0EF10FF3" w14:textId="77777777" w:rsidR="00A74BF5" w:rsidRDefault="00A74BF5" w:rsidP="00523E49">
      <w:r>
        <w:continuationSeparator/>
      </w:r>
    </w:p>
  </w:footnote>
  <w:footnote w:id="1">
    <w:p w14:paraId="2D2F3645" w14:textId="77777777" w:rsidR="005A746C" w:rsidRDefault="005A746C" w:rsidP="005A746C">
      <w:pPr>
        <w:pStyle w:val="Funotentext"/>
        <w:rPr>
          <w:lang w:val="en-US"/>
        </w:rPr>
      </w:pPr>
      <w:r>
        <w:rPr>
          <w:rStyle w:val="Funotenzeichen"/>
        </w:rPr>
        <w:footnoteRef/>
      </w:r>
      <w:r>
        <w:rPr>
          <w:lang w:val="en-US"/>
        </w:rPr>
        <w:t xml:space="preserve"> EFSA: Statement on a conceptual framework for the risk assessment of certain food additives re-evaluated under Commission Regulation (EU) No 257/2010 (http://onlinelibrary.wiley.com/doi/10.2903/j.efsa.2014.3697/epdf)</w:t>
      </w:r>
    </w:p>
  </w:footnote>
  <w:footnote w:id="2">
    <w:p w14:paraId="0741AE51" w14:textId="77777777" w:rsidR="005A746C" w:rsidRPr="00AA7ECC" w:rsidRDefault="005A746C" w:rsidP="005A746C">
      <w:pPr>
        <w:pStyle w:val="Funotentext"/>
      </w:pPr>
      <w:r>
        <w:rPr>
          <w:rStyle w:val="Funotenzeichen"/>
        </w:rPr>
        <w:footnoteRef/>
      </w:r>
      <w:r>
        <w:rPr>
          <w:lang w:val="en-US"/>
        </w:rPr>
        <w:t xml:space="preserve"> Commission Regulation (EU) 2016/1143 of 13 July 2016 amending Annex VI to Regulation (EC) No 1223/2009 on cosmetic products. </w:t>
      </w:r>
      <w:r w:rsidRPr="00AA7ECC">
        <w:t xml:space="preserve">Official Journal </w:t>
      </w:r>
      <w:proofErr w:type="spellStart"/>
      <w:r w:rsidRPr="00AA7ECC">
        <w:t>of</w:t>
      </w:r>
      <w:proofErr w:type="spellEnd"/>
      <w:r w:rsidRPr="00AA7ECC">
        <w:t xml:space="preserve"> </w:t>
      </w:r>
      <w:proofErr w:type="spellStart"/>
      <w:r w:rsidRPr="00AA7ECC">
        <w:t>the</w:t>
      </w:r>
      <w:proofErr w:type="spellEnd"/>
      <w:r w:rsidRPr="00AA7ECC">
        <w:t xml:space="preserve"> European Union, 14 </w:t>
      </w:r>
      <w:proofErr w:type="spellStart"/>
      <w:r w:rsidRPr="00AA7ECC">
        <w:t>July</w:t>
      </w:r>
      <w:proofErr w:type="spellEnd"/>
      <w:r w:rsidRPr="00AA7ECC">
        <w:t xml:space="preserve"> 2016 (U L 189/40)</w:t>
      </w:r>
    </w:p>
  </w:footnote>
  <w:footnote w:id="3">
    <w:p w14:paraId="774A829A" w14:textId="05E267EA" w:rsidR="00AA7ECC" w:rsidRDefault="00AA7ECC" w:rsidP="00AA7ECC">
      <w:pPr>
        <w:pStyle w:val="Funotentext"/>
      </w:pPr>
      <w:r>
        <w:rPr>
          <w:rStyle w:val="Funotenzeichen"/>
        </w:rPr>
        <w:footnoteRef/>
      </w:r>
      <w:r>
        <w:t xml:space="preserve"> Beurteilung eines möglichen Krebsrisikos von Nanomaterialien und von aus Produkten freigesetzten Nanopartikeln, Stellungnahme Nr. 005/2011 des </w:t>
      </w:r>
      <w:proofErr w:type="spellStart"/>
      <w:r>
        <w:t>BfR</w:t>
      </w:r>
      <w:proofErr w:type="spellEnd"/>
      <w:r>
        <w:t xml:space="preserve"> und des UBA vom 15. April 2010, </w:t>
      </w:r>
      <w:r w:rsidRPr="00AA7ECC">
        <w:t>http://www.bfr.bund.de/cm/343/beurteilung_eines_moeglichen_krebsrisikos_von_nanomaterialien_und_von_aus_produkten_freigesetzten_nanopartikeln.pdf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8.25pt" o:bullet="t">
        <v:imagedata r:id="rId1" o:title="clip_image001"/>
      </v:shape>
    </w:pict>
  </w:numPicBullet>
  <w:abstractNum w:abstractNumId="0" w15:restartNumberingAfterBreak="0">
    <w:nsid w:val="1DC37CB7"/>
    <w:multiLevelType w:val="multilevel"/>
    <w:tmpl w:val="27462C40"/>
    <w:styleLink w:val="Auflistung"/>
    <w:lvl w:ilvl="0">
      <w:start w:val="1"/>
      <w:numFmt w:val="none"/>
      <w:pStyle w:val="StandardFlietext"/>
      <w:suff w:val="nothing"/>
      <w:lvlText w:val=""/>
      <w:lvlJc w:val="left"/>
      <w:pPr>
        <w:ind w:left="0" w:firstLine="0"/>
      </w:pPr>
      <w:rPr>
        <w:sz w:val="24"/>
      </w:rPr>
    </w:lvl>
    <w:lvl w:ilvl="1">
      <w:start w:val="1"/>
      <w:numFmt w:val="bullet"/>
      <w:pStyle w:val="1Aufzhlung-Pfeil1"/>
      <w:lvlText w:val=""/>
      <w:lvlPicBulletId w:val="0"/>
      <w:lvlJc w:val="left"/>
      <w:pPr>
        <w:tabs>
          <w:tab w:val="num" w:pos="357"/>
        </w:tabs>
        <w:ind w:left="357" w:hanging="357"/>
      </w:pPr>
      <w:rPr>
        <w:rFonts w:ascii="Symbol" w:hAnsi="Symbol" w:hint="default"/>
        <w:color w:val="auto"/>
        <w:sz w:val="28"/>
      </w:rPr>
    </w:lvl>
    <w:lvl w:ilvl="2">
      <w:start w:val="1"/>
      <w:numFmt w:val="bullet"/>
      <w:pStyle w:val="2Aufzhlung-Pfeil2"/>
      <w:lvlText w:val=""/>
      <w:lvlPicBulletId w:val="0"/>
      <w:lvlJc w:val="left"/>
      <w:pPr>
        <w:tabs>
          <w:tab w:val="num" w:pos="714"/>
        </w:tabs>
        <w:ind w:left="714" w:hanging="357"/>
      </w:pPr>
      <w:rPr>
        <w:rFonts w:ascii="Symbol" w:hAnsi="Symbol" w:hint="default"/>
        <w:color w:val="auto"/>
        <w:sz w:val="28"/>
      </w:rPr>
    </w:lvl>
    <w:lvl w:ilvl="3">
      <w:start w:val="1"/>
      <w:numFmt w:val="bullet"/>
      <w:pStyle w:val="3Aufzhlung-Pfeil3"/>
      <w:lvlText w:val=""/>
      <w:lvlPicBulletId w:val="0"/>
      <w:lvlJc w:val="left"/>
      <w:pPr>
        <w:tabs>
          <w:tab w:val="num" w:pos="1072"/>
        </w:tabs>
        <w:ind w:left="1072" w:hanging="358"/>
      </w:pPr>
      <w:rPr>
        <w:rFonts w:ascii="Symbol" w:hAnsi="Symbol" w:hint="default"/>
        <w:color w:val="auto"/>
        <w:sz w:val="28"/>
      </w:rPr>
    </w:lvl>
    <w:lvl w:ilvl="4">
      <w:start w:val="1"/>
      <w:numFmt w:val="bullet"/>
      <w:lvlText w:val=""/>
      <w:lvlPicBulletId w:val="0"/>
      <w:lvlJc w:val="left"/>
      <w:pPr>
        <w:tabs>
          <w:tab w:val="num" w:pos="1072"/>
        </w:tabs>
        <w:ind w:left="1072" w:hanging="358"/>
      </w:pPr>
      <w:rPr>
        <w:rFonts w:ascii="Symbol" w:hAnsi="Symbol" w:hint="default"/>
        <w:color w:val="auto"/>
        <w:sz w:val="28"/>
      </w:rPr>
    </w:lvl>
    <w:lvl w:ilvl="5">
      <w:start w:val="1"/>
      <w:numFmt w:val="bullet"/>
      <w:lvlText w:val=""/>
      <w:lvlPicBulletId w:val="0"/>
      <w:lvlJc w:val="left"/>
      <w:pPr>
        <w:tabs>
          <w:tab w:val="num" w:pos="1072"/>
        </w:tabs>
        <w:ind w:left="1072" w:hanging="358"/>
      </w:pPr>
      <w:rPr>
        <w:rFonts w:ascii="Symbol" w:hAnsi="Symbol" w:hint="default"/>
        <w:color w:val="auto"/>
        <w:sz w:val="28"/>
      </w:rPr>
    </w:lvl>
    <w:lvl w:ilvl="6">
      <w:start w:val="1"/>
      <w:numFmt w:val="bullet"/>
      <w:lvlText w:val=""/>
      <w:lvlPicBulletId w:val="0"/>
      <w:lvlJc w:val="left"/>
      <w:pPr>
        <w:tabs>
          <w:tab w:val="num" w:pos="1072"/>
        </w:tabs>
        <w:ind w:left="1072" w:hanging="358"/>
      </w:pPr>
      <w:rPr>
        <w:rFonts w:ascii="Symbol" w:hAnsi="Symbol" w:hint="default"/>
        <w:color w:val="auto"/>
        <w:sz w:val="28"/>
      </w:rPr>
    </w:lvl>
    <w:lvl w:ilvl="7">
      <w:start w:val="1"/>
      <w:numFmt w:val="bullet"/>
      <w:lvlText w:val=""/>
      <w:lvlPicBulletId w:val="0"/>
      <w:lvlJc w:val="left"/>
      <w:pPr>
        <w:tabs>
          <w:tab w:val="num" w:pos="1072"/>
        </w:tabs>
        <w:ind w:left="1072" w:hanging="358"/>
      </w:pPr>
      <w:rPr>
        <w:rFonts w:ascii="Symbol" w:hAnsi="Symbol" w:hint="default"/>
        <w:color w:val="auto"/>
        <w:sz w:val="28"/>
      </w:rPr>
    </w:lvl>
    <w:lvl w:ilvl="8">
      <w:start w:val="1"/>
      <w:numFmt w:val="bullet"/>
      <w:lvlText w:val=""/>
      <w:lvlPicBulletId w:val="0"/>
      <w:lvlJc w:val="left"/>
      <w:pPr>
        <w:tabs>
          <w:tab w:val="num" w:pos="1072"/>
        </w:tabs>
        <w:ind w:left="1072" w:hanging="358"/>
      </w:pPr>
      <w:rPr>
        <w:rFonts w:ascii="Symbol" w:hAnsi="Symbol" w:hint="default"/>
        <w:color w:val="auto"/>
        <w:sz w:val="28"/>
      </w:rPr>
    </w:lvl>
  </w:abstractNum>
  <w:abstractNum w:abstractNumId="1" w15:restartNumberingAfterBreak="0">
    <w:nsid w:val="51ED3D54"/>
    <w:multiLevelType w:val="hybridMultilevel"/>
    <w:tmpl w:val="10EA3494"/>
    <w:lvl w:ilvl="0" w:tplc="466AD432">
      <w:start w:val="3"/>
      <w:numFmt w:val="bullet"/>
      <w:lvlText w:val="-"/>
      <w:lvlJc w:val="left"/>
      <w:pPr>
        <w:ind w:left="814" w:hanging="360"/>
      </w:pPr>
      <w:rPr>
        <w:rFonts w:ascii="Arial" w:eastAsiaTheme="minorHAnsi" w:hAnsi="Arial" w:cs="Arial"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2" w15:restartNumberingAfterBreak="0">
    <w:nsid w:val="6B1675C6"/>
    <w:multiLevelType w:val="hybridMultilevel"/>
    <w:tmpl w:val="19C059D6"/>
    <w:lvl w:ilvl="0" w:tplc="F09AEB9C">
      <w:start w:val="1"/>
      <w:numFmt w:val="bullet"/>
      <w:lvlText w:val="-"/>
      <w:lvlJc w:val="left"/>
      <w:pPr>
        <w:tabs>
          <w:tab w:val="num" w:pos="720"/>
        </w:tabs>
        <w:ind w:left="720" w:hanging="360"/>
      </w:pPr>
      <w:rPr>
        <w:rFonts w:ascii="Times New Roman" w:hAnsi="Times New Roman" w:hint="default"/>
      </w:rPr>
    </w:lvl>
    <w:lvl w:ilvl="1" w:tplc="5888E1DC" w:tentative="1">
      <w:start w:val="1"/>
      <w:numFmt w:val="bullet"/>
      <w:lvlText w:val="-"/>
      <w:lvlJc w:val="left"/>
      <w:pPr>
        <w:tabs>
          <w:tab w:val="num" w:pos="1440"/>
        </w:tabs>
        <w:ind w:left="1440" w:hanging="360"/>
      </w:pPr>
      <w:rPr>
        <w:rFonts w:ascii="Times New Roman" w:hAnsi="Times New Roman" w:hint="default"/>
      </w:rPr>
    </w:lvl>
    <w:lvl w:ilvl="2" w:tplc="6DBAE4D2" w:tentative="1">
      <w:start w:val="1"/>
      <w:numFmt w:val="bullet"/>
      <w:lvlText w:val="-"/>
      <w:lvlJc w:val="left"/>
      <w:pPr>
        <w:tabs>
          <w:tab w:val="num" w:pos="2160"/>
        </w:tabs>
        <w:ind w:left="2160" w:hanging="360"/>
      </w:pPr>
      <w:rPr>
        <w:rFonts w:ascii="Times New Roman" w:hAnsi="Times New Roman" w:hint="default"/>
      </w:rPr>
    </w:lvl>
    <w:lvl w:ilvl="3" w:tplc="11B25DAC" w:tentative="1">
      <w:start w:val="1"/>
      <w:numFmt w:val="bullet"/>
      <w:lvlText w:val="-"/>
      <w:lvlJc w:val="left"/>
      <w:pPr>
        <w:tabs>
          <w:tab w:val="num" w:pos="2880"/>
        </w:tabs>
        <w:ind w:left="2880" w:hanging="360"/>
      </w:pPr>
      <w:rPr>
        <w:rFonts w:ascii="Times New Roman" w:hAnsi="Times New Roman" w:hint="default"/>
      </w:rPr>
    </w:lvl>
    <w:lvl w:ilvl="4" w:tplc="166EBD04" w:tentative="1">
      <w:start w:val="1"/>
      <w:numFmt w:val="bullet"/>
      <w:lvlText w:val="-"/>
      <w:lvlJc w:val="left"/>
      <w:pPr>
        <w:tabs>
          <w:tab w:val="num" w:pos="3600"/>
        </w:tabs>
        <w:ind w:left="3600" w:hanging="360"/>
      </w:pPr>
      <w:rPr>
        <w:rFonts w:ascii="Times New Roman" w:hAnsi="Times New Roman" w:hint="default"/>
      </w:rPr>
    </w:lvl>
    <w:lvl w:ilvl="5" w:tplc="DFE03126" w:tentative="1">
      <w:start w:val="1"/>
      <w:numFmt w:val="bullet"/>
      <w:lvlText w:val="-"/>
      <w:lvlJc w:val="left"/>
      <w:pPr>
        <w:tabs>
          <w:tab w:val="num" w:pos="4320"/>
        </w:tabs>
        <w:ind w:left="4320" w:hanging="360"/>
      </w:pPr>
      <w:rPr>
        <w:rFonts w:ascii="Times New Roman" w:hAnsi="Times New Roman" w:hint="default"/>
      </w:rPr>
    </w:lvl>
    <w:lvl w:ilvl="6" w:tplc="D2D4B13E" w:tentative="1">
      <w:start w:val="1"/>
      <w:numFmt w:val="bullet"/>
      <w:lvlText w:val="-"/>
      <w:lvlJc w:val="left"/>
      <w:pPr>
        <w:tabs>
          <w:tab w:val="num" w:pos="5040"/>
        </w:tabs>
        <w:ind w:left="5040" w:hanging="360"/>
      </w:pPr>
      <w:rPr>
        <w:rFonts w:ascii="Times New Roman" w:hAnsi="Times New Roman" w:hint="default"/>
      </w:rPr>
    </w:lvl>
    <w:lvl w:ilvl="7" w:tplc="49C8E720" w:tentative="1">
      <w:start w:val="1"/>
      <w:numFmt w:val="bullet"/>
      <w:lvlText w:val="-"/>
      <w:lvlJc w:val="left"/>
      <w:pPr>
        <w:tabs>
          <w:tab w:val="num" w:pos="5760"/>
        </w:tabs>
        <w:ind w:left="5760" w:hanging="360"/>
      </w:pPr>
      <w:rPr>
        <w:rFonts w:ascii="Times New Roman" w:hAnsi="Times New Roman" w:hint="default"/>
      </w:rPr>
    </w:lvl>
    <w:lvl w:ilvl="8" w:tplc="6E5ADAD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0"/>
    <w:lvlOverride w:ilvl="0">
      <w:lvl w:ilvl="0">
        <w:start w:val="1"/>
        <w:numFmt w:val="none"/>
        <w:pStyle w:val="StandardFlietext"/>
        <w:suff w:val="nothing"/>
        <w:lvlText w:val=""/>
        <w:lvlJc w:val="left"/>
        <w:pPr>
          <w:ind w:left="0" w:firstLine="0"/>
        </w:pPr>
        <w:rPr>
          <w:sz w:val="24"/>
        </w:rPr>
      </w:lvl>
    </w:lvlOverride>
    <w:lvlOverride w:ilvl="1">
      <w:lvl w:ilvl="1">
        <w:start w:val="1"/>
        <w:numFmt w:val="bullet"/>
        <w:pStyle w:val="1Aufzhlung-Pfeil1"/>
        <w:lvlText w:val=""/>
        <w:lvlPicBulletId w:val="0"/>
        <w:lvlJc w:val="left"/>
        <w:pPr>
          <w:tabs>
            <w:tab w:val="num" w:pos="357"/>
          </w:tabs>
          <w:ind w:left="357" w:hanging="357"/>
        </w:pPr>
        <w:rPr>
          <w:rFonts w:ascii="Symbol" w:hAnsi="Symbol" w:hint="default"/>
          <w:color w:val="auto"/>
          <w:sz w:val="20"/>
          <w:szCs w:val="20"/>
        </w:rPr>
      </w:lvl>
    </w:lvlOverride>
    <w:lvlOverride w:ilvl="2">
      <w:lvl w:ilvl="2">
        <w:start w:val="1"/>
        <w:numFmt w:val="bullet"/>
        <w:pStyle w:val="2Aufzhlung-Pfeil2"/>
        <w:lvlText w:val=""/>
        <w:lvlPicBulletId w:val="0"/>
        <w:lvlJc w:val="left"/>
        <w:pPr>
          <w:tabs>
            <w:tab w:val="num" w:pos="714"/>
          </w:tabs>
          <w:ind w:left="714" w:hanging="357"/>
        </w:pPr>
        <w:rPr>
          <w:rFonts w:ascii="Symbol" w:hAnsi="Symbol" w:hint="default"/>
          <w:color w:val="auto"/>
          <w:sz w:val="20"/>
          <w:szCs w:val="20"/>
        </w:rPr>
      </w:lvl>
    </w:lvlOverride>
    <w:lvlOverride w:ilvl="3">
      <w:lvl w:ilvl="3">
        <w:start w:val="1"/>
        <w:numFmt w:val="bullet"/>
        <w:pStyle w:val="3Aufzhlung-Pfeil3"/>
        <w:lvlText w:val=""/>
        <w:lvlPicBulletId w:val="0"/>
        <w:lvlJc w:val="left"/>
        <w:pPr>
          <w:tabs>
            <w:tab w:val="num" w:pos="1072"/>
          </w:tabs>
          <w:ind w:left="1072" w:hanging="358"/>
        </w:pPr>
        <w:rPr>
          <w:rFonts w:ascii="Symbol" w:hAnsi="Symbol" w:hint="default"/>
          <w:color w:val="auto"/>
          <w:sz w:val="20"/>
          <w:szCs w:val="20"/>
        </w:rPr>
      </w:lvl>
    </w:lvlOverride>
    <w:lvlOverride w:ilvl="4">
      <w:lvl w:ilvl="4">
        <w:start w:val="1"/>
        <w:numFmt w:val="bullet"/>
        <w:lvlText w:val=""/>
        <w:lvlPicBulletId w:val="0"/>
        <w:lvlJc w:val="left"/>
        <w:pPr>
          <w:tabs>
            <w:tab w:val="num" w:pos="1072"/>
          </w:tabs>
          <w:ind w:left="1072" w:hanging="358"/>
        </w:pPr>
        <w:rPr>
          <w:rFonts w:ascii="Symbol" w:hAnsi="Symbol" w:hint="default"/>
          <w:color w:val="auto"/>
          <w:sz w:val="28"/>
        </w:rPr>
      </w:lvl>
    </w:lvlOverride>
    <w:lvlOverride w:ilvl="5">
      <w:lvl w:ilvl="5">
        <w:start w:val="1"/>
        <w:numFmt w:val="bullet"/>
        <w:lvlText w:val=""/>
        <w:lvlPicBulletId w:val="0"/>
        <w:lvlJc w:val="left"/>
        <w:pPr>
          <w:tabs>
            <w:tab w:val="num" w:pos="1072"/>
          </w:tabs>
          <w:ind w:left="1072" w:hanging="358"/>
        </w:pPr>
        <w:rPr>
          <w:rFonts w:ascii="Symbol" w:hAnsi="Symbol" w:hint="default"/>
          <w:color w:val="auto"/>
          <w:sz w:val="28"/>
        </w:rPr>
      </w:lvl>
    </w:lvlOverride>
    <w:lvlOverride w:ilvl="6">
      <w:lvl w:ilvl="6">
        <w:start w:val="1"/>
        <w:numFmt w:val="bullet"/>
        <w:lvlText w:val=""/>
        <w:lvlPicBulletId w:val="0"/>
        <w:lvlJc w:val="left"/>
        <w:pPr>
          <w:tabs>
            <w:tab w:val="num" w:pos="1072"/>
          </w:tabs>
          <w:ind w:left="1072" w:hanging="358"/>
        </w:pPr>
        <w:rPr>
          <w:rFonts w:ascii="Symbol" w:hAnsi="Symbol" w:hint="default"/>
          <w:color w:val="auto"/>
          <w:sz w:val="28"/>
        </w:rPr>
      </w:lvl>
    </w:lvlOverride>
    <w:lvlOverride w:ilvl="7">
      <w:lvl w:ilvl="7">
        <w:start w:val="1"/>
        <w:numFmt w:val="bullet"/>
        <w:lvlText w:val=""/>
        <w:lvlPicBulletId w:val="0"/>
        <w:lvlJc w:val="left"/>
        <w:pPr>
          <w:tabs>
            <w:tab w:val="num" w:pos="1072"/>
          </w:tabs>
          <w:ind w:left="1072" w:hanging="358"/>
        </w:pPr>
        <w:rPr>
          <w:rFonts w:ascii="Symbol" w:hAnsi="Symbol" w:hint="default"/>
          <w:color w:val="auto"/>
          <w:sz w:val="28"/>
        </w:rPr>
      </w:lvl>
    </w:lvlOverride>
    <w:lvlOverride w:ilvl="8">
      <w:lvl w:ilvl="8">
        <w:start w:val="1"/>
        <w:numFmt w:val="bullet"/>
        <w:lvlText w:val=""/>
        <w:lvlPicBulletId w:val="0"/>
        <w:lvlJc w:val="left"/>
        <w:pPr>
          <w:tabs>
            <w:tab w:val="num" w:pos="1072"/>
          </w:tabs>
          <w:ind w:left="1072" w:hanging="358"/>
        </w:pPr>
        <w:rPr>
          <w:rFonts w:ascii="Symbol" w:hAnsi="Symbol" w:hint="default"/>
          <w:color w:val="auto"/>
          <w:sz w:val="24"/>
          <w:szCs w:val="24"/>
        </w:rPr>
      </w:lvl>
    </w:lvlOverride>
  </w:num>
  <w:num w:numId="4">
    <w:abstractNumId w:val="0"/>
    <w:lvlOverride w:ilvl="0">
      <w:startOverride w:val="1"/>
      <w:lvl w:ilvl="0">
        <w:start w:val="1"/>
        <w:numFmt w:val="decimal"/>
        <w:pStyle w:val="StandardFlietext"/>
        <w:lvlText w:val=""/>
        <w:lvlJc w:val="left"/>
      </w:lvl>
    </w:lvlOverride>
    <w:lvlOverride w:ilvl="1">
      <w:startOverride w:val="1"/>
      <w:lvl w:ilvl="1">
        <w:start w:val="1"/>
        <w:numFmt w:val="bullet"/>
        <w:pStyle w:val="1Aufzhlung-Pfeil1"/>
        <w:lvlText w:val=""/>
        <w:lvlPicBulletId w:val="0"/>
        <w:lvlJc w:val="left"/>
        <w:pPr>
          <w:tabs>
            <w:tab w:val="num" w:pos="357"/>
          </w:tabs>
          <w:ind w:left="357" w:hanging="357"/>
        </w:pPr>
        <w:rPr>
          <w:rFonts w:ascii="Symbol" w:hAnsi="Symbol" w:hint="default"/>
          <w:color w:val="auto"/>
          <w:sz w:val="20"/>
          <w:szCs w:val="20"/>
        </w:rPr>
      </w:lvl>
    </w:lvlOverride>
    <w:lvlOverride w:ilvl="2">
      <w:startOverride w:val="1"/>
      <w:lvl w:ilvl="2">
        <w:start w:val="1"/>
        <w:numFmt w:val="bullet"/>
        <w:pStyle w:val="2Aufzhlung-Pfeil2"/>
        <w:lvlText w:val=""/>
        <w:lvlPicBulletId w:val="0"/>
        <w:lvlJc w:val="left"/>
        <w:pPr>
          <w:tabs>
            <w:tab w:val="num" w:pos="714"/>
          </w:tabs>
          <w:ind w:left="714" w:hanging="357"/>
        </w:pPr>
        <w:rPr>
          <w:rFonts w:ascii="Symbol" w:hAnsi="Symbol" w:hint="default"/>
          <w:color w:val="auto"/>
          <w:sz w:val="20"/>
          <w:szCs w:val="20"/>
        </w:rPr>
      </w:lvl>
    </w:lvlOverride>
    <w:lvlOverride w:ilvl="3">
      <w:startOverride w:val="1"/>
      <w:lvl w:ilvl="3">
        <w:start w:val="1"/>
        <w:numFmt w:val="bullet"/>
        <w:pStyle w:val="3Aufzhlung-Pfeil3"/>
        <w:lvlText w:val=""/>
        <w:lvlPicBulletId w:val="0"/>
        <w:lvlJc w:val="left"/>
        <w:pPr>
          <w:tabs>
            <w:tab w:val="num" w:pos="1072"/>
          </w:tabs>
          <w:ind w:left="1072" w:hanging="358"/>
        </w:pPr>
        <w:rPr>
          <w:rFonts w:ascii="Symbol" w:hAnsi="Symbol" w:hint="default"/>
          <w:color w:val="auto"/>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startOverride w:val="1"/>
      <w:lvl w:ilvl="8">
        <w:start w:val="1"/>
        <w:numFmt w:val="bullet"/>
        <w:lvlText w:val=""/>
        <w:lvlPicBulletId w:val="0"/>
        <w:lvlJc w:val="left"/>
        <w:pPr>
          <w:tabs>
            <w:tab w:val="num" w:pos="1072"/>
          </w:tabs>
          <w:ind w:left="1072" w:hanging="358"/>
        </w:pPr>
        <w:rPr>
          <w:rFonts w:ascii="Symbol" w:hAnsi="Symbol" w:hint="default"/>
          <w:color w:val="auto"/>
          <w:sz w:val="24"/>
          <w:szCs w:val="24"/>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C0"/>
    <w:rsid w:val="000434B1"/>
    <w:rsid w:val="00057730"/>
    <w:rsid w:val="000B7726"/>
    <w:rsid w:val="000C3272"/>
    <w:rsid w:val="000E00C1"/>
    <w:rsid w:val="001025A5"/>
    <w:rsid w:val="0012223E"/>
    <w:rsid w:val="0015037D"/>
    <w:rsid w:val="0018785B"/>
    <w:rsid w:val="001B478D"/>
    <w:rsid w:val="001C4A03"/>
    <w:rsid w:val="001E18C0"/>
    <w:rsid w:val="001F288C"/>
    <w:rsid w:val="001F70F5"/>
    <w:rsid w:val="002334F1"/>
    <w:rsid w:val="00243D0A"/>
    <w:rsid w:val="00266A80"/>
    <w:rsid w:val="002B0FD7"/>
    <w:rsid w:val="002B1600"/>
    <w:rsid w:val="002C4000"/>
    <w:rsid w:val="002D7118"/>
    <w:rsid w:val="002D7370"/>
    <w:rsid w:val="002E761D"/>
    <w:rsid w:val="003060D7"/>
    <w:rsid w:val="0032348B"/>
    <w:rsid w:val="00346E1A"/>
    <w:rsid w:val="003509E0"/>
    <w:rsid w:val="003573A8"/>
    <w:rsid w:val="00360529"/>
    <w:rsid w:val="003644E7"/>
    <w:rsid w:val="003B40E0"/>
    <w:rsid w:val="003C1288"/>
    <w:rsid w:val="003D2419"/>
    <w:rsid w:val="003E3D73"/>
    <w:rsid w:val="003F476D"/>
    <w:rsid w:val="0040735A"/>
    <w:rsid w:val="0042146D"/>
    <w:rsid w:val="00425E93"/>
    <w:rsid w:val="0047030A"/>
    <w:rsid w:val="00472EF7"/>
    <w:rsid w:val="00482AA4"/>
    <w:rsid w:val="004C00F5"/>
    <w:rsid w:val="004E612C"/>
    <w:rsid w:val="004F1B7C"/>
    <w:rsid w:val="004F3016"/>
    <w:rsid w:val="00523E49"/>
    <w:rsid w:val="00524E95"/>
    <w:rsid w:val="005444C4"/>
    <w:rsid w:val="005537AF"/>
    <w:rsid w:val="00573EAA"/>
    <w:rsid w:val="005A746C"/>
    <w:rsid w:val="005C6904"/>
    <w:rsid w:val="00601C4F"/>
    <w:rsid w:val="006251B5"/>
    <w:rsid w:val="006432F3"/>
    <w:rsid w:val="00683EF1"/>
    <w:rsid w:val="006A3AE6"/>
    <w:rsid w:val="006A7666"/>
    <w:rsid w:val="006A7862"/>
    <w:rsid w:val="006C0FF7"/>
    <w:rsid w:val="006D349F"/>
    <w:rsid w:val="006D641F"/>
    <w:rsid w:val="006E555D"/>
    <w:rsid w:val="00720276"/>
    <w:rsid w:val="00753DA3"/>
    <w:rsid w:val="0077045A"/>
    <w:rsid w:val="007C3FB9"/>
    <w:rsid w:val="007E36B2"/>
    <w:rsid w:val="00816734"/>
    <w:rsid w:val="008179D4"/>
    <w:rsid w:val="008203F3"/>
    <w:rsid w:val="00827677"/>
    <w:rsid w:val="00845EE4"/>
    <w:rsid w:val="00850C6F"/>
    <w:rsid w:val="008718C0"/>
    <w:rsid w:val="008B2890"/>
    <w:rsid w:val="008C113D"/>
    <w:rsid w:val="008D214F"/>
    <w:rsid w:val="00911ECC"/>
    <w:rsid w:val="00945433"/>
    <w:rsid w:val="0099351D"/>
    <w:rsid w:val="009A6E0B"/>
    <w:rsid w:val="009B5C0C"/>
    <w:rsid w:val="009D42BA"/>
    <w:rsid w:val="009D7A20"/>
    <w:rsid w:val="009E1CAB"/>
    <w:rsid w:val="00A1208D"/>
    <w:rsid w:val="00A24D69"/>
    <w:rsid w:val="00A3503E"/>
    <w:rsid w:val="00A51D2E"/>
    <w:rsid w:val="00A622E2"/>
    <w:rsid w:val="00A63555"/>
    <w:rsid w:val="00A63DAE"/>
    <w:rsid w:val="00A74BF5"/>
    <w:rsid w:val="00A77895"/>
    <w:rsid w:val="00A9546B"/>
    <w:rsid w:val="00AA51C2"/>
    <w:rsid w:val="00AA6299"/>
    <w:rsid w:val="00AA7ECC"/>
    <w:rsid w:val="00AB4ECA"/>
    <w:rsid w:val="00AC6042"/>
    <w:rsid w:val="00B35084"/>
    <w:rsid w:val="00B35C64"/>
    <w:rsid w:val="00B67D4F"/>
    <w:rsid w:val="00B816BE"/>
    <w:rsid w:val="00BB0668"/>
    <w:rsid w:val="00BE45E3"/>
    <w:rsid w:val="00C004E1"/>
    <w:rsid w:val="00C02CD6"/>
    <w:rsid w:val="00C32657"/>
    <w:rsid w:val="00C41432"/>
    <w:rsid w:val="00C43A8E"/>
    <w:rsid w:val="00C53DB0"/>
    <w:rsid w:val="00C57F8A"/>
    <w:rsid w:val="00C701D2"/>
    <w:rsid w:val="00C725C8"/>
    <w:rsid w:val="00C97658"/>
    <w:rsid w:val="00CA5ABE"/>
    <w:rsid w:val="00CB4254"/>
    <w:rsid w:val="00CB7166"/>
    <w:rsid w:val="00CC096F"/>
    <w:rsid w:val="00CC6073"/>
    <w:rsid w:val="00CC7A89"/>
    <w:rsid w:val="00CD3F50"/>
    <w:rsid w:val="00D07DDE"/>
    <w:rsid w:val="00D631BE"/>
    <w:rsid w:val="00D84A37"/>
    <w:rsid w:val="00DA209C"/>
    <w:rsid w:val="00DE67DE"/>
    <w:rsid w:val="00E6323F"/>
    <w:rsid w:val="00E667F8"/>
    <w:rsid w:val="00E72572"/>
    <w:rsid w:val="00E92A28"/>
    <w:rsid w:val="00E94731"/>
    <w:rsid w:val="00EA6351"/>
    <w:rsid w:val="00EB2A04"/>
    <w:rsid w:val="00EB5C29"/>
    <w:rsid w:val="00EC1E0C"/>
    <w:rsid w:val="00EE15BA"/>
    <w:rsid w:val="00F131D8"/>
    <w:rsid w:val="00F33599"/>
    <w:rsid w:val="00F357AD"/>
    <w:rsid w:val="00F56222"/>
    <w:rsid w:val="00F8065F"/>
    <w:rsid w:val="00F819FC"/>
    <w:rsid w:val="00F8434D"/>
    <w:rsid w:val="00F94BC1"/>
    <w:rsid w:val="00F97F08"/>
    <w:rsid w:val="00FA1914"/>
    <w:rsid w:val="00FE4A0C"/>
    <w:rsid w:val="00FE65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BD4F63"/>
  <w15:chartTrackingRefBased/>
  <w15:docId w15:val="{6811483B-833E-4788-B780-92FC0A38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8718C0"/>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425E93"/>
    <w:rPr>
      <w:i/>
      <w:iCs/>
    </w:rPr>
  </w:style>
  <w:style w:type="character" w:customStyle="1" w:styleId="shorttext">
    <w:name w:val="short_text"/>
    <w:basedOn w:val="Absatz-Standardschriftart"/>
    <w:rsid w:val="00425E93"/>
  </w:style>
  <w:style w:type="paragraph" w:customStyle="1" w:styleId="StandardFlietext">
    <w:name w:val="Standard Fließtext"/>
    <w:basedOn w:val="Standard"/>
    <w:qFormat/>
    <w:rsid w:val="00A622E2"/>
    <w:pPr>
      <w:numPr>
        <w:numId w:val="2"/>
      </w:numPr>
      <w:spacing w:after="100" w:line="300" w:lineRule="atLeast"/>
    </w:pPr>
    <w:rPr>
      <w:rFonts w:ascii="Arial" w:eastAsia="Times New Roman" w:hAnsi="Arial" w:cs="Arial"/>
      <w:sz w:val="24"/>
      <w:szCs w:val="24"/>
    </w:rPr>
  </w:style>
  <w:style w:type="paragraph" w:customStyle="1" w:styleId="2Aufzhlung-Pfeil2">
    <w:name w:val="2. Aufzählung - Pfeil 2"/>
    <w:basedOn w:val="Standard"/>
    <w:qFormat/>
    <w:rsid w:val="00A622E2"/>
    <w:pPr>
      <w:numPr>
        <w:ilvl w:val="2"/>
        <w:numId w:val="2"/>
      </w:numPr>
      <w:spacing w:after="100" w:line="300" w:lineRule="atLeast"/>
    </w:pPr>
    <w:rPr>
      <w:rFonts w:ascii="Arial" w:eastAsia="Arial" w:hAnsi="Arial"/>
      <w:sz w:val="24"/>
      <w:szCs w:val="20"/>
    </w:rPr>
  </w:style>
  <w:style w:type="paragraph" w:customStyle="1" w:styleId="1Aufzhlung-Pfeil1">
    <w:name w:val="1. Aufzählung - Pfeil 1"/>
    <w:basedOn w:val="Standard"/>
    <w:qFormat/>
    <w:rsid w:val="00A622E2"/>
    <w:pPr>
      <w:numPr>
        <w:ilvl w:val="1"/>
        <w:numId w:val="2"/>
      </w:numPr>
      <w:tabs>
        <w:tab w:val="left" w:pos="709"/>
      </w:tabs>
      <w:spacing w:after="120" w:line="300" w:lineRule="atLeast"/>
    </w:pPr>
    <w:rPr>
      <w:rFonts w:ascii="Arial" w:eastAsia="Arial" w:hAnsi="Arial"/>
      <w:sz w:val="24"/>
      <w:szCs w:val="20"/>
    </w:rPr>
  </w:style>
  <w:style w:type="paragraph" w:customStyle="1" w:styleId="3Aufzhlung-Pfeil3">
    <w:name w:val="3. Aufzählung - Pfeil 3"/>
    <w:basedOn w:val="2Aufzhlung-Pfeil2"/>
    <w:qFormat/>
    <w:rsid w:val="00A622E2"/>
    <w:pPr>
      <w:numPr>
        <w:ilvl w:val="3"/>
      </w:numPr>
    </w:pPr>
  </w:style>
  <w:style w:type="numbering" w:customStyle="1" w:styleId="Auflistung">
    <w:name w:val="Auflistung"/>
    <w:uiPriority w:val="99"/>
    <w:rsid w:val="00A622E2"/>
    <w:pPr>
      <w:numPr>
        <w:numId w:val="2"/>
      </w:numPr>
    </w:pPr>
  </w:style>
  <w:style w:type="character" w:styleId="Kommentarzeichen">
    <w:name w:val="annotation reference"/>
    <w:basedOn w:val="Absatz-Standardschriftart"/>
    <w:uiPriority w:val="99"/>
    <w:semiHidden/>
    <w:unhideWhenUsed/>
    <w:rsid w:val="00D631BE"/>
    <w:rPr>
      <w:sz w:val="16"/>
      <w:szCs w:val="16"/>
    </w:rPr>
  </w:style>
  <w:style w:type="paragraph" w:styleId="Kommentartext">
    <w:name w:val="annotation text"/>
    <w:basedOn w:val="Standard"/>
    <w:link w:val="KommentartextZchn"/>
    <w:uiPriority w:val="99"/>
    <w:semiHidden/>
    <w:unhideWhenUsed/>
    <w:rsid w:val="00D631BE"/>
    <w:rPr>
      <w:sz w:val="20"/>
      <w:szCs w:val="20"/>
    </w:rPr>
  </w:style>
  <w:style w:type="character" w:customStyle="1" w:styleId="KommentartextZchn">
    <w:name w:val="Kommentartext Zchn"/>
    <w:basedOn w:val="Absatz-Standardschriftart"/>
    <w:link w:val="Kommentartext"/>
    <w:uiPriority w:val="99"/>
    <w:semiHidden/>
    <w:rsid w:val="00D631BE"/>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D631BE"/>
    <w:rPr>
      <w:b/>
      <w:bCs/>
    </w:rPr>
  </w:style>
  <w:style w:type="character" w:customStyle="1" w:styleId="KommentarthemaZchn">
    <w:name w:val="Kommentarthema Zchn"/>
    <w:basedOn w:val="KommentartextZchn"/>
    <w:link w:val="Kommentarthema"/>
    <w:uiPriority w:val="99"/>
    <w:semiHidden/>
    <w:rsid w:val="00D631BE"/>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D631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31BE"/>
    <w:rPr>
      <w:rFonts w:ascii="Segoe UI" w:hAnsi="Segoe UI" w:cs="Segoe UI"/>
      <w:sz w:val="18"/>
      <w:szCs w:val="18"/>
    </w:rPr>
  </w:style>
  <w:style w:type="paragraph" w:styleId="Funotentext">
    <w:name w:val="footnote text"/>
    <w:basedOn w:val="Standard"/>
    <w:link w:val="FunotentextZchn"/>
    <w:uiPriority w:val="99"/>
    <w:semiHidden/>
    <w:unhideWhenUsed/>
    <w:rsid w:val="00523E49"/>
    <w:rPr>
      <w:sz w:val="20"/>
      <w:szCs w:val="20"/>
    </w:rPr>
  </w:style>
  <w:style w:type="character" w:customStyle="1" w:styleId="FunotentextZchn">
    <w:name w:val="Fußnotentext Zchn"/>
    <w:basedOn w:val="Absatz-Standardschriftart"/>
    <w:link w:val="Funotentext"/>
    <w:uiPriority w:val="99"/>
    <w:semiHidden/>
    <w:rsid w:val="00523E49"/>
    <w:rPr>
      <w:rFonts w:ascii="Calibri" w:hAnsi="Calibri" w:cs="Times New Roman"/>
      <w:sz w:val="20"/>
      <w:szCs w:val="20"/>
    </w:rPr>
  </w:style>
  <w:style w:type="character" w:styleId="Funotenzeichen">
    <w:name w:val="footnote reference"/>
    <w:basedOn w:val="Absatz-Standardschriftart"/>
    <w:uiPriority w:val="99"/>
    <w:semiHidden/>
    <w:unhideWhenUsed/>
    <w:rsid w:val="00523E49"/>
    <w:rPr>
      <w:vertAlign w:val="superscript"/>
    </w:rPr>
  </w:style>
  <w:style w:type="paragraph" w:styleId="Kopfzeile">
    <w:name w:val="header"/>
    <w:basedOn w:val="Standard"/>
    <w:link w:val="KopfzeileZchn"/>
    <w:uiPriority w:val="99"/>
    <w:unhideWhenUsed/>
    <w:rsid w:val="00A9546B"/>
    <w:pPr>
      <w:tabs>
        <w:tab w:val="center" w:pos="4536"/>
        <w:tab w:val="right" w:pos="9072"/>
      </w:tabs>
    </w:pPr>
  </w:style>
  <w:style w:type="character" w:customStyle="1" w:styleId="KopfzeileZchn">
    <w:name w:val="Kopfzeile Zchn"/>
    <w:basedOn w:val="Absatz-Standardschriftart"/>
    <w:link w:val="Kopfzeile"/>
    <w:uiPriority w:val="99"/>
    <w:rsid w:val="00A9546B"/>
    <w:rPr>
      <w:rFonts w:ascii="Calibri" w:hAnsi="Calibri" w:cs="Times New Roman"/>
    </w:rPr>
  </w:style>
  <w:style w:type="paragraph" w:styleId="Fuzeile">
    <w:name w:val="footer"/>
    <w:basedOn w:val="Standard"/>
    <w:link w:val="FuzeileZchn"/>
    <w:uiPriority w:val="99"/>
    <w:unhideWhenUsed/>
    <w:rsid w:val="00A9546B"/>
    <w:pPr>
      <w:tabs>
        <w:tab w:val="center" w:pos="4536"/>
        <w:tab w:val="right" w:pos="9072"/>
      </w:tabs>
    </w:pPr>
  </w:style>
  <w:style w:type="character" w:customStyle="1" w:styleId="FuzeileZchn">
    <w:name w:val="Fußzeile Zchn"/>
    <w:basedOn w:val="Absatz-Standardschriftart"/>
    <w:link w:val="Fuzeile"/>
    <w:uiPriority w:val="99"/>
    <w:rsid w:val="00A9546B"/>
    <w:rPr>
      <w:rFonts w:ascii="Calibri" w:hAnsi="Calibri" w:cs="Times New Roman"/>
    </w:rPr>
  </w:style>
  <w:style w:type="paragraph" w:styleId="Listenabsatz">
    <w:name w:val="List Paragraph"/>
    <w:basedOn w:val="Standard"/>
    <w:uiPriority w:val="34"/>
    <w:qFormat/>
    <w:rsid w:val="00850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232">
      <w:bodyDiv w:val="1"/>
      <w:marLeft w:val="0"/>
      <w:marRight w:val="0"/>
      <w:marTop w:val="0"/>
      <w:marBottom w:val="0"/>
      <w:divBdr>
        <w:top w:val="none" w:sz="0" w:space="0" w:color="auto"/>
        <w:left w:val="none" w:sz="0" w:space="0" w:color="auto"/>
        <w:bottom w:val="none" w:sz="0" w:space="0" w:color="auto"/>
        <w:right w:val="none" w:sz="0" w:space="0" w:color="auto"/>
      </w:divBdr>
    </w:div>
    <w:div w:id="476266822">
      <w:bodyDiv w:val="1"/>
      <w:marLeft w:val="0"/>
      <w:marRight w:val="0"/>
      <w:marTop w:val="0"/>
      <w:marBottom w:val="0"/>
      <w:divBdr>
        <w:top w:val="none" w:sz="0" w:space="0" w:color="auto"/>
        <w:left w:val="none" w:sz="0" w:space="0" w:color="auto"/>
        <w:bottom w:val="none" w:sz="0" w:space="0" w:color="auto"/>
        <w:right w:val="none" w:sz="0" w:space="0" w:color="auto"/>
      </w:divBdr>
    </w:div>
    <w:div w:id="517044139">
      <w:bodyDiv w:val="1"/>
      <w:marLeft w:val="0"/>
      <w:marRight w:val="0"/>
      <w:marTop w:val="0"/>
      <w:marBottom w:val="0"/>
      <w:divBdr>
        <w:top w:val="none" w:sz="0" w:space="0" w:color="auto"/>
        <w:left w:val="none" w:sz="0" w:space="0" w:color="auto"/>
        <w:bottom w:val="none" w:sz="0" w:space="0" w:color="auto"/>
        <w:right w:val="none" w:sz="0" w:space="0" w:color="auto"/>
      </w:divBdr>
    </w:div>
    <w:div w:id="765269166">
      <w:bodyDiv w:val="1"/>
      <w:marLeft w:val="0"/>
      <w:marRight w:val="0"/>
      <w:marTop w:val="0"/>
      <w:marBottom w:val="0"/>
      <w:divBdr>
        <w:top w:val="none" w:sz="0" w:space="0" w:color="auto"/>
        <w:left w:val="none" w:sz="0" w:space="0" w:color="auto"/>
        <w:bottom w:val="none" w:sz="0" w:space="0" w:color="auto"/>
        <w:right w:val="none" w:sz="0" w:space="0" w:color="auto"/>
      </w:divBdr>
      <w:divsChild>
        <w:div w:id="576402904">
          <w:marLeft w:val="0"/>
          <w:marRight w:val="0"/>
          <w:marTop w:val="0"/>
          <w:marBottom w:val="0"/>
          <w:divBdr>
            <w:top w:val="none" w:sz="0" w:space="0" w:color="auto"/>
            <w:left w:val="none" w:sz="0" w:space="0" w:color="auto"/>
            <w:bottom w:val="none" w:sz="0" w:space="0" w:color="auto"/>
            <w:right w:val="none" w:sz="0" w:space="0" w:color="auto"/>
          </w:divBdr>
          <w:divsChild>
            <w:div w:id="619338966">
              <w:marLeft w:val="0"/>
              <w:marRight w:val="0"/>
              <w:marTop w:val="0"/>
              <w:marBottom w:val="0"/>
              <w:divBdr>
                <w:top w:val="none" w:sz="0" w:space="0" w:color="auto"/>
                <w:left w:val="none" w:sz="0" w:space="0" w:color="auto"/>
                <w:bottom w:val="none" w:sz="0" w:space="0" w:color="auto"/>
                <w:right w:val="none" w:sz="0" w:space="0" w:color="auto"/>
              </w:divBdr>
              <w:divsChild>
                <w:div w:id="1011755432">
                  <w:marLeft w:val="0"/>
                  <w:marRight w:val="0"/>
                  <w:marTop w:val="0"/>
                  <w:marBottom w:val="0"/>
                  <w:divBdr>
                    <w:top w:val="none" w:sz="0" w:space="0" w:color="auto"/>
                    <w:left w:val="none" w:sz="0" w:space="0" w:color="auto"/>
                    <w:bottom w:val="none" w:sz="0" w:space="0" w:color="auto"/>
                    <w:right w:val="none" w:sz="0" w:space="0" w:color="auto"/>
                  </w:divBdr>
                  <w:divsChild>
                    <w:div w:id="260988602">
                      <w:marLeft w:val="0"/>
                      <w:marRight w:val="0"/>
                      <w:marTop w:val="0"/>
                      <w:marBottom w:val="0"/>
                      <w:divBdr>
                        <w:top w:val="none" w:sz="0" w:space="0" w:color="auto"/>
                        <w:left w:val="none" w:sz="0" w:space="0" w:color="auto"/>
                        <w:bottom w:val="none" w:sz="0" w:space="0" w:color="auto"/>
                        <w:right w:val="none" w:sz="0" w:space="0" w:color="auto"/>
                      </w:divBdr>
                      <w:divsChild>
                        <w:div w:id="632515582">
                          <w:marLeft w:val="0"/>
                          <w:marRight w:val="0"/>
                          <w:marTop w:val="0"/>
                          <w:marBottom w:val="0"/>
                          <w:divBdr>
                            <w:top w:val="none" w:sz="0" w:space="0" w:color="auto"/>
                            <w:left w:val="none" w:sz="0" w:space="0" w:color="auto"/>
                            <w:bottom w:val="none" w:sz="0" w:space="0" w:color="auto"/>
                            <w:right w:val="none" w:sz="0" w:space="0" w:color="auto"/>
                          </w:divBdr>
                          <w:divsChild>
                            <w:div w:id="1093547233">
                              <w:marLeft w:val="0"/>
                              <w:marRight w:val="0"/>
                              <w:marTop w:val="0"/>
                              <w:marBottom w:val="0"/>
                              <w:divBdr>
                                <w:top w:val="none" w:sz="0" w:space="0" w:color="auto"/>
                                <w:left w:val="none" w:sz="0" w:space="0" w:color="auto"/>
                                <w:bottom w:val="none" w:sz="0" w:space="0" w:color="auto"/>
                                <w:right w:val="none" w:sz="0" w:space="0" w:color="auto"/>
                              </w:divBdr>
                              <w:divsChild>
                                <w:div w:id="333455731">
                                  <w:marLeft w:val="0"/>
                                  <w:marRight w:val="0"/>
                                  <w:marTop w:val="30"/>
                                  <w:marBottom w:val="2250"/>
                                  <w:divBdr>
                                    <w:top w:val="none" w:sz="0" w:space="0" w:color="auto"/>
                                    <w:left w:val="none" w:sz="0" w:space="0" w:color="auto"/>
                                    <w:bottom w:val="none" w:sz="0" w:space="0" w:color="auto"/>
                                    <w:right w:val="none" w:sz="0" w:space="0" w:color="auto"/>
                                  </w:divBdr>
                                  <w:divsChild>
                                    <w:div w:id="308440202">
                                      <w:marLeft w:val="0"/>
                                      <w:marRight w:val="0"/>
                                      <w:marTop w:val="0"/>
                                      <w:marBottom w:val="0"/>
                                      <w:divBdr>
                                        <w:top w:val="none" w:sz="0" w:space="0" w:color="auto"/>
                                        <w:left w:val="none" w:sz="0" w:space="0" w:color="auto"/>
                                        <w:bottom w:val="none" w:sz="0" w:space="0" w:color="auto"/>
                                        <w:right w:val="none" w:sz="0" w:space="0" w:color="auto"/>
                                      </w:divBdr>
                                      <w:divsChild>
                                        <w:div w:id="1148933029">
                                          <w:marLeft w:val="0"/>
                                          <w:marRight w:val="0"/>
                                          <w:marTop w:val="0"/>
                                          <w:marBottom w:val="0"/>
                                          <w:divBdr>
                                            <w:top w:val="none" w:sz="0" w:space="0" w:color="auto"/>
                                            <w:left w:val="none" w:sz="0" w:space="0" w:color="auto"/>
                                            <w:bottom w:val="none" w:sz="0" w:space="0" w:color="auto"/>
                                            <w:right w:val="none" w:sz="0" w:space="0" w:color="auto"/>
                                          </w:divBdr>
                                          <w:divsChild>
                                            <w:div w:id="906187560">
                                              <w:marLeft w:val="0"/>
                                              <w:marRight w:val="0"/>
                                              <w:marTop w:val="0"/>
                                              <w:marBottom w:val="0"/>
                                              <w:divBdr>
                                                <w:top w:val="none" w:sz="0" w:space="0" w:color="auto"/>
                                                <w:left w:val="none" w:sz="0" w:space="0" w:color="auto"/>
                                                <w:bottom w:val="none" w:sz="0" w:space="0" w:color="auto"/>
                                                <w:right w:val="none" w:sz="0" w:space="0" w:color="auto"/>
                                              </w:divBdr>
                                              <w:divsChild>
                                                <w:div w:id="272632280">
                                                  <w:marLeft w:val="0"/>
                                                  <w:marRight w:val="0"/>
                                                  <w:marTop w:val="0"/>
                                                  <w:marBottom w:val="0"/>
                                                  <w:divBdr>
                                                    <w:top w:val="none" w:sz="0" w:space="0" w:color="auto"/>
                                                    <w:left w:val="none" w:sz="0" w:space="0" w:color="auto"/>
                                                    <w:bottom w:val="none" w:sz="0" w:space="0" w:color="auto"/>
                                                    <w:right w:val="none" w:sz="0" w:space="0" w:color="auto"/>
                                                  </w:divBdr>
                                                  <w:divsChild>
                                                    <w:div w:id="2145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330665">
      <w:bodyDiv w:val="1"/>
      <w:marLeft w:val="0"/>
      <w:marRight w:val="0"/>
      <w:marTop w:val="0"/>
      <w:marBottom w:val="0"/>
      <w:divBdr>
        <w:top w:val="none" w:sz="0" w:space="0" w:color="auto"/>
        <w:left w:val="none" w:sz="0" w:space="0" w:color="auto"/>
        <w:bottom w:val="none" w:sz="0" w:space="0" w:color="auto"/>
        <w:right w:val="none" w:sz="0" w:space="0" w:color="auto"/>
      </w:divBdr>
    </w:div>
    <w:div w:id="983581196">
      <w:bodyDiv w:val="1"/>
      <w:marLeft w:val="0"/>
      <w:marRight w:val="0"/>
      <w:marTop w:val="0"/>
      <w:marBottom w:val="0"/>
      <w:divBdr>
        <w:top w:val="none" w:sz="0" w:space="0" w:color="auto"/>
        <w:left w:val="none" w:sz="0" w:space="0" w:color="auto"/>
        <w:bottom w:val="none" w:sz="0" w:space="0" w:color="auto"/>
        <w:right w:val="none" w:sz="0" w:space="0" w:color="auto"/>
      </w:divBdr>
    </w:div>
    <w:div w:id="987325146">
      <w:bodyDiv w:val="1"/>
      <w:marLeft w:val="0"/>
      <w:marRight w:val="0"/>
      <w:marTop w:val="0"/>
      <w:marBottom w:val="0"/>
      <w:divBdr>
        <w:top w:val="none" w:sz="0" w:space="0" w:color="auto"/>
        <w:left w:val="none" w:sz="0" w:space="0" w:color="auto"/>
        <w:bottom w:val="none" w:sz="0" w:space="0" w:color="auto"/>
        <w:right w:val="none" w:sz="0" w:space="0" w:color="auto"/>
      </w:divBdr>
    </w:div>
    <w:div w:id="1000932390">
      <w:bodyDiv w:val="1"/>
      <w:marLeft w:val="0"/>
      <w:marRight w:val="0"/>
      <w:marTop w:val="0"/>
      <w:marBottom w:val="0"/>
      <w:divBdr>
        <w:top w:val="none" w:sz="0" w:space="0" w:color="auto"/>
        <w:left w:val="none" w:sz="0" w:space="0" w:color="auto"/>
        <w:bottom w:val="none" w:sz="0" w:space="0" w:color="auto"/>
        <w:right w:val="none" w:sz="0" w:space="0" w:color="auto"/>
      </w:divBdr>
      <w:divsChild>
        <w:div w:id="1055591086">
          <w:marLeft w:val="0"/>
          <w:marRight w:val="0"/>
          <w:marTop w:val="0"/>
          <w:marBottom w:val="0"/>
          <w:divBdr>
            <w:top w:val="none" w:sz="0" w:space="0" w:color="auto"/>
            <w:left w:val="none" w:sz="0" w:space="0" w:color="auto"/>
            <w:bottom w:val="none" w:sz="0" w:space="0" w:color="auto"/>
            <w:right w:val="none" w:sz="0" w:space="0" w:color="auto"/>
          </w:divBdr>
          <w:divsChild>
            <w:div w:id="201216684">
              <w:marLeft w:val="0"/>
              <w:marRight w:val="0"/>
              <w:marTop w:val="0"/>
              <w:marBottom w:val="0"/>
              <w:divBdr>
                <w:top w:val="none" w:sz="0" w:space="0" w:color="auto"/>
                <w:left w:val="none" w:sz="0" w:space="0" w:color="auto"/>
                <w:bottom w:val="none" w:sz="0" w:space="0" w:color="auto"/>
                <w:right w:val="none" w:sz="0" w:space="0" w:color="auto"/>
              </w:divBdr>
              <w:divsChild>
                <w:div w:id="864053039">
                  <w:marLeft w:val="0"/>
                  <w:marRight w:val="0"/>
                  <w:marTop w:val="0"/>
                  <w:marBottom w:val="0"/>
                  <w:divBdr>
                    <w:top w:val="none" w:sz="0" w:space="0" w:color="auto"/>
                    <w:left w:val="none" w:sz="0" w:space="0" w:color="auto"/>
                    <w:bottom w:val="none" w:sz="0" w:space="0" w:color="auto"/>
                    <w:right w:val="none" w:sz="0" w:space="0" w:color="auto"/>
                  </w:divBdr>
                  <w:divsChild>
                    <w:div w:id="1965043770">
                      <w:marLeft w:val="0"/>
                      <w:marRight w:val="0"/>
                      <w:marTop w:val="0"/>
                      <w:marBottom w:val="0"/>
                      <w:divBdr>
                        <w:top w:val="none" w:sz="0" w:space="0" w:color="auto"/>
                        <w:left w:val="none" w:sz="0" w:space="0" w:color="auto"/>
                        <w:bottom w:val="none" w:sz="0" w:space="0" w:color="auto"/>
                        <w:right w:val="none" w:sz="0" w:space="0" w:color="auto"/>
                      </w:divBdr>
                      <w:divsChild>
                        <w:div w:id="1753694836">
                          <w:marLeft w:val="0"/>
                          <w:marRight w:val="0"/>
                          <w:marTop w:val="0"/>
                          <w:marBottom w:val="0"/>
                          <w:divBdr>
                            <w:top w:val="none" w:sz="0" w:space="0" w:color="auto"/>
                            <w:left w:val="none" w:sz="0" w:space="0" w:color="auto"/>
                            <w:bottom w:val="none" w:sz="0" w:space="0" w:color="auto"/>
                            <w:right w:val="none" w:sz="0" w:space="0" w:color="auto"/>
                          </w:divBdr>
                          <w:divsChild>
                            <w:div w:id="298727444">
                              <w:marLeft w:val="0"/>
                              <w:marRight w:val="0"/>
                              <w:marTop w:val="0"/>
                              <w:marBottom w:val="0"/>
                              <w:divBdr>
                                <w:top w:val="none" w:sz="0" w:space="0" w:color="auto"/>
                                <w:left w:val="none" w:sz="0" w:space="0" w:color="auto"/>
                                <w:bottom w:val="none" w:sz="0" w:space="0" w:color="auto"/>
                                <w:right w:val="none" w:sz="0" w:space="0" w:color="auto"/>
                              </w:divBdr>
                              <w:divsChild>
                                <w:div w:id="677542471">
                                  <w:marLeft w:val="0"/>
                                  <w:marRight w:val="0"/>
                                  <w:marTop w:val="30"/>
                                  <w:marBottom w:val="2250"/>
                                  <w:divBdr>
                                    <w:top w:val="none" w:sz="0" w:space="0" w:color="auto"/>
                                    <w:left w:val="none" w:sz="0" w:space="0" w:color="auto"/>
                                    <w:bottom w:val="none" w:sz="0" w:space="0" w:color="auto"/>
                                    <w:right w:val="none" w:sz="0" w:space="0" w:color="auto"/>
                                  </w:divBdr>
                                  <w:divsChild>
                                    <w:div w:id="714082355">
                                      <w:marLeft w:val="0"/>
                                      <w:marRight w:val="0"/>
                                      <w:marTop w:val="0"/>
                                      <w:marBottom w:val="0"/>
                                      <w:divBdr>
                                        <w:top w:val="none" w:sz="0" w:space="0" w:color="auto"/>
                                        <w:left w:val="none" w:sz="0" w:space="0" w:color="auto"/>
                                        <w:bottom w:val="none" w:sz="0" w:space="0" w:color="auto"/>
                                        <w:right w:val="none" w:sz="0" w:space="0" w:color="auto"/>
                                      </w:divBdr>
                                      <w:divsChild>
                                        <w:div w:id="1303194675">
                                          <w:marLeft w:val="0"/>
                                          <w:marRight w:val="0"/>
                                          <w:marTop w:val="0"/>
                                          <w:marBottom w:val="0"/>
                                          <w:divBdr>
                                            <w:top w:val="none" w:sz="0" w:space="0" w:color="auto"/>
                                            <w:left w:val="none" w:sz="0" w:space="0" w:color="auto"/>
                                            <w:bottom w:val="none" w:sz="0" w:space="0" w:color="auto"/>
                                            <w:right w:val="none" w:sz="0" w:space="0" w:color="auto"/>
                                          </w:divBdr>
                                          <w:divsChild>
                                            <w:div w:id="1762605809">
                                              <w:marLeft w:val="0"/>
                                              <w:marRight w:val="0"/>
                                              <w:marTop w:val="0"/>
                                              <w:marBottom w:val="0"/>
                                              <w:divBdr>
                                                <w:top w:val="none" w:sz="0" w:space="0" w:color="auto"/>
                                                <w:left w:val="none" w:sz="0" w:space="0" w:color="auto"/>
                                                <w:bottom w:val="none" w:sz="0" w:space="0" w:color="auto"/>
                                                <w:right w:val="none" w:sz="0" w:space="0" w:color="auto"/>
                                              </w:divBdr>
                                              <w:divsChild>
                                                <w:div w:id="1200706068">
                                                  <w:marLeft w:val="0"/>
                                                  <w:marRight w:val="0"/>
                                                  <w:marTop w:val="0"/>
                                                  <w:marBottom w:val="0"/>
                                                  <w:divBdr>
                                                    <w:top w:val="none" w:sz="0" w:space="0" w:color="auto"/>
                                                    <w:left w:val="none" w:sz="0" w:space="0" w:color="auto"/>
                                                    <w:bottom w:val="none" w:sz="0" w:space="0" w:color="auto"/>
                                                    <w:right w:val="none" w:sz="0" w:space="0" w:color="auto"/>
                                                  </w:divBdr>
                                                  <w:divsChild>
                                                    <w:div w:id="338584892">
                                                      <w:marLeft w:val="0"/>
                                                      <w:marRight w:val="0"/>
                                                      <w:marTop w:val="150"/>
                                                      <w:marBottom w:val="375"/>
                                                      <w:divBdr>
                                                        <w:top w:val="none" w:sz="0" w:space="0" w:color="auto"/>
                                                        <w:left w:val="none" w:sz="0" w:space="0" w:color="auto"/>
                                                        <w:bottom w:val="none" w:sz="0" w:space="0" w:color="auto"/>
                                                        <w:right w:val="none" w:sz="0" w:space="0" w:color="auto"/>
                                                      </w:divBdr>
                                                      <w:divsChild>
                                                        <w:div w:id="331686221">
                                                          <w:marLeft w:val="0"/>
                                                          <w:marRight w:val="0"/>
                                                          <w:marTop w:val="0"/>
                                                          <w:marBottom w:val="0"/>
                                                          <w:divBdr>
                                                            <w:top w:val="none" w:sz="0" w:space="0" w:color="auto"/>
                                                            <w:left w:val="none" w:sz="0" w:space="0" w:color="auto"/>
                                                            <w:bottom w:val="none" w:sz="0" w:space="0" w:color="auto"/>
                                                            <w:right w:val="none" w:sz="0" w:space="0" w:color="auto"/>
                                                          </w:divBdr>
                                                          <w:divsChild>
                                                            <w:div w:id="1638727760">
                                                              <w:marLeft w:val="0"/>
                                                              <w:marRight w:val="0"/>
                                                              <w:marTop w:val="0"/>
                                                              <w:marBottom w:val="120"/>
                                                              <w:divBdr>
                                                                <w:top w:val="none" w:sz="0" w:space="0" w:color="auto"/>
                                                                <w:left w:val="none" w:sz="0" w:space="0" w:color="auto"/>
                                                                <w:bottom w:val="none" w:sz="0" w:space="0" w:color="auto"/>
                                                                <w:right w:val="none" w:sz="0" w:space="0" w:color="auto"/>
                                                              </w:divBdr>
                                                              <w:divsChild>
                                                                <w:div w:id="80759238">
                                                                  <w:marLeft w:val="0"/>
                                                                  <w:marRight w:val="0"/>
                                                                  <w:marTop w:val="0"/>
                                                                  <w:marBottom w:val="0"/>
                                                                  <w:divBdr>
                                                                    <w:top w:val="none" w:sz="0" w:space="0" w:color="auto"/>
                                                                    <w:left w:val="none" w:sz="0" w:space="0" w:color="auto"/>
                                                                    <w:bottom w:val="none" w:sz="0" w:space="0" w:color="auto"/>
                                                                    <w:right w:val="none" w:sz="0" w:space="0" w:color="auto"/>
                                                                  </w:divBdr>
                                                                  <w:divsChild>
                                                                    <w:div w:id="189606271">
                                                                      <w:marLeft w:val="0"/>
                                                                      <w:marRight w:val="0"/>
                                                                      <w:marTop w:val="0"/>
                                                                      <w:marBottom w:val="0"/>
                                                                      <w:divBdr>
                                                                        <w:top w:val="none" w:sz="0" w:space="0" w:color="auto"/>
                                                                        <w:left w:val="none" w:sz="0" w:space="0" w:color="auto"/>
                                                                        <w:bottom w:val="none" w:sz="0" w:space="0" w:color="auto"/>
                                                                        <w:right w:val="none" w:sz="0" w:space="0" w:color="auto"/>
                                                                      </w:divBdr>
                                                                      <w:divsChild>
                                                                        <w:div w:id="1426876146">
                                                                          <w:marLeft w:val="0"/>
                                                                          <w:marRight w:val="0"/>
                                                                          <w:marTop w:val="0"/>
                                                                          <w:marBottom w:val="0"/>
                                                                          <w:divBdr>
                                                                            <w:top w:val="none" w:sz="0" w:space="0" w:color="auto"/>
                                                                            <w:left w:val="none" w:sz="0" w:space="0" w:color="auto"/>
                                                                            <w:bottom w:val="none" w:sz="0" w:space="0" w:color="auto"/>
                                                                            <w:right w:val="none" w:sz="0" w:space="0" w:color="auto"/>
                                                                          </w:divBdr>
                                                                          <w:divsChild>
                                                                            <w:div w:id="1660230400">
                                                                              <w:marLeft w:val="0"/>
                                                                              <w:marRight w:val="0"/>
                                                                              <w:marTop w:val="0"/>
                                                                              <w:marBottom w:val="0"/>
                                                                              <w:divBdr>
                                                                                <w:top w:val="none" w:sz="0" w:space="0" w:color="auto"/>
                                                                                <w:left w:val="none" w:sz="0" w:space="0" w:color="auto"/>
                                                                                <w:bottom w:val="none" w:sz="0" w:space="0" w:color="auto"/>
                                                                                <w:right w:val="none" w:sz="0" w:space="0" w:color="auto"/>
                                                                              </w:divBdr>
                                                                              <w:divsChild>
                                                                                <w:div w:id="159464681">
                                                                                  <w:marLeft w:val="0"/>
                                                                                  <w:marRight w:val="0"/>
                                                                                  <w:marTop w:val="0"/>
                                                                                  <w:marBottom w:val="0"/>
                                                                                  <w:divBdr>
                                                                                    <w:top w:val="none" w:sz="0" w:space="0" w:color="auto"/>
                                                                                    <w:left w:val="none" w:sz="0" w:space="0" w:color="auto"/>
                                                                                    <w:bottom w:val="none" w:sz="0" w:space="0" w:color="auto"/>
                                                                                    <w:right w:val="none" w:sz="0" w:space="0" w:color="auto"/>
                                                                                  </w:divBdr>
                                                                                  <w:divsChild>
                                                                                    <w:div w:id="5834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337956">
      <w:bodyDiv w:val="1"/>
      <w:marLeft w:val="0"/>
      <w:marRight w:val="0"/>
      <w:marTop w:val="0"/>
      <w:marBottom w:val="0"/>
      <w:divBdr>
        <w:top w:val="none" w:sz="0" w:space="0" w:color="auto"/>
        <w:left w:val="none" w:sz="0" w:space="0" w:color="auto"/>
        <w:bottom w:val="none" w:sz="0" w:space="0" w:color="auto"/>
        <w:right w:val="none" w:sz="0" w:space="0" w:color="auto"/>
      </w:divBdr>
    </w:div>
    <w:div w:id="1145701991">
      <w:bodyDiv w:val="1"/>
      <w:marLeft w:val="0"/>
      <w:marRight w:val="0"/>
      <w:marTop w:val="0"/>
      <w:marBottom w:val="0"/>
      <w:divBdr>
        <w:top w:val="none" w:sz="0" w:space="0" w:color="auto"/>
        <w:left w:val="none" w:sz="0" w:space="0" w:color="auto"/>
        <w:bottom w:val="none" w:sz="0" w:space="0" w:color="auto"/>
        <w:right w:val="none" w:sz="0" w:space="0" w:color="auto"/>
      </w:divBdr>
      <w:divsChild>
        <w:div w:id="1094087222">
          <w:marLeft w:val="576"/>
          <w:marRight w:val="0"/>
          <w:marTop w:val="0"/>
          <w:marBottom w:val="0"/>
          <w:divBdr>
            <w:top w:val="none" w:sz="0" w:space="0" w:color="auto"/>
            <w:left w:val="none" w:sz="0" w:space="0" w:color="auto"/>
            <w:bottom w:val="none" w:sz="0" w:space="0" w:color="auto"/>
            <w:right w:val="none" w:sz="0" w:space="0" w:color="auto"/>
          </w:divBdr>
        </w:div>
        <w:div w:id="309797875">
          <w:marLeft w:val="576"/>
          <w:marRight w:val="0"/>
          <w:marTop w:val="0"/>
          <w:marBottom w:val="0"/>
          <w:divBdr>
            <w:top w:val="none" w:sz="0" w:space="0" w:color="auto"/>
            <w:left w:val="none" w:sz="0" w:space="0" w:color="auto"/>
            <w:bottom w:val="none" w:sz="0" w:space="0" w:color="auto"/>
            <w:right w:val="none" w:sz="0" w:space="0" w:color="auto"/>
          </w:divBdr>
        </w:div>
        <w:div w:id="1080100834">
          <w:marLeft w:val="576"/>
          <w:marRight w:val="0"/>
          <w:marTop w:val="0"/>
          <w:marBottom w:val="0"/>
          <w:divBdr>
            <w:top w:val="none" w:sz="0" w:space="0" w:color="auto"/>
            <w:left w:val="none" w:sz="0" w:space="0" w:color="auto"/>
            <w:bottom w:val="none" w:sz="0" w:space="0" w:color="auto"/>
            <w:right w:val="none" w:sz="0" w:space="0" w:color="auto"/>
          </w:divBdr>
        </w:div>
        <w:div w:id="242646213">
          <w:marLeft w:val="576"/>
          <w:marRight w:val="0"/>
          <w:marTop w:val="0"/>
          <w:marBottom w:val="0"/>
          <w:divBdr>
            <w:top w:val="none" w:sz="0" w:space="0" w:color="auto"/>
            <w:left w:val="none" w:sz="0" w:space="0" w:color="auto"/>
            <w:bottom w:val="none" w:sz="0" w:space="0" w:color="auto"/>
            <w:right w:val="none" w:sz="0" w:space="0" w:color="auto"/>
          </w:divBdr>
        </w:div>
      </w:divsChild>
    </w:div>
    <w:div w:id="1206601650">
      <w:bodyDiv w:val="1"/>
      <w:marLeft w:val="0"/>
      <w:marRight w:val="0"/>
      <w:marTop w:val="0"/>
      <w:marBottom w:val="0"/>
      <w:divBdr>
        <w:top w:val="none" w:sz="0" w:space="0" w:color="auto"/>
        <w:left w:val="none" w:sz="0" w:space="0" w:color="auto"/>
        <w:bottom w:val="none" w:sz="0" w:space="0" w:color="auto"/>
        <w:right w:val="none" w:sz="0" w:space="0" w:color="auto"/>
      </w:divBdr>
    </w:div>
    <w:div w:id="1219974174">
      <w:bodyDiv w:val="1"/>
      <w:marLeft w:val="0"/>
      <w:marRight w:val="0"/>
      <w:marTop w:val="0"/>
      <w:marBottom w:val="0"/>
      <w:divBdr>
        <w:top w:val="none" w:sz="0" w:space="0" w:color="auto"/>
        <w:left w:val="none" w:sz="0" w:space="0" w:color="auto"/>
        <w:bottom w:val="none" w:sz="0" w:space="0" w:color="auto"/>
        <w:right w:val="none" w:sz="0" w:space="0" w:color="auto"/>
      </w:divBdr>
    </w:div>
    <w:div w:id="1278027859">
      <w:bodyDiv w:val="1"/>
      <w:marLeft w:val="0"/>
      <w:marRight w:val="0"/>
      <w:marTop w:val="0"/>
      <w:marBottom w:val="0"/>
      <w:divBdr>
        <w:top w:val="none" w:sz="0" w:space="0" w:color="auto"/>
        <w:left w:val="none" w:sz="0" w:space="0" w:color="auto"/>
        <w:bottom w:val="none" w:sz="0" w:space="0" w:color="auto"/>
        <w:right w:val="none" w:sz="0" w:space="0" w:color="auto"/>
      </w:divBdr>
    </w:div>
    <w:div w:id="1293049820">
      <w:bodyDiv w:val="1"/>
      <w:marLeft w:val="0"/>
      <w:marRight w:val="0"/>
      <w:marTop w:val="0"/>
      <w:marBottom w:val="0"/>
      <w:divBdr>
        <w:top w:val="none" w:sz="0" w:space="0" w:color="auto"/>
        <w:left w:val="none" w:sz="0" w:space="0" w:color="auto"/>
        <w:bottom w:val="none" w:sz="0" w:space="0" w:color="auto"/>
        <w:right w:val="none" w:sz="0" w:space="0" w:color="auto"/>
      </w:divBdr>
      <w:divsChild>
        <w:div w:id="1025866659">
          <w:marLeft w:val="0"/>
          <w:marRight w:val="0"/>
          <w:marTop w:val="0"/>
          <w:marBottom w:val="0"/>
          <w:divBdr>
            <w:top w:val="none" w:sz="0" w:space="0" w:color="auto"/>
            <w:left w:val="none" w:sz="0" w:space="0" w:color="auto"/>
            <w:bottom w:val="none" w:sz="0" w:space="0" w:color="auto"/>
            <w:right w:val="none" w:sz="0" w:space="0" w:color="auto"/>
          </w:divBdr>
          <w:divsChild>
            <w:div w:id="1260333651">
              <w:marLeft w:val="0"/>
              <w:marRight w:val="0"/>
              <w:marTop w:val="0"/>
              <w:marBottom w:val="0"/>
              <w:divBdr>
                <w:top w:val="none" w:sz="0" w:space="0" w:color="auto"/>
                <w:left w:val="none" w:sz="0" w:space="0" w:color="auto"/>
                <w:bottom w:val="none" w:sz="0" w:space="0" w:color="auto"/>
                <w:right w:val="none" w:sz="0" w:space="0" w:color="auto"/>
              </w:divBdr>
              <w:divsChild>
                <w:div w:id="904871552">
                  <w:marLeft w:val="0"/>
                  <w:marRight w:val="0"/>
                  <w:marTop w:val="0"/>
                  <w:marBottom w:val="0"/>
                  <w:divBdr>
                    <w:top w:val="none" w:sz="0" w:space="0" w:color="auto"/>
                    <w:left w:val="none" w:sz="0" w:space="0" w:color="auto"/>
                    <w:bottom w:val="none" w:sz="0" w:space="0" w:color="auto"/>
                    <w:right w:val="none" w:sz="0" w:space="0" w:color="auto"/>
                  </w:divBdr>
                  <w:divsChild>
                    <w:div w:id="1356466315">
                      <w:marLeft w:val="0"/>
                      <w:marRight w:val="0"/>
                      <w:marTop w:val="0"/>
                      <w:marBottom w:val="0"/>
                      <w:divBdr>
                        <w:top w:val="none" w:sz="0" w:space="0" w:color="auto"/>
                        <w:left w:val="none" w:sz="0" w:space="0" w:color="auto"/>
                        <w:bottom w:val="none" w:sz="0" w:space="0" w:color="auto"/>
                        <w:right w:val="none" w:sz="0" w:space="0" w:color="auto"/>
                      </w:divBdr>
                      <w:divsChild>
                        <w:div w:id="1295939805">
                          <w:marLeft w:val="0"/>
                          <w:marRight w:val="0"/>
                          <w:marTop w:val="0"/>
                          <w:marBottom w:val="0"/>
                          <w:divBdr>
                            <w:top w:val="none" w:sz="0" w:space="0" w:color="auto"/>
                            <w:left w:val="none" w:sz="0" w:space="0" w:color="auto"/>
                            <w:bottom w:val="none" w:sz="0" w:space="0" w:color="auto"/>
                            <w:right w:val="none" w:sz="0" w:space="0" w:color="auto"/>
                          </w:divBdr>
                          <w:divsChild>
                            <w:div w:id="1636524901">
                              <w:marLeft w:val="0"/>
                              <w:marRight w:val="0"/>
                              <w:marTop w:val="0"/>
                              <w:marBottom w:val="0"/>
                              <w:divBdr>
                                <w:top w:val="none" w:sz="0" w:space="0" w:color="auto"/>
                                <w:left w:val="none" w:sz="0" w:space="0" w:color="auto"/>
                                <w:bottom w:val="none" w:sz="0" w:space="0" w:color="auto"/>
                                <w:right w:val="none" w:sz="0" w:space="0" w:color="auto"/>
                              </w:divBdr>
                              <w:divsChild>
                                <w:div w:id="831332537">
                                  <w:marLeft w:val="0"/>
                                  <w:marRight w:val="0"/>
                                  <w:marTop w:val="30"/>
                                  <w:marBottom w:val="2250"/>
                                  <w:divBdr>
                                    <w:top w:val="none" w:sz="0" w:space="0" w:color="auto"/>
                                    <w:left w:val="none" w:sz="0" w:space="0" w:color="auto"/>
                                    <w:bottom w:val="none" w:sz="0" w:space="0" w:color="auto"/>
                                    <w:right w:val="none" w:sz="0" w:space="0" w:color="auto"/>
                                  </w:divBdr>
                                  <w:divsChild>
                                    <w:div w:id="662705505">
                                      <w:marLeft w:val="0"/>
                                      <w:marRight w:val="0"/>
                                      <w:marTop w:val="0"/>
                                      <w:marBottom w:val="0"/>
                                      <w:divBdr>
                                        <w:top w:val="none" w:sz="0" w:space="0" w:color="auto"/>
                                        <w:left w:val="none" w:sz="0" w:space="0" w:color="auto"/>
                                        <w:bottom w:val="none" w:sz="0" w:space="0" w:color="auto"/>
                                        <w:right w:val="none" w:sz="0" w:space="0" w:color="auto"/>
                                      </w:divBdr>
                                      <w:divsChild>
                                        <w:div w:id="1145774587">
                                          <w:marLeft w:val="0"/>
                                          <w:marRight w:val="0"/>
                                          <w:marTop w:val="0"/>
                                          <w:marBottom w:val="0"/>
                                          <w:divBdr>
                                            <w:top w:val="none" w:sz="0" w:space="0" w:color="auto"/>
                                            <w:left w:val="none" w:sz="0" w:space="0" w:color="auto"/>
                                            <w:bottom w:val="none" w:sz="0" w:space="0" w:color="auto"/>
                                            <w:right w:val="none" w:sz="0" w:space="0" w:color="auto"/>
                                          </w:divBdr>
                                          <w:divsChild>
                                            <w:div w:id="1947035804">
                                              <w:marLeft w:val="0"/>
                                              <w:marRight w:val="0"/>
                                              <w:marTop w:val="0"/>
                                              <w:marBottom w:val="0"/>
                                              <w:divBdr>
                                                <w:top w:val="none" w:sz="0" w:space="0" w:color="auto"/>
                                                <w:left w:val="none" w:sz="0" w:space="0" w:color="auto"/>
                                                <w:bottom w:val="none" w:sz="0" w:space="0" w:color="auto"/>
                                                <w:right w:val="none" w:sz="0" w:space="0" w:color="auto"/>
                                              </w:divBdr>
                                              <w:divsChild>
                                                <w:div w:id="164512335">
                                                  <w:marLeft w:val="0"/>
                                                  <w:marRight w:val="0"/>
                                                  <w:marTop w:val="0"/>
                                                  <w:marBottom w:val="0"/>
                                                  <w:divBdr>
                                                    <w:top w:val="none" w:sz="0" w:space="0" w:color="auto"/>
                                                    <w:left w:val="none" w:sz="0" w:space="0" w:color="auto"/>
                                                    <w:bottom w:val="none" w:sz="0" w:space="0" w:color="auto"/>
                                                    <w:right w:val="none" w:sz="0" w:space="0" w:color="auto"/>
                                                  </w:divBdr>
                                                  <w:divsChild>
                                                    <w:div w:id="15787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572931">
      <w:bodyDiv w:val="1"/>
      <w:marLeft w:val="0"/>
      <w:marRight w:val="0"/>
      <w:marTop w:val="0"/>
      <w:marBottom w:val="0"/>
      <w:divBdr>
        <w:top w:val="none" w:sz="0" w:space="0" w:color="auto"/>
        <w:left w:val="none" w:sz="0" w:space="0" w:color="auto"/>
        <w:bottom w:val="none" w:sz="0" w:space="0" w:color="auto"/>
        <w:right w:val="none" w:sz="0" w:space="0" w:color="auto"/>
      </w:divBdr>
      <w:divsChild>
        <w:div w:id="333843316">
          <w:marLeft w:val="0"/>
          <w:marRight w:val="0"/>
          <w:marTop w:val="0"/>
          <w:marBottom w:val="0"/>
          <w:divBdr>
            <w:top w:val="none" w:sz="0" w:space="0" w:color="auto"/>
            <w:left w:val="none" w:sz="0" w:space="0" w:color="auto"/>
            <w:bottom w:val="none" w:sz="0" w:space="0" w:color="auto"/>
            <w:right w:val="none" w:sz="0" w:space="0" w:color="auto"/>
          </w:divBdr>
          <w:divsChild>
            <w:div w:id="684672032">
              <w:marLeft w:val="0"/>
              <w:marRight w:val="0"/>
              <w:marTop w:val="0"/>
              <w:marBottom w:val="0"/>
              <w:divBdr>
                <w:top w:val="none" w:sz="0" w:space="0" w:color="auto"/>
                <w:left w:val="none" w:sz="0" w:space="0" w:color="auto"/>
                <w:bottom w:val="none" w:sz="0" w:space="0" w:color="auto"/>
                <w:right w:val="none" w:sz="0" w:space="0" w:color="auto"/>
              </w:divBdr>
              <w:divsChild>
                <w:div w:id="1713924611">
                  <w:marLeft w:val="0"/>
                  <w:marRight w:val="0"/>
                  <w:marTop w:val="0"/>
                  <w:marBottom w:val="0"/>
                  <w:divBdr>
                    <w:top w:val="none" w:sz="0" w:space="0" w:color="auto"/>
                    <w:left w:val="none" w:sz="0" w:space="0" w:color="auto"/>
                    <w:bottom w:val="none" w:sz="0" w:space="0" w:color="auto"/>
                    <w:right w:val="none" w:sz="0" w:space="0" w:color="auto"/>
                  </w:divBdr>
                  <w:divsChild>
                    <w:div w:id="1296526700">
                      <w:marLeft w:val="0"/>
                      <w:marRight w:val="0"/>
                      <w:marTop w:val="0"/>
                      <w:marBottom w:val="0"/>
                      <w:divBdr>
                        <w:top w:val="none" w:sz="0" w:space="0" w:color="auto"/>
                        <w:left w:val="none" w:sz="0" w:space="0" w:color="auto"/>
                        <w:bottom w:val="none" w:sz="0" w:space="0" w:color="auto"/>
                        <w:right w:val="none" w:sz="0" w:space="0" w:color="auto"/>
                      </w:divBdr>
                      <w:divsChild>
                        <w:div w:id="688458291">
                          <w:marLeft w:val="0"/>
                          <w:marRight w:val="0"/>
                          <w:marTop w:val="0"/>
                          <w:marBottom w:val="0"/>
                          <w:divBdr>
                            <w:top w:val="none" w:sz="0" w:space="0" w:color="auto"/>
                            <w:left w:val="none" w:sz="0" w:space="0" w:color="auto"/>
                            <w:bottom w:val="none" w:sz="0" w:space="0" w:color="auto"/>
                            <w:right w:val="none" w:sz="0" w:space="0" w:color="auto"/>
                          </w:divBdr>
                          <w:divsChild>
                            <w:div w:id="619806129">
                              <w:marLeft w:val="0"/>
                              <w:marRight w:val="0"/>
                              <w:marTop w:val="0"/>
                              <w:marBottom w:val="0"/>
                              <w:divBdr>
                                <w:top w:val="none" w:sz="0" w:space="0" w:color="auto"/>
                                <w:left w:val="none" w:sz="0" w:space="0" w:color="auto"/>
                                <w:bottom w:val="none" w:sz="0" w:space="0" w:color="auto"/>
                                <w:right w:val="none" w:sz="0" w:space="0" w:color="auto"/>
                              </w:divBdr>
                              <w:divsChild>
                                <w:div w:id="1795514192">
                                  <w:marLeft w:val="0"/>
                                  <w:marRight w:val="0"/>
                                  <w:marTop w:val="30"/>
                                  <w:marBottom w:val="2250"/>
                                  <w:divBdr>
                                    <w:top w:val="none" w:sz="0" w:space="0" w:color="auto"/>
                                    <w:left w:val="none" w:sz="0" w:space="0" w:color="auto"/>
                                    <w:bottom w:val="none" w:sz="0" w:space="0" w:color="auto"/>
                                    <w:right w:val="none" w:sz="0" w:space="0" w:color="auto"/>
                                  </w:divBdr>
                                  <w:divsChild>
                                    <w:div w:id="333607039">
                                      <w:marLeft w:val="0"/>
                                      <w:marRight w:val="0"/>
                                      <w:marTop w:val="0"/>
                                      <w:marBottom w:val="0"/>
                                      <w:divBdr>
                                        <w:top w:val="none" w:sz="0" w:space="0" w:color="auto"/>
                                        <w:left w:val="none" w:sz="0" w:space="0" w:color="auto"/>
                                        <w:bottom w:val="none" w:sz="0" w:space="0" w:color="auto"/>
                                        <w:right w:val="none" w:sz="0" w:space="0" w:color="auto"/>
                                      </w:divBdr>
                                      <w:divsChild>
                                        <w:div w:id="633173020">
                                          <w:marLeft w:val="0"/>
                                          <w:marRight w:val="0"/>
                                          <w:marTop w:val="0"/>
                                          <w:marBottom w:val="0"/>
                                          <w:divBdr>
                                            <w:top w:val="none" w:sz="0" w:space="0" w:color="auto"/>
                                            <w:left w:val="none" w:sz="0" w:space="0" w:color="auto"/>
                                            <w:bottom w:val="none" w:sz="0" w:space="0" w:color="auto"/>
                                            <w:right w:val="none" w:sz="0" w:space="0" w:color="auto"/>
                                          </w:divBdr>
                                          <w:divsChild>
                                            <w:div w:id="461385475">
                                              <w:marLeft w:val="0"/>
                                              <w:marRight w:val="0"/>
                                              <w:marTop w:val="0"/>
                                              <w:marBottom w:val="0"/>
                                              <w:divBdr>
                                                <w:top w:val="none" w:sz="0" w:space="0" w:color="auto"/>
                                                <w:left w:val="none" w:sz="0" w:space="0" w:color="auto"/>
                                                <w:bottom w:val="none" w:sz="0" w:space="0" w:color="auto"/>
                                                <w:right w:val="none" w:sz="0" w:space="0" w:color="auto"/>
                                              </w:divBdr>
                                              <w:divsChild>
                                                <w:div w:id="1965230375">
                                                  <w:marLeft w:val="0"/>
                                                  <w:marRight w:val="0"/>
                                                  <w:marTop w:val="0"/>
                                                  <w:marBottom w:val="0"/>
                                                  <w:divBdr>
                                                    <w:top w:val="none" w:sz="0" w:space="0" w:color="auto"/>
                                                    <w:left w:val="none" w:sz="0" w:space="0" w:color="auto"/>
                                                    <w:bottom w:val="none" w:sz="0" w:space="0" w:color="auto"/>
                                                    <w:right w:val="none" w:sz="0" w:space="0" w:color="auto"/>
                                                  </w:divBdr>
                                                  <w:divsChild>
                                                    <w:div w:id="448861448">
                                                      <w:marLeft w:val="0"/>
                                                      <w:marRight w:val="0"/>
                                                      <w:marTop w:val="150"/>
                                                      <w:marBottom w:val="375"/>
                                                      <w:divBdr>
                                                        <w:top w:val="none" w:sz="0" w:space="0" w:color="auto"/>
                                                        <w:left w:val="none" w:sz="0" w:space="0" w:color="auto"/>
                                                        <w:bottom w:val="none" w:sz="0" w:space="0" w:color="auto"/>
                                                        <w:right w:val="none" w:sz="0" w:space="0" w:color="auto"/>
                                                      </w:divBdr>
                                                      <w:divsChild>
                                                        <w:div w:id="1360744758">
                                                          <w:marLeft w:val="0"/>
                                                          <w:marRight w:val="0"/>
                                                          <w:marTop w:val="0"/>
                                                          <w:marBottom w:val="0"/>
                                                          <w:divBdr>
                                                            <w:top w:val="none" w:sz="0" w:space="0" w:color="auto"/>
                                                            <w:left w:val="none" w:sz="0" w:space="0" w:color="auto"/>
                                                            <w:bottom w:val="none" w:sz="0" w:space="0" w:color="auto"/>
                                                            <w:right w:val="none" w:sz="0" w:space="0" w:color="auto"/>
                                                          </w:divBdr>
                                                          <w:divsChild>
                                                            <w:div w:id="1755587839">
                                                              <w:marLeft w:val="0"/>
                                                              <w:marRight w:val="0"/>
                                                              <w:marTop w:val="0"/>
                                                              <w:marBottom w:val="120"/>
                                                              <w:divBdr>
                                                                <w:top w:val="none" w:sz="0" w:space="0" w:color="auto"/>
                                                                <w:left w:val="none" w:sz="0" w:space="0" w:color="auto"/>
                                                                <w:bottom w:val="none" w:sz="0" w:space="0" w:color="auto"/>
                                                                <w:right w:val="none" w:sz="0" w:space="0" w:color="auto"/>
                                                              </w:divBdr>
                                                              <w:divsChild>
                                                                <w:div w:id="1864635012">
                                                                  <w:marLeft w:val="0"/>
                                                                  <w:marRight w:val="0"/>
                                                                  <w:marTop w:val="0"/>
                                                                  <w:marBottom w:val="0"/>
                                                                  <w:divBdr>
                                                                    <w:top w:val="none" w:sz="0" w:space="0" w:color="auto"/>
                                                                    <w:left w:val="none" w:sz="0" w:space="0" w:color="auto"/>
                                                                    <w:bottom w:val="none" w:sz="0" w:space="0" w:color="auto"/>
                                                                    <w:right w:val="none" w:sz="0" w:space="0" w:color="auto"/>
                                                                  </w:divBdr>
                                                                  <w:divsChild>
                                                                    <w:div w:id="647242931">
                                                                      <w:marLeft w:val="0"/>
                                                                      <w:marRight w:val="0"/>
                                                                      <w:marTop w:val="0"/>
                                                                      <w:marBottom w:val="0"/>
                                                                      <w:divBdr>
                                                                        <w:top w:val="none" w:sz="0" w:space="0" w:color="auto"/>
                                                                        <w:left w:val="none" w:sz="0" w:space="0" w:color="auto"/>
                                                                        <w:bottom w:val="none" w:sz="0" w:space="0" w:color="auto"/>
                                                                        <w:right w:val="none" w:sz="0" w:space="0" w:color="auto"/>
                                                                      </w:divBdr>
                                                                      <w:divsChild>
                                                                        <w:div w:id="6878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576047">
      <w:bodyDiv w:val="1"/>
      <w:marLeft w:val="0"/>
      <w:marRight w:val="0"/>
      <w:marTop w:val="0"/>
      <w:marBottom w:val="0"/>
      <w:divBdr>
        <w:top w:val="none" w:sz="0" w:space="0" w:color="auto"/>
        <w:left w:val="none" w:sz="0" w:space="0" w:color="auto"/>
        <w:bottom w:val="none" w:sz="0" w:space="0" w:color="auto"/>
        <w:right w:val="none" w:sz="0" w:space="0" w:color="auto"/>
      </w:divBdr>
    </w:div>
    <w:div w:id="1650592986">
      <w:bodyDiv w:val="1"/>
      <w:marLeft w:val="0"/>
      <w:marRight w:val="0"/>
      <w:marTop w:val="0"/>
      <w:marBottom w:val="0"/>
      <w:divBdr>
        <w:top w:val="none" w:sz="0" w:space="0" w:color="auto"/>
        <w:left w:val="none" w:sz="0" w:space="0" w:color="auto"/>
        <w:bottom w:val="none" w:sz="0" w:space="0" w:color="auto"/>
        <w:right w:val="none" w:sz="0" w:space="0" w:color="auto"/>
      </w:divBdr>
    </w:div>
    <w:div w:id="1743329419">
      <w:bodyDiv w:val="1"/>
      <w:marLeft w:val="0"/>
      <w:marRight w:val="0"/>
      <w:marTop w:val="0"/>
      <w:marBottom w:val="0"/>
      <w:divBdr>
        <w:top w:val="none" w:sz="0" w:space="0" w:color="auto"/>
        <w:left w:val="none" w:sz="0" w:space="0" w:color="auto"/>
        <w:bottom w:val="none" w:sz="0" w:space="0" w:color="auto"/>
        <w:right w:val="none" w:sz="0" w:space="0" w:color="auto"/>
      </w:divBdr>
    </w:div>
    <w:div w:id="1832941041">
      <w:bodyDiv w:val="1"/>
      <w:marLeft w:val="0"/>
      <w:marRight w:val="0"/>
      <w:marTop w:val="0"/>
      <w:marBottom w:val="0"/>
      <w:divBdr>
        <w:top w:val="none" w:sz="0" w:space="0" w:color="auto"/>
        <w:left w:val="none" w:sz="0" w:space="0" w:color="auto"/>
        <w:bottom w:val="none" w:sz="0" w:space="0" w:color="auto"/>
        <w:right w:val="none" w:sz="0" w:space="0" w:color="auto"/>
      </w:divBdr>
    </w:div>
    <w:div w:id="1870951929">
      <w:bodyDiv w:val="1"/>
      <w:marLeft w:val="0"/>
      <w:marRight w:val="0"/>
      <w:marTop w:val="0"/>
      <w:marBottom w:val="0"/>
      <w:divBdr>
        <w:top w:val="none" w:sz="0" w:space="0" w:color="auto"/>
        <w:left w:val="none" w:sz="0" w:space="0" w:color="auto"/>
        <w:bottom w:val="none" w:sz="0" w:space="0" w:color="auto"/>
        <w:right w:val="none" w:sz="0" w:space="0" w:color="auto"/>
      </w:divBdr>
    </w:div>
    <w:div w:id="197343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FAF5-B5C2-460C-83A2-1A07A1A9B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CDE1C-F5F9-41C4-B051-38802926F948}">
  <ds:schemaRefs>
    <ds:schemaRef ds:uri="http://schemas.microsoft.com/sharepoint/v3/contenttype/forms"/>
  </ds:schemaRefs>
</ds:datastoreItem>
</file>

<file path=customXml/itemProps3.xml><?xml version="1.0" encoding="utf-8"?>
<ds:datastoreItem xmlns:ds="http://schemas.openxmlformats.org/officeDocument/2006/customXml" ds:itemID="{65A47640-6592-4984-BFD1-A1EB1D62AD8A}">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8cea201b-f78e-4710-bb37-675106f3d11b"/>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B3AFBD1-98B6-4E3D-957D-1F985ED4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2038</Words>
  <Characters>11579</Characters>
  <Application>Microsoft Office Word</Application>
  <DocSecurity>4</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Wollersen</dc:creator>
  <cp:keywords/>
  <dc:description/>
  <cp:lastModifiedBy>Johanna Rieck</cp:lastModifiedBy>
  <cp:revision>2</cp:revision>
  <cp:lastPrinted>2016-07-15T10:24:00Z</cp:lastPrinted>
  <dcterms:created xsi:type="dcterms:W3CDTF">2016-10-21T08:41:00Z</dcterms:created>
  <dcterms:modified xsi:type="dcterms:W3CDTF">2016-10-21T08:41:00Z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