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A6250" w14:textId="07273A2C" w:rsidR="00DC4C23" w:rsidRPr="00DC4C23" w:rsidRDefault="00DC4C23" w:rsidP="003C7D3E">
      <w:pPr>
        <w:jc w:val="both"/>
        <w:rPr>
          <w:rFonts w:eastAsia="Arial" w:cs="Times New Roman"/>
          <w:b/>
          <w:color w:val="1A1A1A"/>
          <w:szCs w:val="21"/>
        </w:rPr>
      </w:pPr>
      <w:bookmarkStart w:id="0" w:name="_GoBack"/>
      <w:bookmarkEnd w:id="0"/>
      <w:r w:rsidRPr="00DC4C23">
        <w:rPr>
          <w:rFonts w:eastAsia="Arial" w:cs="Times New Roman"/>
          <w:b/>
          <w:color w:val="1A1A1A"/>
          <w:szCs w:val="21"/>
        </w:rPr>
        <w:t>Anfrage an BAH durch EFG 07</w:t>
      </w:r>
    </w:p>
    <w:p w14:paraId="53D05DC8" w14:textId="77777777" w:rsidR="00DC4C23" w:rsidRPr="00DC4C23" w:rsidRDefault="00DC4C23" w:rsidP="003C7D3E">
      <w:pPr>
        <w:jc w:val="both"/>
        <w:rPr>
          <w:rFonts w:eastAsia="Arial" w:cs="Times New Roman"/>
          <w:color w:val="1A1A1A"/>
          <w:szCs w:val="21"/>
        </w:rPr>
      </w:pPr>
    </w:p>
    <w:p w14:paraId="2AB15E90" w14:textId="133F1FD4" w:rsidR="003C7D3E" w:rsidRDefault="003C7D3E" w:rsidP="003C7D3E">
      <w:pPr>
        <w:jc w:val="both"/>
        <w:rPr>
          <w:rFonts w:eastAsia="Arial" w:cs="Times New Roman"/>
          <w:color w:val="1A1A1A"/>
          <w:szCs w:val="21"/>
        </w:rPr>
      </w:pPr>
      <w:r w:rsidRPr="00A274C7">
        <w:rPr>
          <w:rFonts w:eastAsia="Arial" w:cs="Times New Roman"/>
          <w:color w:val="1A1A1A"/>
          <w:szCs w:val="21"/>
        </w:rPr>
        <w:t>Am 20.11.2014 hatte die EMA die "Guideline on setting health based exposure limits for use in risk identification in the manufacture of different medicinal products in shar</w:t>
      </w:r>
      <w:r w:rsidR="00053DA4" w:rsidRPr="00A274C7">
        <w:rPr>
          <w:rFonts w:eastAsia="Arial" w:cs="Times New Roman"/>
          <w:color w:val="1A1A1A"/>
          <w:szCs w:val="21"/>
        </w:rPr>
        <w:t xml:space="preserve">ed facilities" (EMNCHMP/ CVMP/ </w:t>
      </w:r>
      <w:r w:rsidRPr="00A274C7">
        <w:rPr>
          <w:rFonts w:eastAsia="Arial" w:cs="Times New Roman"/>
          <w:color w:val="1A1A1A"/>
          <w:szCs w:val="21"/>
        </w:rPr>
        <w:t xml:space="preserve">SWP/169430/2012 vom) veröffentlicht, die seit dem 20.11.2015 von den Humanarzneimittel-Herstellern zu beachten ist. </w:t>
      </w:r>
      <w:r w:rsidRPr="003C7D3E">
        <w:rPr>
          <w:rFonts w:eastAsia="Arial" w:cs="Times New Roman"/>
          <w:color w:val="1A1A1A"/>
          <w:szCs w:val="21"/>
        </w:rPr>
        <w:t xml:space="preserve">Die bisherige </w:t>
      </w:r>
      <w:proofErr w:type="spellStart"/>
      <w:r w:rsidRPr="003C7D3E">
        <w:rPr>
          <w:rFonts w:eastAsia="Arial" w:cs="Times New Roman"/>
          <w:color w:val="1A1A1A"/>
          <w:szCs w:val="21"/>
        </w:rPr>
        <w:t>lnspektionserfahrung</w:t>
      </w:r>
      <w:proofErr w:type="spellEnd"/>
      <w:r w:rsidRPr="003C7D3E">
        <w:rPr>
          <w:rFonts w:eastAsia="Arial" w:cs="Times New Roman"/>
          <w:color w:val="1A1A1A"/>
          <w:szCs w:val="21"/>
        </w:rPr>
        <w:t xml:space="preserve"> </w:t>
      </w:r>
      <w:r>
        <w:rPr>
          <w:rFonts w:eastAsia="Arial" w:cs="Times New Roman"/>
          <w:color w:val="1A1A1A"/>
          <w:szCs w:val="21"/>
        </w:rPr>
        <w:t xml:space="preserve">hat ergeben, </w:t>
      </w:r>
      <w:r w:rsidRPr="003C7D3E">
        <w:rPr>
          <w:rFonts w:eastAsia="Arial" w:cs="Times New Roman"/>
          <w:color w:val="1A1A1A"/>
          <w:szCs w:val="21"/>
        </w:rPr>
        <w:t>dass die Leitlinie in den meisten Fällen noch gar nicht bzw. nicht korrekt umgesetzt worden ist. Am häufigsten wu</w:t>
      </w:r>
      <w:r>
        <w:rPr>
          <w:rFonts w:eastAsia="Arial" w:cs="Times New Roman"/>
          <w:color w:val="1A1A1A"/>
          <w:szCs w:val="21"/>
        </w:rPr>
        <w:t>rden dabei die PDE-Werte abwei</w:t>
      </w:r>
      <w:r w:rsidRPr="003C7D3E">
        <w:rPr>
          <w:rFonts w:eastAsia="Arial" w:cs="Times New Roman"/>
          <w:color w:val="1A1A1A"/>
          <w:szCs w:val="21"/>
        </w:rPr>
        <w:t>chend von der Leitli</w:t>
      </w:r>
      <w:r w:rsidR="00A62E9B">
        <w:rPr>
          <w:rFonts w:eastAsia="Arial" w:cs="Times New Roman"/>
          <w:color w:val="1A1A1A"/>
          <w:szCs w:val="21"/>
        </w:rPr>
        <w:t xml:space="preserve">nie über die </w:t>
      </w:r>
      <w:proofErr w:type="spellStart"/>
      <w:r w:rsidR="00A62E9B">
        <w:rPr>
          <w:rFonts w:eastAsia="Arial" w:cs="Times New Roman"/>
          <w:color w:val="1A1A1A"/>
          <w:szCs w:val="21"/>
        </w:rPr>
        <w:t>LDso</w:t>
      </w:r>
      <w:proofErr w:type="spellEnd"/>
      <w:r w:rsidR="00A62E9B">
        <w:rPr>
          <w:rFonts w:eastAsia="Arial" w:cs="Times New Roman"/>
          <w:color w:val="1A1A1A"/>
          <w:szCs w:val="21"/>
        </w:rPr>
        <w:t xml:space="preserve"> abgeschätzt, was höchstens bei Rück</w:t>
      </w:r>
      <w:r w:rsidRPr="003C7D3E">
        <w:rPr>
          <w:rFonts w:eastAsia="Arial" w:cs="Times New Roman"/>
          <w:color w:val="1A1A1A"/>
          <w:szCs w:val="21"/>
        </w:rPr>
        <w:t>ständen von Reinigungsmitteln oder Zwische</w:t>
      </w:r>
      <w:r>
        <w:rPr>
          <w:rFonts w:eastAsia="Arial" w:cs="Times New Roman"/>
          <w:color w:val="1A1A1A"/>
          <w:szCs w:val="21"/>
        </w:rPr>
        <w:t>nverbindungen der Wirkstoff</w:t>
      </w:r>
      <w:r w:rsidRPr="003C7D3E">
        <w:rPr>
          <w:rFonts w:eastAsia="Arial" w:cs="Times New Roman"/>
          <w:color w:val="1A1A1A"/>
          <w:szCs w:val="21"/>
        </w:rPr>
        <w:t>herstellung akzeptiert werden könnte. Denn die überwiegende Anzahl der Wirkstoffe ist gut erforscht und insbesondere</w:t>
      </w:r>
      <w:r>
        <w:rPr>
          <w:rFonts w:eastAsia="Arial" w:cs="Times New Roman"/>
          <w:color w:val="1A1A1A"/>
          <w:szCs w:val="21"/>
        </w:rPr>
        <w:t xml:space="preserve"> im Falle von generischen Wirk</w:t>
      </w:r>
      <w:r w:rsidRPr="003C7D3E">
        <w:rPr>
          <w:rFonts w:eastAsia="Arial" w:cs="Times New Roman"/>
          <w:color w:val="1A1A1A"/>
          <w:szCs w:val="21"/>
        </w:rPr>
        <w:t>stoffen liegen ausreichende klinische Daten zur Ermittlung von PDE-Werten vor.</w:t>
      </w:r>
    </w:p>
    <w:p w14:paraId="71857847" w14:textId="77777777" w:rsidR="003C7D3E" w:rsidRDefault="003C7D3E" w:rsidP="003C7D3E">
      <w:pPr>
        <w:jc w:val="both"/>
        <w:rPr>
          <w:rFonts w:eastAsia="Arial" w:cs="Times New Roman"/>
          <w:color w:val="1A1A1A"/>
          <w:szCs w:val="21"/>
        </w:rPr>
      </w:pPr>
    </w:p>
    <w:p w14:paraId="28642974" w14:textId="77777777" w:rsidR="003C7D3E" w:rsidRDefault="003C7D3E" w:rsidP="003C7D3E">
      <w:pPr>
        <w:jc w:val="both"/>
      </w:pPr>
      <w:r>
        <w:t>Nachdem die Auswertung dieser klinischen Daten und die Festlegung der PDE-Werte in der Regel nur von erfahrenen Toxikologen vorgenommen werden kann und bei vielen Arzneimittelherstellen diese Expertise nicht vorhanden ist, suchen sich solche Firmen gerne Rat bei externen Sachverständigen. Diese lassen sich jedoch ihre Gutachten in der Regel gut bezahlen und können sie auch mehrfach verkaufen, nachdem sie nicht Standort- sondern Wirkstoffbezogen sind. Der Arzneimittelhersteller hingegen steht beim Erwerb eines solchen Gutachtens trotzdem vor dem Problem, dass er den Inhalt gegenüber seiner Aufsichtsbehörde zwar zu verantworten hat, aber mangels entsprechender Fachkenntnis kaum in der Lage ist, den externen Dienstleister ordnungsgemäß zu qualifizieren, wie dies nach dem Kapitel 7 "</w:t>
      </w:r>
      <w:proofErr w:type="spellStart"/>
      <w:r>
        <w:t>Outsourced</w:t>
      </w:r>
      <w:proofErr w:type="spellEnd"/>
      <w:r>
        <w:t xml:space="preserve"> </w:t>
      </w:r>
      <w:proofErr w:type="spellStart"/>
      <w:r>
        <w:t>Activities</w:t>
      </w:r>
      <w:proofErr w:type="spellEnd"/>
      <w:r>
        <w:t>" vom EU GMP-Leitfaden vorgesehen ist.</w:t>
      </w:r>
    </w:p>
    <w:p w14:paraId="2597075B" w14:textId="77777777" w:rsidR="003C7D3E" w:rsidRDefault="003C7D3E" w:rsidP="003C7D3E">
      <w:pPr>
        <w:jc w:val="both"/>
      </w:pPr>
    </w:p>
    <w:p w14:paraId="2E01FB16" w14:textId="77777777" w:rsidR="00282D91" w:rsidRDefault="003C7D3E" w:rsidP="003C7D3E">
      <w:pPr>
        <w:jc w:val="both"/>
      </w:pPr>
      <w:r>
        <w:t xml:space="preserve">Nachdem die PDE-Werte substanzbezogen sind, hat sich die Expertenfachgruppe 07 die Frage gestellt, ob die o.g. Problematik schon einmal an Ihren Verband herangetragen wurde und es gegebenenfalls Bestrebungen gibt, den Mitgliedern entsprechende PDE­ Werte (z.B. in Form einer Datenbank oder toxikologischen Expertise) zur Verfügung zu stellen. Nach unserer Ansicht könnten enorme Ressourcen an Zeit und Geld eingespart werden, wenn nicht jeder Arzneimittelhersteller die PDE-Werte von gängigen Wirkstoffen wie z.B. Paracetamol oder </w:t>
      </w:r>
      <w:proofErr w:type="spellStart"/>
      <w:r>
        <w:t>Omeprazol</w:t>
      </w:r>
      <w:proofErr w:type="spellEnd"/>
      <w:r>
        <w:t xml:space="preserve"> gesondert festlegen oder gar in Form von Gutachten teuer einkaufen muss.</w:t>
      </w:r>
    </w:p>
    <w:sectPr w:rsidR="00282D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3E"/>
    <w:rsid w:val="00053DA4"/>
    <w:rsid w:val="00282D91"/>
    <w:rsid w:val="00346B2A"/>
    <w:rsid w:val="003C7D3E"/>
    <w:rsid w:val="00A274C7"/>
    <w:rsid w:val="00A62E9B"/>
    <w:rsid w:val="00DC4C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E88B"/>
  <w15:chartTrackingRefBased/>
  <w15:docId w15:val="{C5817D3F-90DB-49FC-B30D-F16DB98D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C7D3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7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23337d0d40f07dca653232b6d8e466e">
  <xsd:schema xmlns:xsd="http://www.w3.org/2001/XMLSchema" xmlns:xs="http://www.w3.org/2001/XMLSchema" xmlns:p="http://schemas.microsoft.com/office/2006/metadata/properties" xmlns:ns2="8cea201b-f78e-4710-bb37-675106f3d11b" targetNamespace="http://schemas.microsoft.com/office/2006/metadata/properties" ma:root="true" ma:fieldsID="75e7c8f59267abd9a446c5335b8ce917"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234A9-1B17-47CA-9FFF-8F11B7DB2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14D1C-8688-404C-B06F-D093B95EEEBD}">
  <ds:schemaRefs>
    <ds:schemaRef ds:uri="http://schemas.microsoft.com/sharepoint/v3/contenttype/forms"/>
  </ds:schemaRefs>
</ds:datastoreItem>
</file>

<file path=customXml/itemProps3.xml><?xml version="1.0" encoding="utf-8"?>
<ds:datastoreItem xmlns:ds="http://schemas.openxmlformats.org/officeDocument/2006/customXml" ds:itemID="{A7A35EB1-84B4-4A31-927D-80D9F50A5657}">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8cea201b-f78e-4710-bb37-675106f3d11b"/>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2048</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2</cp:revision>
  <cp:lastPrinted>2016-06-10T10:51:00Z</cp:lastPrinted>
  <dcterms:created xsi:type="dcterms:W3CDTF">2016-06-14T14:01:00Z</dcterms:created>
  <dcterms:modified xsi:type="dcterms:W3CDTF">2016-06-14T14:01:00Z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