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114"/>
        <w:gridCol w:w="5902"/>
      </w:tblGrid>
      <w:tr w:rsidR="00F010B5" w14:paraId="0401EF0C" w14:textId="77777777" w:rsidTr="00F010B5">
        <w:tc>
          <w:tcPr>
            <w:tcW w:w="3114" w:type="dxa"/>
          </w:tcPr>
          <w:p w14:paraId="3D08C924" w14:textId="3E2722C3" w:rsidR="00F010B5" w:rsidRDefault="006B6C8F" w:rsidP="00F010B5">
            <w:r>
              <w:t>Organisation</w:t>
            </w:r>
            <w:r w:rsidR="00F010B5">
              <w:t>:</w:t>
            </w:r>
          </w:p>
        </w:tc>
        <w:tc>
          <w:tcPr>
            <w:tcW w:w="5902" w:type="dxa"/>
          </w:tcPr>
          <w:p w14:paraId="15193B3A" w14:textId="77777777" w:rsidR="00F010B5" w:rsidRPr="00F010B5" w:rsidRDefault="00F010B5" w:rsidP="00F010B5">
            <w:pPr>
              <w:rPr>
                <w:b/>
              </w:rPr>
            </w:pPr>
          </w:p>
        </w:tc>
      </w:tr>
      <w:tr w:rsidR="008A6CDA" w14:paraId="0749B220" w14:textId="77777777" w:rsidTr="00F010B5">
        <w:tc>
          <w:tcPr>
            <w:tcW w:w="3114" w:type="dxa"/>
          </w:tcPr>
          <w:p w14:paraId="293C7C7F" w14:textId="77777777" w:rsidR="008A6CDA" w:rsidRDefault="008A6CDA" w:rsidP="00F010B5">
            <w:r>
              <w:t>Contact details:</w:t>
            </w:r>
          </w:p>
          <w:p w14:paraId="5919E17A" w14:textId="3EB4B9B2" w:rsidR="008A6CDA" w:rsidRDefault="008A6CDA" w:rsidP="00F010B5">
            <w:r w:rsidRPr="008A6CDA">
              <w:rPr>
                <w:sz w:val="18"/>
              </w:rPr>
              <w:t>(e.g.: contact person, email address)</w:t>
            </w:r>
          </w:p>
        </w:tc>
        <w:tc>
          <w:tcPr>
            <w:tcW w:w="5902" w:type="dxa"/>
          </w:tcPr>
          <w:p w14:paraId="50EBF603" w14:textId="77777777" w:rsidR="008A6CDA" w:rsidRDefault="008A6CDA" w:rsidP="00F010B5"/>
        </w:tc>
      </w:tr>
    </w:tbl>
    <w:p w14:paraId="557020E6" w14:textId="2838F584" w:rsidR="00F010B5" w:rsidRDefault="00F010B5" w:rsidP="00CF5141"/>
    <w:p w14:paraId="32A9A350" w14:textId="6247BFF7" w:rsidR="00C41966" w:rsidRDefault="006B6C8F" w:rsidP="00CF5141">
      <w:r>
        <w:t>The MDCG TF on environmental matters would like to collect the stakeholders</w:t>
      </w:r>
      <w:r w:rsidR="00353C7E">
        <w:t>’ views</w:t>
      </w:r>
      <w:r>
        <w:t xml:space="preserve"> on</w:t>
      </w:r>
      <w:r w:rsidR="00C41966">
        <w:t xml:space="preserve"> the following topics:</w:t>
      </w:r>
    </w:p>
    <w:p w14:paraId="521EE4F6" w14:textId="63124C2A" w:rsidR="00C41966" w:rsidRDefault="006B6C8F" w:rsidP="00C41966">
      <w:pPr>
        <w:pStyle w:val="ListParagraph"/>
        <w:numPr>
          <w:ilvl w:val="0"/>
          <w:numId w:val="12"/>
        </w:numPr>
      </w:pPr>
      <w:bookmarkStart w:id="0" w:name="_Hlk202794940"/>
      <w:r>
        <w:t xml:space="preserve">issues caused to </w:t>
      </w:r>
      <w:r w:rsidR="000701FA">
        <w:t xml:space="preserve">the </w:t>
      </w:r>
      <w:r>
        <w:t xml:space="preserve">medical devices sector by </w:t>
      </w:r>
      <w:r w:rsidR="00C41966">
        <w:t xml:space="preserve">EU </w:t>
      </w:r>
      <w:r>
        <w:t xml:space="preserve">horizontal legislation listed in the </w:t>
      </w:r>
      <w:r w:rsidR="00C41966">
        <w:t>T</w:t>
      </w:r>
      <w:r>
        <w:t xml:space="preserve">able </w:t>
      </w:r>
      <w:r w:rsidR="00082620">
        <w:t>1</w:t>
      </w:r>
      <w:r w:rsidR="00C41966">
        <w:t xml:space="preserve"> </w:t>
      </w:r>
      <w:r w:rsidR="000701FA">
        <w:t xml:space="preserve">below </w:t>
      </w:r>
      <w:r w:rsidR="00C41966">
        <w:t xml:space="preserve">and </w:t>
      </w:r>
      <w:r>
        <w:t xml:space="preserve">possible solutions to mitigate </w:t>
      </w:r>
      <w:r w:rsidR="00C41966">
        <w:t xml:space="preserve">those </w:t>
      </w:r>
      <w:r>
        <w:t>issues</w:t>
      </w:r>
      <w:r w:rsidR="00C41966">
        <w:t>;</w:t>
      </w:r>
    </w:p>
    <w:p w14:paraId="440ED955" w14:textId="6CAB77E4" w:rsidR="006B6C8F" w:rsidRDefault="006B6C8F" w:rsidP="00C41966">
      <w:pPr>
        <w:pStyle w:val="ListParagraph"/>
        <w:numPr>
          <w:ilvl w:val="0"/>
          <w:numId w:val="12"/>
        </w:numPr>
      </w:pPr>
      <w:r>
        <w:t xml:space="preserve">ideas on contributions to sustainability </w:t>
      </w:r>
      <w:r w:rsidR="00C41966">
        <w:t xml:space="preserve">of the medical devices sector exploiting </w:t>
      </w:r>
      <w:r>
        <w:t>opportunities from the current MDR</w:t>
      </w:r>
      <w:r w:rsidR="00E93D87">
        <w:rPr>
          <w:rStyle w:val="FootnoteReference"/>
        </w:rPr>
        <w:footnoteReference w:id="1"/>
      </w:r>
      <w:r>
        <w:t>/IVDR</w:t>
      </w:r>
      <w:r w:rsidR="001E29BD">
        <w:rPr>
          <w:rStyle w:val="FootnoteReference"/>
        </w:rPr>
        <w:footnoteReference w:id="2"/>
      </w:r>
      <w:r>
        <w:t xml:space="preserve"> regulatory framework</w:t>
      </w:r>
      <w:r w:rsidR="000701FA">
        <w:t>s</w:t>
      </w:r>
      <w:r w:rsidR="00C41966">
        <w:t>.</w:t>
      </w:r>
    </w:p>
    <w:bookmarkEnd w:id="0"/>
    <w:p w14:paraId="2C2F863F" w14:textId="77777777" w:rsidR="00F010B5" w:rsidRDefault="00F010B5" w:rsidP="00CF5141"/>
    <w:p w14:paraId="7A0475B4" w14:textId="66ACCFE9" w:rsidR="00C41966" w:rsidRDefault="00C41966" w:rsidP="00CF5141">
      <w:r w:rsidRPr="00087839">
        <w:rPr>
          <w:highlight w:val="yellow"/>
        </w:rPr>
        <w:t xml:space="preserve">Please reply to the following two questions and send your comments </w:t>
      </w:r>
      <w:r w:rsidR="00A40C7F" w:rsidRPr="003A41DD">
        <w:rPr>
          <w:highlight w:val="yellow"/>
        </w:rPr>
        <w:t>to</w:t>
      </w:r>
      <w:r w:rsidR="003A41DD" w:rsidRPr="003A41DD">
        <w:rPr>
          <w:highlight w:val="yellow"/>
        </w:rPr>
        <w:t xml:space="preserve"> AESGP-MedicalDevices@aesgp.eu </w:t>
      </w:r>
      <w:r w:rsidR="003A41DD" w:rsidRPr="00AA2311">
        <w:rPr>
          <w:highlight w:val="yellow"/>
        </w:rPr>
        <w:t>by</w:t>
      </w:r>
      <w:r w:rsidR="00A40C7F" w:rsidRPr="00AA2311">
        <w:rPr>
          <w:b/>
          <w:bCs/>
          <w:color w:val="EE0000"/>
          <w:highlight w:val="yellow"/>
        </w:rPr>
        <w:t xml:space="preserve"> </w:t>
      </w:r>
      <w:r w:rsidR="00087839" w:rsidRPr="00AA2311">
        <w:rPr>
          <w:b/>
          <w:bCs/>
          <w:color w:val="EE0000"/>
          <w:highlight w:val="yellow"/>
        </w:rPr>
        <w:t>27 August.</w:t>
      </w:r>
      <w:r w:rsidR="00087839" w:rsidRPr="00AA2311">
        <w:rPr>
          <w:color w:val="EE0000"/>
        </w:rPr>
        <w:t xml:space="preserve"> </w:t>
      </w:r>
      <w:r w:rsidR="00087839">
        <w:t xml:space="preserve">We will then consolidate the feedback received and share </w:t>
      </w:r>
      <w:r w:rsidR="00C90243">
        <w:t xml:space="preserve">the consolidated response </w:t>
      </w:r>
      <w:r w:rsidR="00087839">
        <w:t>with the Commission</w:t>
      </w:r>
      <w:r w:rsidR="00AA2311">
        <w:t xml:space="preserve"> after the endorsement of members</w:t>
      </w:r>
      <w:r w:rsidR="00087839">
        <w:t xml:space="preserve">.  </w:t>
      </w:r>
    </w:p>
    <w:p w14:paraId="176E62EC" w14:textId="77777777" w:rsidR="00C41966" w:rsidRDefault="00C41966" w:rsidP="00CF5141"/>
    <w:p w14:paraId="580C893C" w14:textId="77777777" w:rsidR="00C41966" w:rsidRDefault="00C41966" w:rsidP="00CF5141"/>
    <w:p w14:paraId="5B45355C" w14:textId="30DEDED9" w:rsidR="006B6C8F" w:rsidRPr="00C24618" w:rsidRDefault="00E93D87" w:rsidP="00C24618">
      <w:pPr>
        <w:pStyle w:val="ListParagraph"/>
        <w:numPr>
          <w:ilvl w:val="0"/>
          <w:numId w:val="11"/>
        </w:numPr>
        <w:rPr>
          <w:b/>
          <w:bCs/>
        </w:rPr>
      </w:pPr>
      <w:r w:rsidRPr="00C24618">
        <w:rPr>
          <w:b/>
          <w:bCs/>
        </w:rPr>
        <w:t>In your view, w</w:t>
      </w:r>
      <w:r w:rsidR="00082620" w:rsidRPr="00C24618">
        <w:rPr>
          <w:b/>
          <w:bCs/>
        </w:rPr>
        <w:t xml:space="preserve">hat are the major issues </w:t>
      </w:r>
      <w:r w:rsidRPr="00C24618">
        <w:rPr>
          <w:b/>
          <w:bCs/>
        </w:rPr>
        <w:t xml:space="preserve">for </w:t>
      </w:r>
      <w:r w:rsidR="00082620" w:rsidRPr="00C24618">
        <w:rPr>
          <w:b/>
          <w:bCs/>
        </w:rPr>
        <w:t xml:space="preserve">the medical devices sector </w:t>
      </w:r>
      <w:r w:rsidRPr="00C24618">
        <w:rPr>
          <w:b/>
          <w:bCs/>
        </w:rPr>
        <w:t xml:space="preserve">caused </w:t>
      </w:r>
      <w:r w:rsidR="00082620" w:rsidRPr="00C24618">
        <w:rPr>
          <w:b/>
          <w:bCs/>
        </w:rPr>
        <w:t xml:space="preserve">by EU horizontal legislation listed in Table 1 </w:t>
      </w:r>
      <w:r w:rsidR="006A47C9">
        <w:rPr>
          <w:b/>
          <w:bCs/>
        </w:rPr>
        <w:t>below</w:t>
      </w:r>
      <w:r w:rsidR="00082620" w:rsidRPr="00C24618">
        <w:rPr>
          <w:b/>
          <w:bCs/>
        </w:rPr>
        <w:t xml:space="preserve">? </w:t>
      </w:r>
      <w:r w:rsidRPr="00C24618">
        <w:rPr>
          <w:b/>
          <w:bCs/>
        </w:rPr>
        <w:t>Are there possible solutions to mitigate th</w:t>
      </w:r>
      <w:r w:rsidR="000701FA">
        <w:rPr>
          <w:b/>
          <w:bCs/>
        </w:rPr>
        <w:t>ose</w:t>
      </w:r>
      <w:r w:rsidRPr="00C24618">
        <w:rPr>
          <w:b/>
          <w:bCs/>
        </w:rPr>
        <w:t xml:space="preserve"> issues?</w:t>
      </w:r>
    </w:p>
    <w:p w14:paraId="6505D0EA" w14:textId="68A1866C" w:rsidR="006B6C8F" w:rsidRPr="00C24618" w:rsidRDefault="00C24618" w:rsidP="00C24618">
      <w:pPr>
        <w:ind w:left="360"/>
        <w:rPr>
          <w:i/>
          <w:iCs/>
          <w:sz w:val="20"/>
          <w:szCs w:val="20"/>
        </w:rPr>
      </w:pPr>
      <w:r w:rsidRPr="00C24618">
        <w:rPr>
          <w:i/>
          <w:iCs/>
          <w:sz w:val="20"/>
          <w:szCs w:val="20"/>
        </w:rPr>
        <w:t>Note: p</w:t>
      </w:r>
      <w:r w:rsidR="00E93D87" w:rsidRPr="00C24618">
        <w:rPr>
          <w:i/>
          <w:iCs/>
          <w:sz w:val="20"/>
          <w:szCs w:val="20"/>
        </w:rPr>
        <w:t xml:space="preserve">lease fill in </w:t>
      </w:r>
      <w:r w:rsidR="000701FA">
        <w:rPr>
          <w:i/>
          <w:iCs/>
          <w:sz w:val="20"/>
          <w:szCs w:val="20"/>
        </w:rPr>
        <w:t>one box below</w:t>
      </w:r>
      <w:r w:rsidR="00E93D87" w:rsidRPr="00C24618">
        <w:rPr>
          <w:i/>
          <w:iCs/>
          <w:sz w:val="20"/>
          <w:szCs w:val="20"/>
        </w:rPr>
        <w:t xml:space="preserve"> for each EU legislation </w:t>
      </w:r>
      <w:r w:rsidR="001E29BD">
        <w:rPr>
          <w:i/>
          <w:iCs/>
          <w:sz w:val="20"/>
          <w:szCs w:val="20"/>
        </w:rPr>
        <w:t xml:space="preserve">on which </w:t>
      </w:r>
      <w:r w:rsidR="00E93D87" w:rsidRPr="00C24618">
        <w:rPr>
          <w:i/>
          <w:iCs/>
          <w:sz w:val="20"/>
          <w:szCs w:val="20"/>
        </w:rPr>
        <w:t xml:space="preserve">you </w:t>
      </w:r>
      <w:r w:rsidR="001E29BD">
        <w:rPr>
          <w:i/>
          <w:iCs/>
          <w:sz w:val="20"/>
          <w:szCs w:val="20"/>
        </w:rPr>
        <w:t xml:space="preserve">wish to </w:t>
      </w:r>
      <w:r w:rsidR="00E93D87" w:rsidRPr="00C24618">
        <w:rPr>
          <w:i/>
          <w:iCs/>
          <w:sz w:val="20"/>
          <w:szCs w:val="20"/>
        </w:rPr>
        <w:t xml:space="preserve">provide your views. </w:t>
      </w:r>
      <w:r w:rsidR="001E29BD">
        <w:rPr>
          <w:i/>
          <w:iCs/>
          <w:sz w:val="20"/>
          <w:szCs w:val="20"/>
        </w:rPr>
        <w:t>Please limit the issues to a maximum of three and rank them by relevance.</w:t>
      </w:r>
      <w:r>
        <w:rPr>
          <w:i/>
          <w:iCs/>
          <w:sz w:val="20"/>
          <w:szCs w:val="20"/>
        </w:rPr>
        <w:t xml:space="preserve"> </w:t>
      </w:r>
      <w:r w:rsidR="000701FA">
        <w:rPr>
          <w:i/>
          <w:iCs/>
          <w:sz w:val="20"/>
          <w:szCs w:val="20"/>
        </w:rPr>
        <w:t>Please l</w:t>
      </w:r>
      <w:r w:rsidR="00E93D87" w:rsidRPr="00C24618">
        <w:rPr>
          <w:i/>
          <w:iCs/>
          <w:sz w:val="20"/>
          <w:szCs w:val="20"/>
        </w:rPr>
        <w:t>imit the text to half a page per law.</w:t>
      </w:r>
    </w:p>
    <w:p w14:paraId="40D7FB94" w14:textId="77777777" w:rsidR="00E93D87" w:rsidRDefault="00E93D87" w:rsidP="00CF5141"/>
    <w:tbl>
      <w:tblPr>
        <w:tblStyle w:val="TableGrid"/>
        <w:tblW w:w="0" w:type="auto"/>
        <w:tblLook w:val="04A0" w:firstRow="1" w:lastRow="0" w:firstColumn="1" w:lastColumn="0" w:noHBand="0" w:noVBand="1"/>
      </w:tblPr>
      <w:tblGrid>
        <w:gridCol w:w="9016"/>
      </w:tblGrid>
      <w:tr w:rsidR="00F010B5" w:rsidRPr="00956452" w14:paraId="188B1176" w14:textId="77777777" w:rsidTr="005D7572">
        <w:tc>
          <w:tcPr>
            <w:tcW w:w="9016" w:type="dxa"/>
          </w:tcPr>
          <w:p w14:paraId="3B21BE37" w14:textId="78E9B1A6" w:rsidR="00F010B5" w:rsidRPr="00956452" w:rsidRDefault="00E93D87" w:rsidP="00E93D87">
            <w:pPr>
              <w:pStyle w:val="Title"/>
              <w:numPr>
                <w:ilvl w:val="0"/>
                <w:numId w:val="0"/>
              </w:numPr>
            </w:pPr>
            <w:r>
              <w:t xml:space="preserve">Law: </w:t>
            </w:r>
          </w:p>
        </w:tc>
      </w:tr>
      <w:tr w:rsidR="00E93D87" w14:paraId="4C172F3F" w14:textId="77777777" w:rsidTr="00E859E8">
        <w:tc>
          <w:tcPr>
            <w:tcW w:w="9016" w:type="dxa"/>
          </w:tcPr>
          <w:p w14:paraId="7E2EC0D4" w14:textId="77777777" w:rsidR="00E93D87" w:rsidRDefault="00E93D87" w:rsidP="00956452">
            <w:r>
              <w:t>Issues:</w:t>
            </w:r>
          </w:p>
          <w:p w14:paraId="1529CC22" w14:textId="29E3A3B1" w:rsidR="00E93D87" w:rsidRDefault="00E93D87" w:rsidP="00E93D87">
            <w:pPr>
              <w:pStyle w:val="ListParagraph"/>
              <w:numPr>
                <w:ilvl w:val="0"/>
                <w:numId w:val="9"/>
              </w:numPr>
            </w:pPr>
            <w:r>
              <w:t>…</w:t>
            </w:r>
          </w:p>
          <w:p w14:paraId="4D827FF6" w14:textId="1939DBBD" w:rsidR="00E93D87" w:rsidRDefault="00E93D87" w:rsidP="00E93D87">
            <w:pPr>
              <w:pStyle w:val="ListParagraph"/>
              <w:numPr>
                <w:ilvl w:val="0"/>
                <w:numId w:val="9"/>
              </w:numPr>
            </w:pPr>
            <w:r>
              <w:t>…</w:t>
            </w:r>
          </w:p>
          <w:p w14:paraId="165EC0CD" w14:textId="16F0A58E" w:rsidR="00E93D87" w:rsidRDefault="00E93D87" w:rsidP="00E93D87">
            <w:pPr>
              <w:pStyle w:val="ListParagraph"/>
              <w:numPr>
                <w:ilvl w:val="0"/>
                <w:numId w:val="9"/>
              </w:numPr>
            </w:pPr>
            <w:r>
              <w:t>…</w:t>
            </w:r>
          </w:p>
        </w:tc>
      </w:tr>
      <w:tr w:rsidR="00E93D87" w14:paraId="61DD2823" w14:textId="77777777" w:rsidTr="00856389">
        <w:tc>
          <w:tcPr>
            <w:tcW w:w="9016" w:type="dxa"/>
          </w:tcPr>
          <w:p w14:paraId="0792D598" w14:textId="77777777" w:rsidR="00E93D87" w:rsidRDefault="00E93D87" w:rsidP="00285C76">
            <w:r>
              <w:t>Possible solutions:</w:t>
            </w:r>
          </w:p>
          <w:p w14:paraId="4E1A4BDC" w14:textId="2F7E808B" w:rsidR="00E93D87" w:rsidRDefault="00E93D87" w:rsidP="00E93D87">
            <w:pPr>
              <w:pStyle w:val="ListParagraph"/>
              <w:numPr>
                <w:ilvl w:val="0"/>
                <w:numId w:val="10"/>
              </w:numPr>
            </w:pPr>
            <w:r>
              <w:t>…</w:t>
            </w:r>
          </w:p>
        </w:tc>
      </w:tr>
      <w:tr w:rsidR="00E93D87" w14:paraId="3734CB7A" w14:textId="77777777" w:rsidTr="00844E9E">
        <w:tc>
          <w:tcPr>
            <w:tcW w:w="9016" w:type="dxa"/>
          </w:tcPr>
          <w:p w14:paraId="30E7C017" w14:textId="06DB4309" w:rsidR="00E93D87" w:rsidRDefault="00E93D87" w:rsidP="002A6C31">
            <w:r>
              <w:t>Notes (please add link(s) to relevant position papers publicly available):</w:t>
            </w:r>
          </w:p>
          <w:p w14:paraId="33ED71D5" w14:textId="778D5449" w:rsidR="00E93D87" w:rsidRDefault="00E93D87" w:rsidP="002A6C31"/>
        </w:tc>
      </w:tr>
    </w:tbl>
    <w:p w14:paraId="4648937C" w14:textId="77777777" w:rsidR="00AB1D45" w:rsidRDefault="00AB1D45" w:rsidP="00AB1D45"/>
    <w:tbl>
      <w:tblPr>
        <w:tblStyle w:val="TableGrid"/>
        <w:tblW w:w="0" w:type="auto"/>
        <w:tblLook w:val="04A0" w:firstRow="1" w:lastRow="0" w:firstColumn="1" w:lastColumn="0" w:noHBand="0" w:noVBand="1"/>
      </w:tblPr>
      <w:tblGrid>
        <w:gridCol w:w="9016"/>
      </w:tblGrid>
      <w:tr w:rsidR="00AB1D45" w:rsidRPr="00956452" w14:paraId="12BA9CC2" w14:textId="77777777" w:rsidTr="0007524A">
        <w:tc>
          <w:tcPr>
            <w:tcW w:w="9016" w:type="dxa"/>
          </w:tcPr>
          <w:p w14:paraId="694EE52B" w14:textId="77777777" w:rsidR="00AB1D45" w:rsidRPr="00956452" w:rsidRDefault="00AB1D45" w:rsidP="0007524A">
            <w:pPr>
              <w:pStyle w:val="Title"/>
              <w:numPr>
                <w:ilvl w:val="0"/>
                <w:numId w:val="0"/>
              </w:numPr>
            </w:pPr>
            <w:r>
              <w:t xml:space="preserve">Law: </w:t>
            </w:r>
          </w:p>
        </w:tc>
      </w:tr>
      <w:tr w:rsidR="00AB1D45" w14:paraId="19C67AED" w14:textId="77777777" w:rsidTr="0007524A">
        <w:tc>
          <w:tcPr>
            <w:tcW w:w="9016" w:type="dxa"/>
          </w:tcPr>
          <w:p w14:paraId="1C1C74CD" w14:textId="77777777" w:rsidR="00AB1D45" w:rsidRDefault="00AB1D45" w:rsidP="0007524A">
            <w:r>
              <w:t>Issues:</w:t>
            </w:r>
          </w:p>
          <w:p w14:paraId="0AB9AA67" w14:textId="77777777" w:rsidR="00AB1D45" w:rsidRDefault="00AB1D45" w:rsidP="0007524A">
            <w:pPr>
              <w:pStyle w:val="ListParagraph"/>
              <w:numPr>
                <w:ilvl w:val="0"/>
                <w:numId w:val="9"/>
              </w:numPr>
            </w:pPr>
            <w:r>
              <w:t>…</w:t>
            </w:r>
          </w:p>
          <w:p w14:paraId="0FCAE14D" w14:textId="77777777" w:rsidR="00AB1D45" w:rsidRDefault="00AB1D45" w:rsidP="0007524A">
            <w:pPr>
              <w:pStyle w:val="ListParagraph"/>
              <w:numPr>
                <w:ilvl w:val="0"/>
                <w:numId w:val="9"/>
              </w:numPr>
            </w:pPr>
            <w:r>
              <w:t>…</w:t>
            </w:r>
          </w:p>
          <w:p w14:paraId="7531FD11" w14:textId="77777777" w:rsidR="00AB1D45" w:rsidRDefault="00AB1D45" w:rsidP="0007524A">
            <w:pPr>
              <w:pStyle w:val="ListParagraph"/>
              <w:numPr>
                <w:ilvl w:val="0"/>
                <w:numId w:val="9"/>
              </w:numPr>
            </w:pPr>
            <w:r>
              <w:t>…</w:t>
            </w:r>
          </w:p>
        </w:tc>
      </w:tr>
      <w:tr w:rsidR="00AB1D45" w14:paraId="1009E765" w14:textId="77777777" w:rsidTr="0007524A">
        <w:tc>
          <w:tcPr>
            <w:tcW w:w="9016" w:type="dxa"/>
          </w:tcPr>
          <w:p w14:paraId="6E66926A" w14:textId="77777777" w:rsidR="00AB1D45" w:rsidRDefault="00AB1D45" w:rsidP="0007524A">
            <w:r>
              <w:t>Possible solutions:</w:t>
            </w:r>
          </w:p>
          <w:p w14:paraId="700BCED0" w14:textId="77777777" w:rsidR="00AB1D45" w:rsidRDefault="00AB1D45" w:rsidP="0007524A">
            <w:pPr>
              <w:pStyle w:val="ListParagraph"/>
              <w:numPr>
                <w:ilvl w:val="0"/>
                <w:numId w:val="10"/>
              </w:numPr>
            </w:pPr>
            <w:r>
              <w:t>…</w:t>
            </w:r>
          </w:p>
        </w:tc>
      </w:tr>
      <w:tr w:rsidR="00AB1D45" w14:paraId="01A486F3" w14:textId="77777777" w:rsidTr="0007524A">
        <w:tc>
          <w:tcPr>
            <w:tcW w:w="9016" w:type="dxa"/>
          </w:tcPr>
          <w:p w14:paraId="66FEBB78" w14:textId="77777777" w:rsidR="00AB1D45" w:rsidRDefault="00AB1D45" w:rsidP="0007524A">
            <w:r>
              <w:t>Notes (please add link(s) to relevant position papers publicly available):</w:t>
            </w:r>
          </w:p>
          <w:p w14:paraId="556AEA1F" w14:textId="77777777" w:rsidR="00AB1D45" w:rsidRDefault="00AB1D45" w:rsidP="0007524A"/>
        </w:tc>
      </w:tr>
    </w:tbl>
    <w:p w14:paraId="715FC791" w14:textId="77777777" w:rsidR="00C41966" w:rsidRDefault="00C41966" w:rsidP="00F010B5"/>
    <w:p w14:paraId="6E7276ED" w14:textId="77777777" w:rsidR="00AB1D45" w:rsidRDefault="00AB1D45" w:rsidP="00F010B5"/>
    <w:p w14:paraId="7824CCD8" w14:textId="77777777" w:rsidR="00AB1D45" w:rsidRDefault="00AB1D45">
      <w:pPr>
        <w:spacing w:after="160" w:line="259" w:lineRule="auto"/>
        <w:jc w:val="left"/>
        <w:rPr>
          <w:b/>
          <w:bCs/>
        </w:rPr>
      </w:pPr>
      <w:r>
        <w:rPr>
          <w:b/>
          <w:bCs/>
        </w:rPr>
        <w:br w:type="page"/>
      </w:r>
    </w:p>
    <w:p w14:paraId="13527D41" w14:textId="0B6D75B8" w:rsidR="002A2308" w:rsidRPr="001E29BD" w:rsidRDefault="00C24618" w:rsidP="001E29BD">
      <w:pPr>
        <w:pStyle w:val="ListParagraph"/>
        <w:numPr>
          <w:ilvl w:val="0"/>
          <w:numId w:val="11"/>
        </w:numPr>
        <w:rPr>
          <w:b/>
          <w:bCs/>
        </w:rPr>
      </w:pPr>
      <w:r w:rsidRPr="001E29BD">
        <w:rPr>
          <w:b/>
          <w:bCs/>
        </w:rPr>
        <w:lastRenderedPageBreak/>
        <w:t>In your view, what are the major contributions to sustainability for the medical devices sector obtainable from a better exploitation of requirements from the current MDR/IVDR?</w:t>
      </w:r>
    </w:p>
    <w:p w14:paraId="1FEB1FFF" w14:textId="02848388" w:rsidR="00C24618" w:rsidRPr="001E29BD" w:rsidRDefault="001E29BD" w:rsidP="001E29BD">
      <w:pPr>
        <w:ind w:left="360"/>
        <w:rPr>
          <w:i/>
          <w:iCs/>
          <w:sz w:val="20"/>
          <w:szCs w:val="20"/>
        </w:rPr>
      </w:pPr>
      <w:r w:rsidRPr="001E29BD">
        <w:rPr>
          <w:i/>
          <w:iCs/>
          <w:sz w:val="20"/>
          <w:szCs w:val="20"/>
        </w:rPr>
        <w:t xml:space="preserve">Note: please fill in the below </w:t>
      </w:r>
      <w:r w:rsidR="000701FA">
        <w:rPr>
          <w:i/>
          <w:iCs/>
          <w:sz w:val="20"/>
          <w:szCs w:val="20"/>
        </w:rPr>
        <w:t>box</w:t>
      </w:r>
      <w:r w:rsidRPr="001E29BD">
        <w:rPr>
          <w:i/>
          <w:iCs/>
          <w:sz w:val="20"/>
          <w:szCs w:val="20"/>
        </w:rPr>
        <w:t xml:space="preserve"> limiting the number of contributions to a maximum of </w:t>
      </w:r>
      <w:r>
        <w:rPr>
          <w:i/>
          <w:iCs/>
          <w:sz w:val="20"/>
          <w:szCs w:val="20"/>
        </w:rPr>
        <w:t>five ranking them by ease of implementation</w:t>
      </w:r>
      <w:r w:rsidRPr="001E29BD">
        <w:rPr>
          <w:i/>
          <w:iCs/>
          <w:sz w:val="20"/>
          <w:szCs w:val="20"/>
        </w:rPr>
        <w:t>.</w:t>
      </w:r>
      <w:r w:rsidR="000701FA">
        <w:rPr>
          <w:i/>
          <w:iCs/>
          <w:sz w:val="20"/>
          <w:szCs w:val="20"/>
        </w:rPr>
        <w:t xml:space="preserve"> Please</w:t>
      </w:r>
      <w:r w:rsidRPr="001E29BD">
        <w:rPr>
          <w:i/>
          <w:iCs/>
          <w:sz w:val="20"/>
          <w:szCs w:val="20"/>
        </w:rPr>
        <w:t xml:space="preserve"> </w:t>
      </w:r>
      <w:r w:rsidR="000701FA">
        <w:rPr>
          <w:i/>
          <w:iCs/>
          <w:sz w:val="20"/>
          <w:szCs w:val="20"/>
        </w:rPr>
        <w:t>l</w:t>
      </w:r>
      <w:r w:rsidRPr="001E29BD">
        <w:rPr>
          <w:i/>
          <w:iCs/>
          <w:sz w:val="20"/>
          <w:szCs w:val="20"/>
        </w:rPr>
        <w:t>imit the text to one page</w:t>
      </w:r>
      <w:r>
        <w:rPr>
          <w:i/>
          <w:iCs/>
          <w:sz w:val="20"/>
          <w:szCs w:val="20"/>
        </w:rPr>
        <w:t xml:space="preserve"> maximum</w:t>
      </w:r>
      <w:r w:rsidRPr="001E29BD">
        <w:rPr>
          <w:i/>
          <w:iCs/>
          <w:sz w:val="20"/>
          <w:szCs w:val="20"/>
        </w:rPr>
        <w:t>.</w:t>
      </w:r>
    </w:p>
    <w:p w14:paraId="77211501" w14:textId="77777777" w:rsidR="001E29BD" w:rsidRDefault="001E29BD" w:rsidP="00F010B5"/>
    <w:tbl>
      <w:tblPr>
        <w:tblStyle w:val="TableGrid"/>
        <w:tblW w:w="0" w:type="auto"/>
        <w:tblLook w:val="04A0" w:firstRow="1" w:lastRow="0" w:firstColumn="1" w:lastColumn="0" w:noHBand="0" w:noVBand="1"/>
      </w:tblPr>
      <w:tblGrid>
        <w:gridCol w:w="9016"/>
      </w:tblGrid>
      <w:tr w:rsidR="00C24618" w14:paraId="1F0A1B6D" w14:textId="77777777" w:rsidTr="0007524A">
        <w:tc>
          <w:tcPr>
            <w:tcW w:w="9016" w:type="dxa"/>
          </w:tcPr>
          <w:p w14:paraId="4561E429" w14:textId="070E5515" w:rsidR="00C24618" w:rsidRDefault="00C24618" w:rsidP="0007524A">
            <w:r>
              <w:t>Possible contributions:</w:t>
            </w:r>
          </w:p>
          <w:p w14:paraId="5F026DFE" w14:textId="7C9A7C7E" w:rsidR="00C24618" w:rsidRDefault="00C24618" w:rsidP="00AB1D45">
            <w:pPr>
              <w:pStyle w:val="ListParagraph"/>
              <w:numPr>
                <w:ilvl w:val="0"/>
                <w:numId w:val="10"/>
              </w:numPr>
            </w:pPr>
            <w:r>
              <w:t>…</w:t>
            </w:r>
          </w:p>
          <w:p w14:paraId="65AE4D30" w14:textId="77777777" w:rsidR="00C24618" w:rsidRDefault="00C24618" w:rsidP="0007524A">
            <w:pPr>
              <w:pStyle w:val="ListParagraph"/>
              <w:numPr>
                <w:ilvl w:val="0"/>
                <w:numId w:val="10"/>
              </w:numPr>
            </w:pPr>
            <w:r>
              <w:t>…</w:t>
            </w:r>
          </w:p>
          <w:p w14:paraId="577ADA00" w14:textId="748D846A" w:rsidR="00C24618" w:rsidRDefault="00C24618" w:rsidP="00C24618">
            <w:pPr>
              <w:pStyle w:val="ListParagraph"/>
              <w:numPr>
                <w:ilvl w:val="0"/>
                <w:numId w:val="10"/>
              </w:numPr>
            </w:pPr>
            <w:r>
              <w:t>…</w:t>
            </w:r>
          </w:p>
        </w:tc>
      </w:tr>
      <w:tr w:rsidR="00C24618" w14:paraId="4ED598F9" w14:textId="77777777" w:rsidTr="0007524A">
        <w:tc>
          <w:tcPr>
            <w:tcW w:w="9016" w:type="dxa"/>
          </w:tcPr>
          <w:p w14:paraId="61CAEDE0" w14:textId="77777777" w:rsidR="00C24618" w:rsidRDefault="00C24618" w:rsidP="0007524A">
            <w:r>
              <w:t>Notes (please add link(s) to relevant position papers publicly available):</w:t>
            </w:r>
          </w:p>
          <w:p w14:paraId="41149CF1" w14:textId="77777777" w:rsidR="00C24618" w:rsidRDefault="00C24618" w:rsidP="0007524A"/>
        </w:tc>
      </w:tr>
    </w:tbl>
    <w:p w14:paraId="4C2AED42" w14:textId="77777777" w:rsidR="00C24618" w:rsidRDefault="00C24618" w:rsidP="00F010B5"/>
    <w:p w14:paraId="3E1C6588" w14:textId="77777777" w:rsidR="00AB1D45" w:rsidRDefault="00AB1D45">
      <w:pPr>
        <w:spacing w:after="160" w:line="259" w:lineRule="auto"/>
        <w:jc w:val="left"/>
        <w:rPr>
          <w:b/>
          <w:bCs/>
        </w:rPr>
      </w:pPr>
      <w:r>
        <w:rPr>
          <w:b/>
          <w:bCs/>
        </w:rPr>
        <w:br w:type="page"/>
      </w:r>
    </w:p>
    <w:p w14:paraId="0114B2BC" w14:textId="434EB902" w:rsidR="00C24618" w:rsidRPr="00C41966" w:rsidRDefault="00C41966" w:rsidP="00F010B5">
      <w:pPr>
        <w:rPr>
          <w:b/>
          <w:bCs/>
        </w:rPr>
      </w:pPr>
      <w:r w:rsidRPr="00C41966">
        <w:rPr>
          <w:b/>
          <w:bCs/>
        </w:rPr>
        <w:lastRenderedPageBreak/>
        <w:t>Table 1.</w:t>
      </w:r>
    </w:p>
    <w:p w14:paraId="5A4E42D4" w14:textId="77777777" w:rsidR="00C41966" w:rsidRDefault="00C41966" w:rsidP="00F010B5"/>
    <w:tbl>
      <w:tblPr>
        <w:tblStyle w:val="TableGrid"/>
        <w:tblW w:w="0" w:type="auto"/>
        <w:tblLook w:val="04A0" w:firstRow="1" w:lastRow="0" w:firstColumn="1" w:lastColumn="0" w:noHBand="0" w:noVBand="1"/>
      </w:tblPr>
      <w:tblGrid>
        <w:gridCol w:w="1152"/>
        <w:gridCol w:w="1205"/>
        <w:gridCol w:w="4307"/>
        <w:gridCol w:w="2352"/>
      </w:tblGrid>
      <w:tr w:rsidR="00C41966" w:rsidRPr="00C41966" w14:paraId="20493343" w14:textId="77777777" w:rsidTr="000701FA">
        <w:trPr>
          <w:cantSplit/>
          <w:trHeight w:val="20"/>
          <w:tblHeader/>
        </w:trPr>
        <w:tc>
          <w:tcPr>
            <w:tcW w:w="1151" w:type="dxa"/>
            <w:noWrap/>
            <w:hideMark/>
          </w:tcPr>
          <w:p w14:paraId="6878F9E5" w14:textId="77777777" w:rsidR="00C41966" w:rsidRPr="00C41966" w:rsidRDefault="00C41966" w:rsidP="00C41966">
            <w:pPr>
              <w:rPr>
                <w:b/>
                <w:bCs/>
                <w:sz w:val="20"/>
                <w:szCs w:val="20"/>
              </w:rPr>
            </w:pPr>
            <w:r w:rsidRPr="00C41966">
              <w:rPr>
                <w:b/>
                <w:bCs/>
                <w:sz w:val="20"/>
                <w:szCs w:val="20"/>
              </w:rPr>
              <w:t>Type</w:t>
            </w:r>
          </w:p>
        </w:tc>
        <w:tc>
          <w:tcPr>
            <w:tcW w:w="1205" w:type="dxa"/>
            <w:noWrap/>
            <w:hideMark/>
          </w:tcPr>
          <w:p w14:paraId="0417A2CF" w14:textId="77777777" w:rsidR="00C41966" w:rsidRPr="00C41966" w:rsidRDefault="00C41966">
            <w:pPr>
              <w:rPr>
                <w:b/>
                <w:bCs/>
                <w:sz w:val="20"/>
                <w:szCs w:val="20"/>
              </w:rPr>
            </w:pPr>
            <w:r w:rsidRPr="00C41966">
              <w:rPr>
                <w:b/>
                <w:bCs/>
                <w:sz w:val="20"/>
                <w:szCs w:val="20"/>
              </w:rPr>
              <w:t>Ref.</w:t>
            </w:r>
          </w:p>
        </w:tc>
        <w:tc>
          <w:tcPr>
            <w:tcW w:w="4308" w:type="dxa"/>
            <w:noWrap/>
            <w:hideMark/>
          </w:tcPr>
          <w:p w14:paraId="19CD7FCC" w14:textId="77777777" w:rsidR="00C41966" w:rsidRPr="00C41966" w:rsidRDefault="00C41966">
            <w:pPr>
              <w:rPr>
                <w:b/>
                <w:bCs/>
                <w:sz w:val="20"/>
                <w:szCs w:val="20"/>
              </w:rPr>
            </w:pPr>
            <w:r w:rsidRPr="00C41966">
              <w:rPr>
                <w:b/>
                <w:bCs/>
                <w:sz w:val="20"/>
                <w:szCs w:val="20"/>
              </w:rPr>
              <w:t>Title</w:t>
            </w:r>
          </w:p>
        </w:tc>
        <w:tc>
          <w:tcPr>
            <w:tcW w:w="2352" w:type="dxa"/>
            <w:noWrap/>
            <w:hideMark/>
          </w:tcPr>
          <w:p w14:paraId="7BAC691B" w14:textId="77777777" w:rsidR="00C41966" w:rsidRPr="00C41966" w:rsidRDefault="00C41966">
            <w:pPr>
              <w:rPr>
                <w:b/>
                <w:bCs/>
                <w:sz w:val="20"/>
                <w:szCs w:val="20"/>
              </w:rPr>
            </w:pPr>
            <w:r w:rsidRPr="00C41966">
              <w:rPr>
                <w:b/>
                <w:bCs/>
                <w:sz w:val="20"/>
                <w:szCs w:val="20"/>
              </w:rPr>
              <w:t>Short title</w:t>
            </w:r>
          </w:p>
        </w:tc>
      </w:tr>
      <w:tr w:rsidR="00C41966" w:rsidRPr="00C41966" w14:paraId="16C33759" w14:textId="77777777" w:rsidTr="000701FA">
        <w:trPr>
          <w:cantSplit/>
          <w:trHeight w:val="20"/>
        </w:trPr>
        <w:tc>
          <w:tcPr>
            <w:tcW w:w="1151" w:type="dxa"/>
            <w:noWrap/>
            <w:hideMark/>
          </w:tcPr>
          <w:p w14:paraId="33404DF5" w14:textId="77777777" w:rsidR="00C41966" w:rsidRPr="00C41966" w:rsidRDefault="00C41966">
            <w:pPr>
              <w:rPr>
                <w:sz w:val="20"/>
                <w:szCs w:val="20"/>
              </w:rPr>
            </w:pPr>
            <w:r w:rsidRPr="00C41966">
              <w:rPr>
                <w:sz w:val="20"/>
                <w:szCs w:val="20"/>
              </w:rPr>
              <w:t>Regulation</w:t>
            </w:r>
          </w:p>
        </w:tc>
        <w:tc>
          <w:tcPr>
            <w:tcW w:w="1205" w:type="dxa"/>
            <w:noWrap/>
            <w:hideMark/>
          </w:tcPr>
          <w:p w14:paraId="44FB87D2" w14:textId="77777777" w:rsidR="00C41966" w:rsidRPr="00C41966" w:rsidRDefault="00C41966">
            <w:pPr>
              <w:rPr>
                <w:sz w:val="20"/>
                <w:szCs w:val="20"/>
              </w:rPr>
            </w:pPr>
            <w:r w:rsidRPr="00C41966">
              <w:rPr>
                <w:sz w:val="20"/>
                <w:szCs w:val="20"/>
              </w:rPr>
              <w:t>1272/2008</w:t>
            </w:r>
          </w:p>
        </w:tc>
        <w:tc>
          <w:tcPr>
            <w:tcW w:w="4308" w:type="dxa"/>
            <w:hideMark/>
          </w:tcPr>
          <w:p w14:paraId="009658A3" w14:textId="77777777" w:rsidR="00C41966" w:rsidRPr="00C41966" w:rsidRDefault="00C41966">
            <w:pPr>
              <w:rPr>
                <w:sz w:val="20"/>
                <w:szCs w:val="20"/>
              </w:rPr>
            </w:pPr>
            <w:r w:rsidRPr="00C41966">
              <w:rPr>
                <w:sz w:val="20"/>
                <w:szCs w:val="20"/>
              </w:rPr>
              <w:t>REGULATION (EC) No 1272/2008 OF THE EUROPEAN PARLIAMENT AND OF THE COUNCIL of 16 December 2008 on classification, labelling and packaging of substances and mixtures, amending and repealing Directives 67/548/EEC and 1999/45/EC, and amending Regulation (EC) No 1907/2006</w:t>
            </w:r>
          </w:p>
        </w:tc>
        <w:tc>
          <w:tcPr>
            <w:tcW w:w="2352" w:type="dxa"/>
            <w:hideMark/>
          </w:tcPr>
          <w:p w14:paraId="22D3146C" w14:textId="77777777" w:rsidR="00C41966" w:rsidRPr="00C41966" w:rsidRDefault="00C41966">
            <w:pPr>
              <w:rPr>
                <w:sz w:val="20"/>
                <w:szCs w:val="20"/>
              </w:rPr>
            </w:pPr>
            <w:r w:rsidRPr="00C41966">
              <w:rPr>
                <w:sz w:val="20"/>
                <w:szCs w:val="20"/>
              </w:rPr>
              <w:t>Classification, Labeling and Packaging of substances and mixtures (CLP)</w:t>
            </w:r>
          </w:p>
        </w:tc>
      </w:tr>
      <w:tr w:rsidR="00C41966" w:rsidRPr="00C41966" w14:paraId="3F6AD0D0" w14:textId="77777777" w:rsidTr="000701FA">
        <w:trPr>
          <w:cantSplit/>
          <w:trHeight w:val="20"/>
        </w:trPr>
        <w:tc>
          <w:tcPr>
            <w:tcW w:w="1151" w:type="dxa"/>
            <w:noWrap/>
            <w:hideMark/>
          </w:tcPr>
          <w:p w14:paraId="5A2F1494" w14:textId="77777777" w:rsidR="00C41966" w:rsidRPr="00C41966" w:rsidRDefault="00C41966">
            <w:pPr>
              <w:rPr>
                <w:sz w:val="20"/>
                <w:szCs w:val="20"/>
              </w:rPr>
            </w:pPr>
            <w:r w:rsidRPr="00C41966">
              <w:rPr>
                <w:sz w:val="20"/>
                <w:szCs w:val="20"/>
              </w:rPr>
              <w:t>Regulation</w:t>
            </w:r>
          </w:p>
        </w:tc>
        <w:tc>
          <w:tcPr>
            <w:tcW w:w="1205" w:type="dxa"/>
            <w:noWrap/>
            <w:hideMark/>
          </w:tcPr>
          <w:p w14:paraId="5B355FA6" w14:textId="77777777" w:rsidR="00C41966" w:rsidRPr="00C41966" w:rsidRDefault="00C41966">
            <w:pPr>
              <w:rPr>
                <w:sz w:val="20"/>
                <w:szCs w:val="20"/>
              </w:rPr>
            </w:pPr>
            <w:r w:rsidRPr="00C41966">
              <w:rPr>
                <w:sz w:val="20"/>
                <w:szCs w:val="20"/>
              </w:rPr>
              <w:t>1907/2006</w:t>
            </w:r>
          </w:p>
        </w:tc>
        <w:tc>
          <w:tcPr>
            <w:tcW w:w="4308" w:type="dxa"/>
            <w:hideMark/>
          </w:tcPr>
          <w:p w14:paraId="29A3386D" w14:textId="77777777" w:rsidR="00C41966" w:rsidRPr="00C41966" w:rsidRDefault="00C41966">
            <w:pPr>
              <w:rPr>
                <w:sz w:val="20"/>
                <w:szCs w:val="20"/>
              </w:rPr>
            </w:pPr>
            <w:r w:rsidRPr="00C41966">
              <w:rPr>
                <w:sz w:val="20"/>
                <w:szCs w:val="20"/>
              </w:rPr>
              <w:t>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w:t>
            </w:r>
          </w:p>
        </w:tc>
        <w:tc>
          <w:tcPr>
            <w:tcW w:w="2352" w:type="dxa"/>
            <w:hideMark/>
          </w:tcPr>
          <w:p w14:paraId="75B86E42" w14:textId="77777777" w:rsidR="00C41966" w:rsidRPr="00C41966" w:rsidRDefault="00C41966">
            <w:pPr>
              <w:rPr>
                <w:sz w:val="20"/>
                <w:szCs w:val="20"/>
              </w:rPr>
            </w:pPr>
            <w:r w:rsidRPr="00C41966">
              <w:rPr>
                <w:sz w:val="20"/>
                <w:szCs w:val="20"/>
              </w:rPr>
              <w:t>Registration, Evaluation, Authorisation and Restriction of Chemicals (REACH)</w:t>
            </w:r>
          </w:p>
        </w:tc>
      </w:tr>
      <w:tr w:rsidR="00C41966" w:rsidRPr="00C41966" w14:paraId="14A590CF" w14:textId="77777777" w:rsidTr="000701FA">
        <w:trPr>
          <w:cantSplit/>
          <w:trHeight w:val="20"/>
        </w:trPr>
        <w:tc>
          <w:tcPr>
            <w:tcW w:w="1151" w:type="dxa"/>
            <w:noWrap/>
            <w:hideMark/>
          </w:tcPr>
          <w:p w14:paraId="7FD998B2" w14:textId="77777777" w:rsidR="00C41966" w:rsidRPr="00C41966" w:rsidRDefault="00C41966">
            <w:pPr>
              <w:rPr>
                <w:sz w:val="20"/>
                <w:szCs w:val="20"/>
              </w:rPr>
            </w:pPr>
            <w:r w:rsidRPr="00C41966">
              <w:rPr>
                <w:sz w:val="20"/>
                <w:szCs w:val="20"/>
              </w:rPr>
              <w:t>Directive</w:t>
            </w:r>
          </w:p>
        </w:tc>
        <w:tc>
          <w:tcPr>
            <w:tcW w:w="1205" w:type="dxa"/>
            <w:noWrap/>
            <w:hideMark/>
          </w:tcPr>
          <w:p w14:paraId="59C3DC66" w14:textId="77777777" w:rsidR="00C41966" w:rsidRPr="00C41966" w:rsidRDefault="00C41966">
            <w:pPr>
              <w:rPr>
                <w:sz w:val="20"/>
                <w:szCs w:val="20"/>
              </w:rPr>
            </w:pPr>
            <w:r w:rsidRPr="00C41966">
              <w:rPr>
                <w:sz w:val="20"/>
                <w:szCs w:val="20"/>
              </w:rPr>
              <w:t>2011/65/EU</w:t>
            </w:r>
          </w:p>
        </w:tc>
        <w:tc>
          <w:tcPr>
            <w:tcW w:w="4308" w:type="dxa"/>
            <w:hideMark/>
          </w:tcPr>
          <w:p w14:paraId="49EB1915" w14:textId="77777777" w:rsidR="00C41966" w:rsidRPr="00C41966" w:rsidRDefault="00C41966">
            <w:pPr>
              <w:rPr>
                <w:sz w:val="20"/>
                <w:szCs w:val="20"/>
              </w:rPr>
            </w:pPr>
            <w:r w:rsidRPr="00C41966">
              <w:rPr>
                <w:sz w:val="20"/>
                <w:szCs w:val="20"/>
              </w:rPr>
              <w:t>DIRECTIVE 2011/65/EU OF THE EUROPEAN PARLIAMENT AND OF THE COUNCIL of 8 June 2011 on the restriction of the use of certain hazardous substances in electrical and electronic equipment</w:t>
            </w:r>
          </w:p>
        </w:tc>
        <w:tc>
          <w:tcPr>
            <w:tcW w:w="2352" w:type="dxa"/>
            <w:hideMark/>
          </w:tcPr>
          <w:p w14:paraId="5B2E2746" w14:textId="77777777" w:rsidR="00C41966" w:rsidRPr="00C41966" w:rsidRDefault="00C41966">
            <w:pPr>
              <w:rPr>
                <w:sz w:val="20"/>
                <w:szCs w:val="20"/>
              </w:rPr>
            </w:pPr>
            <w:r w:rsidRPr="00C41966">
              <w:rPr>
                <w:sz w:val="20"/>
                <w:szCs w:val="20"/>
              </w:rPr>
              <w:t>Restriction of Hazardous Substances in Electrical and Electronic Equipment (RoHS)</w:t>
            </w:r>
          </w:p>
        </w:tc>
      </w:tr>
      <w:tr w:rsidR="00C41966" w:rsidRPr="00C41966" w14:paraId="73A4EEBB" w14:textId="77777777" w:rsidTr="000701FA">
        <w:trPr>
          <w:cantSplit/>
          <w:trHeight w:val="20"/>
        </w:trPr>
        <w:tc>
          <w:tcPr>
            <w:tcW w:w="1151" w:type="dxa"/>
            <w:noWrap/>
            <w:hideMark/>
          </w:tcPr>
          <w:p w14:paraId="2EB109A7" w14:textId="77777777" w:rsidR="00C41966" w:rsidRPr="00C41966" w:rsidRDefault="00C41966">
            <w:pPr>
              <w:rPr>
                <w:sz w:val="20"/>
                <w:szCs w:val="20"/>
              </w:rPr>
            </w:pPr>
            <w:r w:rsidRPr="00C41966">
              <w:rPr>
                <w:sz w:val="20"/>
                <w:szCs w:val="20"/>
              </w:rPr>
              <w:t>Directive</w:t>
            </w:r>
          </w:p>
        </w:tc>
        <w:tc>
          <w:tcPr>
            <w:tcW w:w="1205" w:type="dxa"/>
            <w:noWrap/>
            <w:hideMark/>
          </w:tcPr>
          <w:p w14:paraId="58CC04D6" w14:textId="77777777" w:rsidR="00C41966" w:rsidRPr="00C41966" w:rsidRDefault="00C41966">
            <w:pPr>
              <w:rPr>
                <w:sz w:val="20"/>
                <w:szCs w:val="20"/>
              </w:rPr>
            </w:pPr>
            <w:r w:rsidRPr="00C41966">
              <w:rPr>
                <w:sz w:val="20"/>
                <w:szCs w:val="20"/>
              </w:rPr>
              <w:t>2012/19/EU</w:t>
            </w:r>
          </w:p>
        </w:tc>
        <w:tc>
          <w:tcPr>
            <w:tcW w:w="4308" w:type="dxa"/>
            <w:hideMark/>
          </w:tcPr>
          <w:p w14:paraId="25E27649" w14:textId="77777777" w:rsidR="00C41966" w:rsidRPr="00C41966" w:rsidRDefault="00C41966">
            <w:pPr>
              <w:rPr>
                <w:sz w:val="20"/>
                <w:szCs w:val="20"/>
              </w:rPr>
            </w:pPr>
            <w:r w:rsidRPr="00C41966">
              <w:rPr>
                <w:sz w:val="20"/>
                <w:szCs w:val="20"/>
              </w:rPr>
              <w:t>DIRECTIVE 2012/19/EU OF THE EUROPEAN PARLIAMENT AND OF THE COUNCIL of 4 July 2012 on waste electrical and electronic equipment (WEEE)</w:t>
            </w:r>
          </w:p>
        </w:tc>
        <w:tc>
          <w:tcPr>
            <w:tcW w:w="2352" w:type="dxa"/>
            <w:hideMark/>
          </w:tcPr>
          <w:p w14:paraId="7BE0A19D" w14:textId="77777777" w:rsidR="00C41966" w:rsidRPr="00C41966" w:rsidRDefault="00C41966">
            <w:pPr>
              <w:rPr>
                <w:sz w:val="20"/>
                <w:szCs w:val="20"/>
              </w:rPr>
            </w:pPr>
            <w:r w:rsidRPr="00C41966">
              <w:rPr>
                <w:sz w:val="20"/>
                <w:szCs w:val="20"/>
              </w:rPr>
              <w:t>Waste from Electrical and Electronic Equipment (WEEE)</w:t>
            </w:r>
          </w:p>
        </w:tc>
      </w:tr>
      <w:tr w:rsidR="00C41966" w:rsidRPr="00C41966" w14:paraId="535AFB88" w14:textId="77777777" w:rsidTr="000701FA">
        <w:trPr>
          <w:cantSplit/>
          <w:trHeight w:val="20"/>
        </w:trPr>
        <w:tc>
          <w:tcPr>
            <w:tcW w:w="1151" w:type="dxa"/>
            <w:noWrap/>
            <w:hideMark/>
          </w:tcPr>
          <w:p w14:paraId="19676EF4" w14:textId="77777777" w:rsidR="00C41966" w:rsidRPr="00C41966" w:rsidRDefault="00C41966">
            <w:pPr>
              <w:rPr>
                <w:sz w:val="20"/>
                <w:szCs w:val="20"/>
              </w:rPr>
            </w:pPr>
            <w:r w:rsidRPr="00C41966">
              <w:rPr>
                <w:sz w:val="20"/>
                <w:szCs w:val="20"/>
              </w:rPr>
              <w:t>Regulation</w:t>
            </w:r>
          </w:p>
        </w:tc>
        <w:tc>
          <w:tcPr>
            <w:tcW w:w="1205" w:type="dxa"/>
            <w:noWrap/>
            <w:hideMark/>
          </w:tcPr>
          <w:p w14:paraId="30183339" w14:textId="77777777" w:rsidR="00C41966" w:rsidRPr="00C41966" w:rsidRDefault="00C41966">
            <w:pPr>
              <w:rPr>
                <w:sz w:val="20"/>
                <w:szCs w:val="20"/>
              </w:rPr>
            </w:pPr>
            <w:r w:rsidRPr="00C41966">
              <w:rPr>
                <w:sz w:val="20"/>
                <w:szCs w:val="20"/>
              </w:rPr>
              <w:t>2017/852</w:t>
            </w:r>
          </w:p>
        </w:tc>
        <w:tc>
          <w:tcPr>
            <w:tcW w:w="4308" w:type="dxa"/>
            <w:hideMark/>
          </w:tcPr>
          <w:p w14:paraId="2B71EE78" w14:textId="77777777" w:rsidR="00C41966" w:rsidRPr="00C41966" w:rsidRDefault="00C41966">
            <w:pPr>
              <w:rPr>
                <w:sz w:val="20"/>
                <w:szCs w:val="20"/>
              </w:rPr>
            </w:pPr>
            <w:r w:rsidRPr="00C41966">
              <w:rPr>
                <w:sz w:val="20"/>
                <w:szCs w:val="20"/>
              </w:rPr>
              <w:t>REGULATION (EU) 2017/852 OF THE EUROPEAN PARLIAMENT AND OF THE COUNCIL of 17 May 2017 on mercury, and repealing Regulation (EC) No 1102/2008</w:t>
            </w:r>
          </w:p>
        </w:tc>
        <w:tc>
          <w:tcPr>
            <w:tcW w:w="2352" w:type="dxa"/>
            <w:hideMark/>
          </w:tcPr>
          <w:p w14:paraId="4CD6467D" w14:textId="77777777" w:rsidR="00C41966" w:rsidRPr="00C41966" w:rsidRDefault="00C41966">
            <w:pPr>
              <w:rPr>
                <w:sz w:val="20"/>
                <w:szCs w:val="20"/>
              </w:rPr>
            </w:pPr>
            <w:r w:rsidRPr="00C41966">
              <w:rPr>
                <w:sz w:val="20"/>
                <w:szCs w:val="20"/>
              </w:rPr>
              <w:t>Mercury regulation</w:t>
            </w:r>
          </w:p>
        </w:tc>
      </w:tr>
      <w:tr w:rsidR="00C41966" w:rsidRPr="00C41966" w14:paraId="335C0BE4" w14:textId="77777777" w:rsidTr="000701FA">
        <w:trPr>
          <w:cantSplit/>
          <w:trHeight w:val="20"/>
        </w:trPr>
        <w:tc>
          <w:tcPr>
            <w:tcW w:w="1151" w:type="dxa"/>
            <w:noWrap/>
            <w:hideMark/>
          </w:tcPr>
          <w:p w14:paraId="64706D3E" w14:textId="77777777" w:rsidR="00C41966" w:rsidRPr="00C41966" w:rsidRDefault="00C41966">
            <w:pPr>
              <w:rPr>
                <w:sz w:val="20"/>
                <w:szCs w:val="20"/>
              </w:rPr>
            </w:pPr>
            <w:r w:rsidRPr="00C41966">
              <w:rPr>
                <w:sz w:val="20"/>
                <w:szCs w:val="20"/>
              </w:rPr>
              <w:t>Convention</w:t>
            </w:r>
          </w:p>
        </w:tc>
        <w:tc>
          <w:tcPr>
            <w:tcW w:w="1205" w:type="dxa"/>
            <w:noWrap/>
            <w:hideMark/>
          </w:tcPr>
          <w:p w14:paraId="481BBF63" w14:textId="77777777" w:rsidR="00C41966" w:rsidRPr="00C41966" w:rsidRDefault="00C41966">
            <w:pPr>
              <w:rPr>
                <w:sz w:val="20"/>
                <w:szCs w:val="20"/>
              </w:rPr>
            </w:pPr>
            <w:r w:rsidRPr="00C41966">
              <w:rPr>
                <w:sz w:val="20"/>
                <w:szCs w:val="20"/>
              </w:rPr>
              <w:t>/</w:t>
            </w:r>
          </w:p>
        </w:tc>
        <w:tc>
          <w:tcPr>
            <w:tcW w:w="4308" w:type="dxa"/>
            <w:hideMark/>
          </w:tcPr>
          <w:p w14:paraId="6B8A06F6" w14:textId="77777777" w:rsidR="00C41966" w:rsidRPr="00C41966" w:rsidRDefault="00C41966">
            <w:pPr>
              <w:rPr>
                <w:sz w:val="20"/>
                <w:szCs w:val="20"/>
              </w:rPr>
            </w:pPr>
            <w:r w:rsidRPr="00C41966">
              <w:rPr>
                <w:sz w:val="20"/>
                <w:szCs w:val="20"/>
              </w:rPr>
              <w:t>Stockholm Convention on persistent organic pollutants (POPs)</w:t>
            </w:r>
          </w:p>
        </w:tc>
        <w:tc>
          <w:tcPr>
            <w:tcW w:w="2352" w:type="dxa"/>
            <w:hideMark/>
          </w:tcPr>
          <w:p w14:paraId="293A0EF1" w14:textId="77777777" w:rsidR="00C41966" w:rsidRPr="00C41966" w:rsidRDefault="00C41966">
            <w:pPr>
              <w:rPr>
                <w:sz w:val="20"/>
                <w:szCs w:val="20"/>
              </w:rPr>
            </w:pPr>
            <w:r w:rsidRPr="00C41966">
              <w:rPr>
                <w:sz w:val="20"/>
                <w:szCs w:val="20"/>
              </w:rPr>
              <w:t>Stockholm Convention</w:t>
            </w:r>
          </w:p>
        </w:tc>
      </w:tr>
      <w:tr w:rsidR="00C41966" w:rsidRPr="00C41966" w14:paraId="47ADDA37" w14:textId="77777777" w:rsidTr="000701FA">
        <w:trPr>
          <w:cantSplit/>
          <w:trHeight w:val="20"/>
        </w:trPr>
        <w:tc>
          <w:tcPr>
            <w:tcW w:w="1151" w:type="dxa"/>
            <w:noWrap/>
            <w:hideMark/>
          </w:tcPr>
          <w:p w14:paraId="6D410996" w14:textId="77777777" w:rsidR="00C41966" w:rsidRPr="00C41966" w:rsidRDefault="00C41966">
            <w:pPr>
              <w:rPr>
                <w:sz w:val="20"/>
                <w:szCs w:val="20"/>
              </w:rPr>
            </w:pPr>
            <w:r w:rsidRPr="00C41966">
              <w:rPr>
                <w:sz w:val="20"/>
                <w:szCs w:val="20"/>
              </w:rPr>
              <w:t>Regulation</w:t>
            </w:r>
          </w:p>
        </w:tc>
        <w:tc>
          <w:tcPr>
            <w:tcW w:w="1205" w:type="dxa"/>
            <w:noWrap/>
            <w:hideMark/>
          </w:tcPr>
          <w:p w14:paraId="73199E93" w14:textId="77777777" w:rsidR="00C41966" w:rsidRPr="00C41966" w:rsidRDefault="00C41966">
            <w:pPr>
              <w:rPr>
                <w:sz w:val="20"/>
                <w:szCs w:val="20"/>
              </w:rPr>
            </w:pPr>
            <w:r w:rsidRPr="00C41966">
              <w:rPr>
                <w:sz w:val="20"/>
                <w:szCs w:val="20"/>
              </w:rPr>
              <w:t>2019/1021</w:t>
            </w:r>
          </w:p>
        </w:tc>
        <w:tc>
          <w:tcPr>
            <w:tcW w:w="4308" w:type="dxa"/>
            <w:hideMark/>
          </w:tcPr>
          <w:p w14:paraId="38E55A93" w14:textId="77777777" w:rsidR="00C41966" w:rsidRPr="00C41966" w:rsidRDefault="00C41966">
            <w:pPr>
              <w:rPr>
                <w:sz w:val="20"/>
                <w:szCs w:val="20"/>
              </w:rPr>
            </w:pPr>
            <w:r w:rsidRPr="00C41966">
              <w:rPr>
                <w:sz w:val="20"/>
                <w:szCs w:val="20"/>
              </w:rPr>
              <w:t>REGULATION (EU) 2019/1021 OF THE EUROPEAN PARLIAMENT AND OF THE COUNCIL of 20 June 2019 on persistent organic pollutants</w:t>
            </w:r>
          </w:p>
        </w:tc>
        <w:tc>
          <w:tcPr>
            <w:tcW w:w="2352" w:type="dxa"/>
            <w:hideMark/>
          </w:tcPr>
          <w:p w14:paraId="51D085E7" w14:textId="77777777" w:rsidR="00C41966" w:rsidRPr="00C41966" w:rsidRDefault="00C41966">
            <w:pPr>
              <w:rPr>
                <w:sz w:val="20"/>
                <w:szCs w:val="20"/>
              </w:rPr>
            </w:pPr>
            <w:r w:rsidRPr="00C41966">
              <w:rPr>
                <w:sz w:val="20"/>
                <w:szCs w:val="20"/>
              </w:rPr>
              <w:t>POPs regulation</w:t>
            </w:r>
          </w:p>
        </w:tc>
      </w:tr>
      <w:tr w:rsidR="00C41966" w:rsidRPr="00C41966" w14:paraId="50290196" w14:textId="77777777" w:rsidTr="000701FA">
        <w:trPr>
          <w:cantSplit/>
          <w:trHeight w:val="20"/>
        </w:trPr>
        <w:tc>
          <w:tcPr>
            <w:tcW w:w="1151" w:type="dxa"/>
            <w:noWrap/>
            <w:hideMark/>
          </w:tcPr>
          <w:p w14:paraId="73994E03" w14:textId="77777777" w:rsidR="00C41966" w:rsidRPr="00C41966" w:rsidRDefault="00C41966">
            <w:pPr>
              <w:rPr>
                <w:sz w:val="20"/>
                <w:szCs w:val="20"/>
              </w:rPr>
            </w:pPr>
            <w:r w:rsidRPr="00C41966">
              <w:rPr>
                <w:sz w:val="20"/>
                <w:szCs w:val="20"/>
              </w:rPr>
              <w:t>Regulation</w:t>
            </w:r>
          </w:p>
        </w:tc>
        <w:tc>
          <w:tcPr>
            <w:tcW w:w="1205" w:type="dxa"/>
            <w:noWrap/>
            <w:hideMark/>
          </w:tcPr>
          <w:p w14:paraId="5B52C7B8" w14:textId="77777777" w:rsidR="00C41966" w:rsidRPr="00C41966" w:rsidRDefault="00C41966">
            <w:pPr>
              <w:rPr>
                <w:sz w:val="20"/>
                <w:szCs w:val="20"/>
              </w:rPr>
            </w:pPr>
            <w:r w:rsidRPr="00C41966">
              <w:rPr>
                <w:sz w:val="20"/>
                <w:szCs w:val="20"/>
              </w:rPr>
              <w:t>517/2014</w:t>
            </w:r>
          </w:p>
        </w:tc>
        <w:tc>
          <w:tcPr>
            <w:tcW w:w="4308" w:type="dxa"/>
            <w:hideMark/>
          </w:tcPr>
          <w:p w14:paraId="11C4B6C9" w14:textId="77777777" w:rsidR="00C41966" w:rsidRPr="00C41966" w:rsidRDefault="00C41966">
            <w:pPr>
              <w:rPr>
                <w:sz w:val="20"/>
                <w:szCs w:val="20"/>
              </w:rPr>
            </w:pPr>
            <w:r w:rsidRPr="00C41966">
              <w:rPr>
                <w:sz w:val="20"/>
                <w:szCs w:val="20"/>
              </w:rPr>
              <w:t>REGULATION (EU) No 517/2014 OF THE EUROPEAN PARLIAMENT AND OF THE COUNCIL of 16 April 2014 on fluorinated greenhouse gases and repealing Regulation (EC) No 842/2006</w:t>
            </w:r>
          </w:p>
        </w:tc>
        <w:tc>
          <w:tcPr>
            <w:tcW w:w="2352" w:type="dxa"/>
            <w:hideMark/>
          </w:tcPr>
          <w:p w14:paraId="42A507CC" w14:textId="77777777" w:rsidR="00C41966" w:rsidRPr="00C41966" w:rsidRDefault="00C41966">
            <w:pPr>
              <w:rPr>
                <w:sz w:val="20"/>
                <w:szCs w:val="20"/>
              </w:rPr>
            </w:pPr>
            <w:r w:rsidRPr="00C41966">
              <w:rPr>
                <w:sz w:val="20"/>
                <w:szCs w:val="20"/>
              </w:rPr>
              <w:t>F-Gases regulation</w:t>
            </w:r>
          </w:p>
        </w:tc>
      </w:tr>
      <w:tr w:rsidR="00C41966" w:rsidRPr="00C41966" w14:paraId="5D8624AF" w14:textId="77777777" w:rsidTr="000701FA">
        <w:trPr>
          <w:cantSplit/>
          <w:trHeight w:val="20"/>
        </w:trPr>
        <w:tc>
          <w:tcPr>
            <w:tcW w:w="1151" w:type="dxa"/>
            <w:noWrap/>
            <w:hideMark/>
          </w:tcPr>
          <w:p w14:paraId="502EC796" w14:textId="77777777" w:rsidR="00C41966" w:rsidRPr="00C41966" w:rsidRDefault="00C41966">
            <w:pPr>
              <w:rPr>
                <w:sz w:val="20"/>
                <w:szCs w:val="20"/>
              </w:rPr>
            </w:pPr>
            <w:r w:rsidRPr="00C41966">
              <w:rPr>
                <w:sz w:val="20"/>
                <w:szCs w:val="20"/>
              </w:rPr>
              <w:t>Regulation</w:t>
            </w:r>
          </w:p>
        </w:tc>
        <w:tc>
          <w:tcPr>
            <w:tcW w:w="1205" w:type="dxa"/>
            <w:noWrap/>
            <w:hideMark/>
          </w:tcPr>
          <w:p w14:paraId="2DAB9524" w14:textId="77777777" w:rsidR="00C41966" w:rsidRPr="00C41966" w:rsidRDefault="00C41966">
            <w:pPr>
              <w:rPr>
                <w:sz w:val="20"/>
                <w:szCs w:val="20"/>
              </w:rPr>
            </w:pPr>
            <w:r w:rsidRPr="00C41966">
              <w:rPr>
                <w:sz w:val="20"/>
                <w:szCs w:val="20"/>
              </w:rPr>
              <w:t>2024/1781</w:t>
            </w:r>
          </w:p>
        </w:tc>
        <w:tc>
          <w:tcPr>
            <w:tcW w:w="4308" w:type="dxa"/>
            <w:hideMark/>
          </w:tcPr>
          <w:p w14:paraId="2A856324" w14:textId="77777777" w:rsidR="00C41966" w:rsidRPr="00C41966" w:rsidRDefault="00C41966">
            <w:pPr>
              <w:rPr>
                <w:sz w:val="20"/>
                <w:szCs w:val="20"/>
              </w:rPr>
            </w:pPr>
            <w:r w:rsidRPr="00C41966">
              <w:rPr>
                <w:sz w:val="20"/>
                <w:szCs w:val="20"/>
              </w:rPr>
              <w:t>REGULATION (EU) 2024/1781 OF THE EUROPEAN PARLIAMENT AND OF THE COUNCIL of 13 June 2024 establishing a framework for the setting of ecodesign requirements for sustainable products, amending Directive (EU) 2020/1828 and Regulation (EU) 2023/1542 and repealing Directive 2009/125/EC</w:t>
            </w:r>
          </w:p>
        </w:tc>
        <w:tc>
          <w:tcPr>
            <w:tcW w:w="2352" w:type="dxa"/>
            <w:hideMark/>
          </w:tcPr>
          <w:p w14:paraId="5A39267B" w14:textId="77777777" w:rsidR="00C41966" w:rsidRPr="00C41966" w:rsidRDefault="00C41966">
            <w:pPr>
              <w:rPr>
                <w:sz w:val="20"/>
                <w:szCs w:val="20"/>
              </w:rPr>
            </w:pPr>
            <w:r w:rsidRPr="00C41966">
              <w:rPr>
                <w:sz w:val="20"/>
                <w:szCs w:val="20"/>
              </w:rPr>
              <w:t>Ecodesign (ESPR)</w:t>
            </w:r>
          </w:p>
        </w:tc>
      </w:tr>
      <w:tr w:rsidR="00C41966" w:rsidRPr="00C41966" w14:paraId="10297029" w14:textId="77777777" w:rsidTr="000701FA">
        <w:trPr>
          <w:cantSplit/>
          <w:trHeight w:val="20"/>
        </w:trPr>
        <w:tc>
          <w:tcPr>
            <w:tcW w:w="1151" w:type="dxa"/>
            <w:noWrap/>
            <w:hideMark/>
          </w:tcPr>
          <w:p w14:paraId="7E3A2BE8" w14:textId="77777777" w:rsidR="00C41966" w:rsidRPr="00C41966" w:rsidRDefault="00C41966">
            <w:pPr>
              <w:rPr>
                <w:sz w:val="20"/>
                <w:szCs w:val="20"/>
              </w:rPr>
            </w:pPr>
            <w:r w:rsidRPr="00C41966">
              <w:rPr>
                <w:sz w:val="20"/>
                <w:szCs w:val="20"/>
              </w:rPr>
              <w:t>Regulation</w:t>
            </w:r>
          </w:p>
        </w:tc>
        <w:tc>
          <w:tcPr>
            <w:tcW w:w="1205" w:type="dxa"/>
            <w:noWrap/>
            <w:hideMark/>
          </w:tcPr>
          <w:p w14:paraId="18B3576C" w14:textId="77777777" w:rsidR="00C41966" w:rsidRPr="00C41966" w:rsidRDefault="00C41966">
            <w:pPr>
              <w:rPr>
                <w:sz w:val="20"/>
                <w:szCs w:val="20"/>
              </w:rPr>
            </w:pPr>
            <w:r w:rsidRPr="00C41966">
              <w:rPr>
                <w:sz w:val="20"/>
                <w:szCs w:val="20"/>
              </w:rPr>
              <w:t>2023/1542</w:t>
            </w:r>
          </w:p>
        </w:tc>
        <w:tc>
          <w:tcPr>
            <w:tcW w:w="4308" w:type="dxa"/>
            <w:hideMark/>
          </w:tcPr>
          <w:p w14:paraId="332D92B1" w14:textId="77777777" w:rsidR="00C41966" w:rsidRPr="00C41966" w:rsidRDefault="00C41966">
            <w:pPr>
              <w:rPr>
                <w:sz w:val="20"/>
                <w:szCs w:val="20"/>
              </w:rPr>
            </w:pPr>
            <w:r w:rsidRPr="00C41966">
              <w:rPr>
                <w:sz w:val="20"/>
                <w:szCs w:val="20"/>
              </w:rPr>
              <w:t>REGULATION (EU) 2023/1542 OF THE EUROPEAN PARLIAMENT AND OF THE COUNCIL of 12 July 2023 concerning batteries and waste batteries, amending Directive 2008/98/EC and Regulation (EU) 2019/1020 and repealing Directive 2006/66/EC</w:t>
            </w:r>
          </w:p>
        </w:tc>
        <w:tc>
          <w:tcPr>
            <w:tcW w:w="2352" w:type="dxa"/>
            <w:hideMark/>
          </w:tcPr>
          <w:p w14:paraId="76615C93" w14:textId="77777777" w:rsidR="00C41966" w:rsidRPr="00C41966" w:rsidRDefault="00C41966">
            <w:pPr>
              <w:rPr>
                <w:sz w:val="20"/>
                <w:szCs w:val="20"/>
              </w:rPr>
            </w:pPr>
            <w:r w:rsidRPr="00C41966">
              <w:rPr>
                <w:sz w:val="20"/>
                <w:szCs w:val="20"/>
              </w:rPr>
              <w:t xml:space="preserve">Batteries and waste batteries </w:t>
            </w:r>
          </w:p>
        </w:tc>
      </w:tr>
      <w:tr w:rsidR="00C41966" w:rsidRPr="00C41966" w14:paraId="373CA153" w14:textId="77777777" w:rsidTr="000701FA">
        <w:trPr>
          <w:cantSplit/>
          <w:trHeight w:val="20"/>
        </w:trPr>
        <w:tc>
          <w:tcPr>
            <w:tcW w:w="1151" w:type="dxa"/>
            <w:noWrap/>
            <w:hideMark/>
          </w:tcPr>
          <w:p w14:paraId="20C09902" w14:textId="77777777" w:rsidR="00C41966" w:rsidRPr="00C41966" w:rsidRDefault="00C41966">
            <w:pPr>
              <w:rPr>
                <w:sz w:val="20"/>
                <w:szCs w:val="20"/>
              </w:rPr>
            </w:pPr>
            <w:r w:rsidRPr="00C41966">
              <w:rPr>
                <w:sz w:val="20"/>
                <w:szCs w:val="20"/>
              </w:rPr>
              <w:lastRenderedPageBreak/>
              <w:t>Regulation</w:t>
            </w:r>
          </w:p>
        </w:tc>
        <w:tc>
          <w:tcPr>
            <w:tcW w:w="1205" w:type="dxa"/>
            <w:noWrap/>
            <w:hideMark/>
          </w:tcPr>
          <w:p w14:paraId="17BA997A" w14:textId="77777777" w:rsidR="00C41966" w:rsidRPr="00C41966" w:rsidRDefault="00C41966">
            <w:pPr>
              <w:rPr>
                <w:sz w:val="20"/>
                <w:szCs w:val="20"/>
              </w:rPr>
            </w:pPr>
            <w:r w:rsidRPr="00C41966">
              <w:rPr>
                <w:sz w:val="20"/>
                <w:szCs w:val="20"/>
              </w:rPr>
              <w:t>528/2021</w:t>
            </w:r>
          </w:p>
        </w:tc>
        <w:tc>
          <w:tcPr>
            <w:tcW w:w="4308" w:type="dxa"/>
            <w:hideMark/>
          </w:tcPr>
          <w:p w14:paraId="6C9E9630" w14:textId="77777777" w:rsidR="00C41966" w:rsidRPr="00C41966" w:rsidRDefault="00C41966">
            <w:pPr>
              <w:rPr>
                <w:sz w:val="20"/>
                <w:szCs w:val="20"/>
              </w:rPr>
            </w:pPr>
            <w:r w:rsidRPr="00C41966">
              <w:rPr>
                <w:sz w:val="20"/>
                <w:szCs w:val="20"/>
              </w:rPr>
              <w:t>REGULATION (EU) No 528/2012 OF THE EUROPEAN PARLIAMENT AND OF THE COUNCIL of 22 May 2012 concerning the making available on the market and use of biocidal products</w:t>
            </w:r>
          </w:p>
        </w:tc>
        <w:tc>
          <w:tcPr>
            <w:tcW w:w="2352" w:type="dxa"/>
            <w:hideMark/>
          </w:tcPr>
          <w:p w14:paraId="1AF4AA79" w14:textId="77777777" w:rsidR="00C41966" w:rsidRPr="00C41966" w:rsidRDefault="00C41966">
            <w:pPr>
              <w:rPr>
                <w:sz w:val="20"/>
                <w:szCs w:val="20"/>
              </w:rPr>
            </w:pPr>
            <w:r w:rsidRPr="00C41966">
              <w:rPr>
                <w:sz w:val="20"/>
                <w:szCs w:val="20"/>
              </w:rPr>
              <w:t>Biocidal Products Regulation (BPR)</w:t>
            </w:r>
          </w:p>
        </w:tc>
      </w:tr>
      <w:tr w:rsidR="00C41966" w:rsidRPr="00C41966" w14:paraId="70D62A7D" w14:textId="77777777" w:rsidTr="000701FA">
        <w:trPr>
          <w:cantSplit/>
          <w:trHeight w:val="20"/>
        </w:trPr>
        <w:tc>
          <w:tcPr>
            <w:tcW w:w="1151" w:type="dxa"/>
            <w:noWrap/>
            <w:hideMark/>
          </w:tcPr>
          <w:p w14:paraId="2C05BDED" w14:textId="77777777" w:rsidR="00C41966" w:rsidRPr="00C41966" w:rsidRDefault="00C41966">
            <w:pPr>
              <w:rPr>
                <w:sz w:val="20"/>
                <w:szCs w:val="20"/>
              </w:rPr>
            </w:pPr>
            <w:r w:rsidRPr="00C41966">
              <w:rPr>
                <w:sz w:val="20"/>
                <w:szCs w:val="20"/>
              </w:rPr>
              <w:t>Directive</w:t>
            </w:r>
          </w:p>
        </w:tc>
        <w:tc>
          <w:tcPr>
            <w:tcW w:w="1205" w:type="dxa"/>
            <w:noWrap/>
            <w:hideMark/>
          </w:tcPr>
          <w:p w14:paraId="7353FF97" w14:textId="77777777" w:rsidR="00C41966" w:rsidRPr="00C41966" w:rsidRDefault="00C41966">
            <w:pPr>
              <w:rPr>
                <w:sz w:val="20"/>
                <w:szCs w:val="20"/>
              </w:rPr>
            </w:pPr>
            <w:r w:rsidRPr="00C41966">
              <w:rPr>
                <w:sz w:val="20"/>
                <w:szCs w:val="20"/>
              </w:rPr>
              <w:t>2024/1799</w:t>
            </w:r>
          </w:p>
        </w:tc>
        <w:tc>
          <w:tcPr>
            <w:tcW w:w="4308" w:type="dxa"/>
            <w:hideMark/>
          </w:tcPr>
          <w:p w14:paraId="78814388" w14:textId="77777777" w:rsidR="00C41966" w:rsidRPr="00C41966" w:rsidRDefault="00C41966">
            <w:pPr>
              <w:rPr>
                <w:sz w:val="20"/>
                <w:szCs w:val="20"/>
              </w:rPr>
            </w:pPr>
            <w:r w:rsidRPr="00C41966">
              <w:rPr>
                <w:sz w:val="20"/>
                <w:szCs w:val="20"/>
              </w:rPr>
              <w:t>DIRECTIVE (EU) 2024/1799 OF THE EUROPEAN PARLIAMENT AND OF THE COUNCIL of 13 June 2024 on common rules promoting the repair of goods and amending Regulation (EU) 2017/2394 and Directives (EU) 2019/771 and (EU) 2020/1828</w:t>
            </w:r>
          </w:p>
        </w:tc>
        <w:tc>
          <w:tcPr>
            <w:tcW w:w="2352" w:type="dxa"/>
            <w:hideMark/>
          </w:tcPr>
          <w:p w14:paraId="1208A608" w14:textId="77777777" w:rsidR="00C41966" w:rsidRPr="00C41966" w:rsidRDefault="00C41966">
            <w:pPr>
              <w:rPr>
                <w:sz w:val="20"/>
                <w:szCs w:val="20"/>
              </w:rPr>
            </w:pPr>
            <w:r w:rsidRPr="00C41966">
              <w:rPr>
                <w:sz w:val="20"/>
                <w:szCs w:val="20"/>
              </w:rPr>
              <w:t>Repair of goods</w:t>
            </w:r>
          </w:p>
        </w:tc>
      </w:tr>
      <w:tr w:rsidR="00C41966" w:rsidRPr="00C41966" w14:paraId="509C8C90" w14:textId="77777777" w:rsidTr="000701FA">
        <w:trPr>
          <w:cantSplit/>
          <w:trHeight w:val="20"/>
        </w:trPr>
        <w:tc>
          <w:tcPr>
            <w:tcW w:w="1151" w:type="dxa"/>
            <w:noWrap/>
            <w:hideMark/>
          </w:tcPr>
          <w:p w14:paraId="6328F658" w14:textId="77777777" w:rsidR="00C41966" w:rsidRPr="00C41966" w:rsidRDefault="00C41966">
            <w:pPr>
              <w:rPr>
                <w:sz w:val="20"/>
                <w:szCs w:val="20"/>
              </w:rPr>
            </w:pPr>
            <w:r w:rsidRPr="00C41966">
              <w:rPr>
                <w:sz w:val="20"/>
                <w:szCs w:val="20"/>
              </w:rPr>
              <w:t>Regulation</w:t>
            </w:r>
          </w:p>
        </w:tc>
        <w:tc>
          <w:tcPr>
            <w:tcW w:w="1205" w:type="dxa"/>
            <w:noWrap/>
            <w:hideMark/>
          </w:tcPr>
          <w:p w14:paraId="357F6E67" w14:textId="77777777" w:rsidR="00C41966" w:rsidRPr="00C41966" w:rsidRDefault="00C41966">
            <w:pPr>
              <w:rPr>
                <w:sz w:val="20"/>
                <w:szCs w:val="20"/>
              </w:rPr>
            </w:pPr>
            <w:r w:rsidRPr="00C41966">
              <w:rPr>
                <w:sz w:val="20"/>
                <w:szCs w:val="20"/>
              </w:rPr>
              <w:t>2017/821</w:t>
            </w:r>
          </w:p>
        </w:tc>
        <w:tc>
          <w:tcPr>
            <w:tcW w:w="4308" w:type="dxa"/>
            <w:hideMark/>
          </w:tcPr>
          <w:p w14:paraId="74BB367D" w14:textId="77777777" w:rsidR="00C41966" w:rsidRPr="00C41966" w:rsidRDefault="00C41966">
            <w:pPr>
              <w:rPr>
                <w:sz w:val="20"/>
                <w:szCs w:val="20"/>
              </w:rPr>
            </w:pPr>
            <w:r w:rsidRPr="00C41966">
              <w:rPr>
                <w:sz w:val="20"/>
                <w:szCs w:val="20"/>
              </w:rPr>
              <w:t>Regulation (EU) 2017/821 of the European Parliament and of the Council of 17 May 2017 laying down supply chain due diligence obligations for Union importers of tin, tantalum and tungsten, their ores, and gold originating from conflict-affected and high-risk areas</w:t>
            </w:r>
          </w:p>
        </w:tc>
        <w:tc>
          <w:tcPr>
            <w:tcW w:w="2352" w:type="dxa"/>
            <w:hideMark/>
          </w:tcPr>
          <w:p w14:paraId="4D2647C7" w14:textId="77777777" w:rsidR="00C41966" w:rsidRPr="00C41966" w:rsidRDefault="00C41966">
            <w:pPr>
              <w:rPr>
                <w:sz w:val="20"/>
                <w:szCs w:val="20"/>
              </w:rPr>
            </w:pPr>
            <w:r w:rsidRPr="00C41966">
              <w:rPr>
                <w:sz w:val="20"/>
                <w:szCs w:val="20"/>
              </w:rPr>
              <w:t xml:space="preserve">Conflict Mineral Regulation </w:t>
            </w:r>
          </w:p>
        </w:tc>
      </w:tr>
      <w:tr w:rsidR="00C41966" w:rsidRPr="00C41966" w14:paraId="630DF6B9" w14:textId="77777777" w:rsidTr="000701FA">
        <w:trPr>
          <w:cantSplit/>
          <w:trHeight w:val="20"/>
        </w:trPr>
        <w:tc>
          <w:tcPr>
            <w:tcW w:w="1151" w:type="dxa"/>
            <w:noWrap/>
            <w:hideMark/>
          </w:tcPr>
          <w:p w14:paraId="20C9400A" w14:textId="77777777" w:rsidR="00C41966" w:rsidRPr="00C41966" w:rsidRDefault="00C41966">
            <w:pPr>
              <w:rPr>
                <w:sz w:val="20"/>
                <w:szCs w:val="20"/>
              </w:rPr>
            </w:pPr>
            <w:r w:rsidRPr="00C41966">
              <w:rPr>
                <w:sz w:val="20"/>
                <w:szCs w:val="20"/>
              </w:rPr>
              <w:t>Directive</w:t>
            </w:r>
          </w:p>
        </w:tc>
        <w:tc>
          <w:tcPr>
            <w:tcW w:w="1205" w:type="dxa"/>
            <w:noWrap/>
            <w:hideMark/>
          </w:tcPr>
          <w:p w14:paraId="63AA7D4C" w14:textId="77777777" w:rsidR="00C41966" w:rsidRPr="00C41966" w:rsidRDefault="00C41966">
            <w:pPr>
              <w:rPr>
                <w:sz w:val="20"/>
                <w:szCs w:val="20"/>
              </w:rPr>
            </w:pPr>
            <w:r w:rsidRPr="00C41966">
              <w:rPr>
                <w:sz w:val="20"/>
                <w:szCs w:val="20"/>
              </w:rPr>
              <w:t>2024/1760</w:t>
            </w:r>
          </w:p>
        </w:tc>
        <w:tc>
          <w:tcPr>
            <w:tcW w:w="4308" w:type="dxa"/>
            <w:hideMark/>
          </w:tcPr>
          <w:p w14:paraId="1E95B942" w14:textId="77777777" w:rsidR="00C41966" w:rsidRPr="00C41966" w:rsidRDefault="00C41966">
            <w:pPr>
              <w:rPr>
                <w:sz w:val="20"/>
                <w:szCs w:val="20"/>
              </w:rPr>
            </w:pPr>
            <w:r w:rsidRPr="00C41966">
              <w:rPr>
                <w:sz w:val="20"/>
                <w:szCs w:val="20"/>
              </w:rPr>
              <w:t>Directive (EU) 2024/1760 of the European Parliament and of the Council of 13 June 2024 on corporate sustainability due diligence and amending Directive (EU) 2019/1937 and Regulation (EU) 2023/2859</w:t>
            </w:r>
          </w:p>
        </w:tc>
        <w:tc>
          <w:tcPr>
            <w:tcW w:w="2352" w:type="dxa"/>
            <w:hideMark/>
          </w:tcPr>
          <w:p w14:paraId="70F0DAFC" w14:textId="77777777" w:rsidR="00C41966" w:rsidRPr="00C41966" w:rsidRDefault="00C41966">
            <w:pPr>
              <w:rPr>
                <w:sz w:val="20"/>
                <w:szCs w:val="20"/>
              </w:rPr>
            </w:pPr>
            <w:r w:rsidRPr="00C41966">
              <w:rPr>
                <w:sz w:val="20"/>
                <w:szCs w:val="20"/>
              </w:rPr>
              <w:t>Corporate sustainability due diligence</w:t>
            </w:r>
          </w:p>
        </w:tc>
      </w:tr>
      <w:tr w:rsidR="00C41966" w:rsidRPr="00C41966" w14:paraId="4772DD8A" w14:textId="77777777" w:rsidTr="000701FA">
        <w:trPr>
          <w:cantSplit/>
          <w:trHeight w:val="20"/>
        </w:trPr>
        <w:tc>
          <w:tcPr>
            <w:tcW w:w="1151" w:type="dxa"/>
            <w:noWrap/>
            <w:hideMark/>
          </w:tcPr>
          <w:p w14:paraId="29BEF6BE" w14:textId="77777777" w:rsidR="00C41966" w:rsidRPr="00C41966" w:rsidRDefault="00C41966">
            <w:pPr>
              <w:rPr>
                <w:sz w:val="20"/>
                <w:szCs w:val="20"/>
              </w:rPr>
            </w:pPr>
            <w:r w:rsidRPr="00C41966">
              <w:rPr>
                <w:sz w:val="20"/>
                <w:szCs w:val="20"/>
              </w:rPr>
              <w:t>Directive</w:t>
            </w:r>
          </w:p>
        </w:tc>
        <w:tc>
          <w:tcPr>
            <w:tcW w:w="1205" w:type="dxa"/>
            <w:noWrap/>
            <w:hideMark/>
          </w:tcPr>
          <w:p w14:paraId="1E0CA134" w14:textId="77777777" w:rsidR="00C41966" w:rsidRPr="00C41966" w:rsidRDefault="00C41966">
            <w:pPr>
              <w:rPr>
                <w:sz w:val="20"/>
                <w:szCs w:val="20"/>
              </w:rPr>
            </w:pPr>
            <w:r w:rsidRPr="00C41966">
              <w:rPr>
                <w:sz w:val="20"/>
                <w:szCs w:val="20"/>
              </w:rPr>
              <w:t>2022/2464</w:t>
            </w:r>
          </w:p>
        </w:tc>
        <w:tc>
          <w:tcPr>
            <w:tcW w:w="4308" w:type="dxa"/>
            <w:hideMark/>
          </w:tcPr>
          <w:p w14:paraId="65911AFC" w14:textId="77777777" w:rsidR="00C41966" w:rsidRPr="00C41966" w:rsidRDefault="00C41966">
            <w:pPr>
              <w:rPr>
                <w:sz w:val="20"/>
                <w:szCs w:val="20"/>
              </w:rPr>
            </w:pPr>
            <w:r w:rsidRPr="00C41966">
              <w:rPr>
                <w:sz w:val="20"/>
                <w:szCs w:val="20"/>
              </w:rPr>
              <w:t>Directive (EU) 2022/2464 of the European Parliament and of the Council of 14 December 2022 amending Regulation (EU) No 537/2014, Directive 2004/109/EC, Directive 2006/43/EC and Directive 2013/34/EU, as regards corporate sustainability reporting</w:t>
            </w:r>
          </w:p>
        </w:tc>
        <w:tc>
          <w:tcPr>
            <w:tcW w:w="2352" w:type="dxa"/>
            <w:hideMark/>
          </w:tcPr>
          <w:p w14:paraId="0AC52040" w14:textId="77777777" w:rsidR="00C41966" w:rsidRPr="00C41966" w:rsidRDefault="00C41966">
            <w:pPr>
              <w:rPr>
                <w:sz w:val="20"/>
                <w:szCs w:val="20"/>
              </w:rPr>
            </w:pPr>
            <w:r w:rsidRPr="00C41966">
              <w:rPr>
                <w:sz w:val="20"/>
                <w:szCs w:val="20"/>
              </w:rPr>
              <w:t>Corporate sustainability reporting</w:t>
            </w:r>
          </w:p>
        </w:tc>
      </w:tr>
      <w:tr w:rsidR="00C41966" w:rsidRPr="00C41966" w14:paraId="653DDBBD" w14:textId="77777777" w:rsidTr="000701FA">
        <w:trPr>
          <w:cantSplit/>
          <w:trHeight w:val="20"/>
        </w:trPr>
        <w:tc>
          <w:tcPr>
            <w:tcW w:w="1151" w:type="dxa"/>
            <w:noWrap/>
            <w:hideMark/>
          </w:tcPr>
          <w:p w14:paraId="1CA9CA02" w14:textId="77777777" w:rsidR="00C41966" w:rsidRPr="00C41966" w:rsidRDefault="00C41966">
            <w:pPr>
              <w:rPr>
                <w:sz w:val="20"/>
                <w:szCs w:val="20"/>
              </w:rPr>
            </w:pPr>
            <w:r w:rsidRPr="00C41966">
              <w:rPr>
                <w:sz w:val="20"/>
                <w:szCs w:val="20"/>
              </w:rPr>
              <w:t>Directive</w:t>
            </w:r>
          </w:p>
        </w:tc>
        <w:tc>
          <w:tcPr>
            <w:tcW w:w="1205" w:type="dxa"/>
            <w:noWrap/>
            <w:hideMark/>
          </w:tcPr>
          <w:p w14:paraId="38B75E28" w14:textId="77777777" w:rsidR="00C41966" w:rsidRPr="00C41966" w:rsidRDefault="00C41966">
            <w:pPr>
              <w:rPr>
                <w:sz w:val="20"/>
                <w:szCs w:val="20"/>
              </w:rPr>
            </w:pPr>
            <w:r w:rsidRPr="00C41966">
              <w:rPr>
                <w:sz w:val="20"/>
                <w:szCs w:val="20"/>
              </w:rPr>
              <w:t>2019/904</w:t>
            </w:r>
          </w:p>
        </w:tc>
        <w:tc>
          <w:tcPr>
            <w:tcW w:w="4308" w:type="dxa"/>
            <w:hideMark/>
          </w:tcPr>
          <w:p w14:paraId="6DA3FD8B" w14:textId="77777777" w:rsidR="00C41966" w:rsidRPr="00C41966" w:rsidRDefault="00C41966">
            <w:pPr>
              <w:rPr>
                <w:sz w:val="20"/>
                <w:szCs w:val="20"/>
              </w:rPr>
            </w:pPr>
            <w:r w:rsidRPr="00C41966">
              <w:rPr>
                <w:sz w:val="20"/>
                <w:szCs w:val="20"/>
              </w:rPr>
              <w:t>Directive (EU) 2019/904 of the European Parliament and of the Council of 5 June 2019 on the reduction of the impact of certain plastic products on the environment</w:t>
            </w:r>
          </w:p>
        </w:tc>
        <w:tc>
          <w:tcPr>
            <w:tcW w:w="2352" w:type="dxa"/>
            <w:hideMark/>
          </w:tcPr>
          <w:p w14:paraId="4742B59B" w14:textId="77777777" w:rsidR="00C41966" w:rsidRPr="00C41966" w:rsidRDefault="00C41966">
            <w:pPr>
              <w:rPr>
                <w:sz w:val="20"/>
                <w:szCs w:val="20"/>
              </w:rPr>
            </w:pPr>
            <w:r w:rsidRPr="00C41966">
              <w:rPr>
                <w:sz w:val="20"/>
                <w:szCs w:val="20"/>
              </w:rPr>
              <w:t>Single-use plastics</w:t>
            </w:r>
          </w:p>
        </w:tc>
      </w:tr>
      <w:tr w:rsidR="00C41966" w:rsidRPr="00C41966" w14:paraId="691D30F3" w14:textId="77777777" w:rsidTr="000701FA">
        <w:trPr>
          <w:cantSplit/>
          <w:trHeight w:val="20"/>
        </w:trPr>
        <w:tc>
          <w:tcPr>
            <w:tcW w:w="1151" w:type="dxa"/>
            <w:noWrap/>
            <w:hideMark/>
          </w:tcPr>
          <w:p w14:paraId="1123D919" w14:textId="77777777" w:rsidR="00C41966" w:rsidRPr="00C41966" w:rsidRDefault="00C41966">
            <w:pPr>
              <w:rPr>
                <w:sz w:val="20"/>
                <w:szCs w:val="20"/>
              </w:rPr>
            </w:pPr>
            <w:r w:rsidRPr="00C41966">
              <w:rPr>
                <w:sz w:val="20"/>
                <w:szCs w:val="20"/>
              </w:rPr>
              <w:t>Directive</w:t>
            </w:r>
          </w:p>
        </w:tc>
        <w:tc>
          <w:tcPr>
            <w:tcW w:w="1205" w:type="dxa"/>
            <w:noWrap/>
            <w:hideMark/>
          </w:tcPr>
          <w:p w14:paraId="274C5C17" w14:textId="77777777" w:rsidR="00C41966" w:rsidRPr="00C41966" w:rsidRDefault="00C41966">
            <w:pPr>
              <w:rPr>
                <w:sz w:val="20"/>
                <w:szCs w:val="20"/>
              </w:rPr>
            </w:pPr>
            <w:r w:rsidRPr="00C41966">
              <w:rPr>
                <w:sz w:val="20"/>
                <w:szCs w:val="20"/>
              </w:rPr>
              <w:t>2008/98/EC</w:t>
            </w:r>
          </w:p>
        </w:tc>
        <w:tc>
          <w:tcPr>
            <w:tcW w:w="4308" w:type="dxa"/>
            <w:hideMark/>
          </w:tcPr>
          <w:p w14:paraId="3775A730" w14:textId="77777777" w:rsidR="00C41966" w:rsidRPr="00C41966" w:rsidRDefault="00C41966">
            <w:pPr>
              <w:rPr>
                <w:sz w:val="20"/>
                <w:szCs w:val="20"/>
              </w:rPr>
            </w:pPr>
            <w:r w:rsidRPr="00C41966">
              <w:rPr>
                <w:sz w:val="20"/>
                <w:szCs w:val="20"/>
              </w:rPr>
              <w:t>Directive 2008/98/EC of the European Parliament and of the Council of 19 November 2008 on waste and repealing certain Directives</w:t>
            </w:r>
          </w:p>
        </w:tc>
        <w:tc>
          <w:tcPr>
            <w:tcW w:w="2352" w:type="dxa"/>
            <w:hideMark/>
          </w:tcPr>
          <w:p w14:paraId="379BA532" w14:textId="77777777" w:rsidR="00C41966" w:rsidRPr="00C41966" w:rsidRDefault="00C41966">
            <w:pPr>
              <w:rPr>
                <w:sz w:val="20"/>
                <w:szCs w:val="20"/>
              </w:rPr>
            </w:pPr>
            <w:r w:rsidRPr="00C41966">
              <w:rPr>
                <w:sz w:val="20"/>
                <w:szCs w:val="20"/>
              </w:rPr>
              <w:t>Waste directive</w:t>
            </w:r>
          </w:p>
        </w:tc>
      </w:tr>
      <w:tr w:rsidR="00C41966" w:rsidRPr="00C41966" w14:paraId="468961F6" w14:textId="77777777" w:rsidTr="000701FA">
        <w:trPr>
          <w:cantSplit/>
          <w:trHeight w:val="20"/>
        </w:trPr>
        <w:tc>
          <w:tcPr>
            <w:tcW w:w="1151" w:type="dxa"/>
            <w:noWrap/>
            <w:hideMark/>
          </w:tcPr>
          <w:p w14:paraId="1FEBC68D" w14:textId="77777777" w:rsidR="00C41966" w:rsidRPr="00C41966" w:rsidRDefault="00C41966">
            <w:pPr>
              <w:rPr>
                <w:sz w:val="20"/>
                <w:szCs w:val="20"/>
              </w:rPr>
            </w:pPr>
            <w:r w:rsidRPr="00C41966">
              <w:rPr>
                <w:sz w:val="20"/>
                <w:szCs w:val="20"/>
              </w:rPr>
              <w:t>Regulation</w:t>
            </w:r>
          </w:p>
        </w:tc>
        <w:tc>
          <w:tcPr>
            <w:tcW w:w="1205" w:type="dxa"/>
            <w:noWrap/>
            <w:hideMark/>
          </w:tcPr>
          <w:p w14:paraId="332CD4C2" w14:textId="77777777" w:rsidR="00C41966" w:rsidRPr="00C41966" w:rsidRDefault="00C41966">
            <w:pPr>
              <w:rPr>
                <w:sz w:val="20"/>
                <w:szCs w:val="20"/>
              </w:rPr>
            </w:pPr>
            <w:r w:rsidRPr="00C41966">
              <w:rPr>
                <w:sz w:val="20"/>
                <w:szCs w:val="20"/>
              </w:rPr>
              <w:t>2023/988</w:t>
            </w:r>
          </w:p>
        </w:tc>
        <w:tc>
          <w:tcPr>
            <w:tcW w:w="4308" w:type="dxa"/>
            <w:hideMark/>
          </w:tcPr>
          <w:p w14:paraId="59EADF88" w14:textId="77777777" w:rsidR="00C41966" w:rsidRPr="00C41966" w:rsidRDefault="00C41966">
            <w:pPr>
              <w:rPr>
                <w:sz w:val="20"/>
                <w:szCs w:val="20"/>
              </w:rPr>
            </w:pPr>
            <w:r w:rsidRPr="00C41966">
              <w:rPr>
                <w:sz w:val="20"/>
                <w:szCs w:val="20"/>
              </w:rPr>
              <w:t>Regulation (EU) 2023/988 of the European Parliament and of the Council of 10 May 2023 on general product safety, amending Regulation (EU) No 1025/2012 of the European Parliament and of the Council and Directive (EU) 2020/1828 of the European Parliament and the Council, and repealing Directive 2001/95/EC of the European Parliament and of the Council and Council Directive 87/357/EEC</w:t>
            </w:r>
          </w:p>
        </w:tc>
        <w:tc>
          <w:tcPr>
            <w:tcW w:w="2352" w:type="dxa"/>
            <w:hideMark/>
          </w:tcPr>
          <w:p w14:paraId="228E4212" w14:textId="77777777" w:rsidR="00C41966" w:rsidRPr="00C41966" w:rsidRDefault="00C41966">
            <w:pPr>
              <w:rPr>
                <w:sz w:val="20"/>
                <w:szCs w:val="20"/>
              </w:rPr>
            </w:pPr>
            <w:r w:rsidRPr="00C41966">
              <w:rPr>
                <w:sz w:val="20"/>
                <w:szCs w:val="20"/>
              </w:rPr>
              <w:t>General product safety regulation</w:t>
            </w:r>
          </w:p>
        </w:tc>
      </w:tr>
      <w:tr w:rsidR="00C41966" w:rsidRPr="00C41966" w14:paraId="2E279447" w14:textId="77777777" w:rsidTr="000701FA">
        <w:trPr>
          <w:cantSplit/>
          <w:trHeight w:val="20"/>
        </w:trPr>
        <w:tc>
          <w:tcPr>
            <w:tcW w:w="1151" w:type="dxa"/>
            <w:noWrap/>
            <w:hideMark/>
          </w:tcPr>
          <w:p w14:paraId="1F8007C4" w14:textId="77777777" w:rsidR="00C41966" w:rsidRPr="00C41966" w:rsidRDefault="00C41966">
            <w:pPr>
              <w:rPr>
                <w:sz w:val="20"/>
                <w:szCs w:val="20"/>
              </w:rPr>
            </w:pPr>
            <w:r w:rsidRPr="00C41966">
              <w:rPr>
                <w:sz w:val="20"/>
                <w:szCs w:val="20"/>
              </w:rPr>
              <w:t>Regulation</w:t>
            </w:r>
          </w:p>
        </w:tc>
        <w:tc>
          <w:tcPr>
            <w:tcW w:w="1205" w:type="dxa"/>
            <w:noWrap/>
            <w:hideMark/>
          </w:tcPr>
          <w:p w14:paraId="0DB6A52D" w14:textId="77777777" w:rsidR="00C41966" w:rsidRPr="00C41966" w:rsidRDefault="00C41966">
            <w:pPr>
              <w:rPr>
                <w:sz w:val="20"/>
                <w:szCs w:val="20"/>
              </w:rPr>
            </w:pPr>
            <w:r w:rsidRPr="00C41966">
              <w:rPr>
                <w:sz w:val="20"/>
                <w:szCs w:val="20"/>
              </w:rPr>
              <w:t>2025/40</w:t>
            </w:r>
          </w:p>
        </w:tc>
        <w:tc>
          <w:tcPr>
            <w:tcW w:w="4308" w:type="dxa"/>
            <w:hideMark/>
          </w:tcPr>
          <w:p w14:paraId="32EB60F4" w14:textId="77777777" w:rsidR="00C41966" w:rsidRPr="00C41966" w:rsidRDefault="00C41966">
            <w:pPr>
              <w:rPr>
                <w:sz w:val="20"/>
                <w:szCs w:val="20"/>
              </w:rPr>
            </w:pPr>
            <w:r w:rsidRPr="00C41966">
              <w:rPr>
                <w:sz w:val="20"/>
                <w:szCs w:val="20"/>
              </w:rPr>
              <w:t>Regulation (EU) 2025/40 of the European Parliament and of the Council of 19 December 2024 on packaging and packaging waste, amending Regulation (EU) 2019/1020 and Directive (EU) 2019/904, and repealing Directive 94/62/EC</w:t>
            </w:r>
          </w:p>
        </w:tc>
        <w:tc>
          <w:tcPr>
            <w:tcW w:w="2352" w:type="dxa"/>
            <w:hideMark/>
          </w:tcPr>
          <w:p w14:paraId="0AF32D90" w14:textId="77777777" w:rsidR="00C41966" w:rsidRPr="00C41966" w:rsidRDefault="00C41966">
            <w:pPr>
              <w:rPr>
                <w:sz w:val="20"/>
                <w:szCs w:val="20"/>
              </w:rPr>
            </w:pPr>
            <w:r w:rsidRPr="00C41966">
              <w:rPr>
                <w:sz w:val="20"/>
                <w:szCs w:val="20"/>
              </w:rPr>
              <w:t>Packaging and Packaging Waste Regulation</w:t>
            </w:r>
          </w:p>
        </w:tc>
      </w:tr>
      <w:tr w:rsidR="000701FA" w:rsidRPr="00C41966" w14:paraId="1C1C01E5" w14:textId="77777777" w:rsidTr="000701FA">
        <w:trPr>
          <w:cantSplit/>
          <w:trHeight w:val="20"/>
        </w:trPr>
        <w:tc>
          <w:tcPr>
            <w:tcW w:w="1150" w:type="dxa"/>
            <w:noWrap/>
            <w:hideMark/>
          </w:tcPr>
          <w:p w14:paraId="6F2DA250" w14:textId="77777777" w:rsidR="000701FA" w:rsidRPr="00C41966" w:rsidRDefault="000701FA" w:rsidP="00492D6F">
            <w:pPr>
              <w:rPr>
                <w:sz w:val="20"/>
                <w:szCs w:val="20"/>
              </w:rPr>
            </w:pPr>
            <w:r w:rsidRPr="00C41966">
              <w:rPr>
                <w:sz w:val="20"/>
                <w:szCs w:val="20"/>
              </w:rPr>
              <w:t>Regulation</w:t>
            </w:r>
          </w:p>
        </w:tc>
        <w:tc>
          <w:tcPr>
            <w:tcW w:w="1203" w:type="dxa"/>
            <w:noWrap/>
            <w:hideMark/>
          </w:tcPr>
          <w:p w14:paraId="44B8CE6C" w14:textId="0C4412CE" w:rsidR="000701FA" w:rsidRPr="00C41966" w:rsidRDefault="000701FA" w:rsidP="00492D6F">
            <w:pPr>
              <w:rPr>
                <w:sz w:val="20"/>
                <w:szCs w:val="20"/>
              </w:rPr>
            </w:pPr>
            <w:r>
              <w:rPr>
                <w:sz w:val="20"/>
                <w:szCs w:val="20"/>
              </w:rPr>
              <w:t>2024/1252</w:t>
            </w:r>
          </w:p>
        </w:tc>
        <w:tc>
          <w:tcPr>
            <w:tcW w:w="4310" w:type="dxa"/>
            <w:hideMark/>
          </w:tcPr>
          <w:p w14:paraId="00D3ECB7" w14:textId="79BACAF4" w:rsidR="000701FA" w:rsidRPr="00C41966" w:rsidRDefault="000701FA" w:rsidP="00492D6F">
            <w:pPr>
              <w:rPr>
                <w:sz w:val="20"/>
                <w:szCs w:val="20"/>
              </w:rPr>
            </w:pPr>
            <w:r w:rsidRPr="00C41966">
              <w:rPr>
                <w:sz w:val="20"/>
                <w:szCs w:val="20"/>
              </w:rPr>
              <w:t xml:space="preserve">REGULATION </w:t>
            </w:r>
            <w:r>
              <w:rPr>
                <w:sz w:val="20"/>
                <w:szCs w:val="20"/>
              </w:rPr>
              <w:t xml:space="preserve">(EU) 2024/1252 </w:t>
            </w:r>
            <w:r w:rsidRPr="00C41966">
              <w:rPr>
                <w:sz w:val="20"/>
                <w:szCs w:val="20"/>
              </w:rPr>
              <w:t>OF THE EUROPEAN PARLIAMENT AND OF THE COUNCIL establishing a framework for ensuring a secure and sustainable supply of critical raw materials and amending Regulations (EU) 168/2013, (EU) 2018/858, 2018/1724 and (EU) 2019/1020</w:t>
            </w:r>
          </w:p>
        </w:tc>
        <w:tc>
          <w:tcPr>
            <w:tcW w:w="2353" w:type="dxa"/>
            <w:hideMark/>
          </w:tcPr>
          <w:p w14:paraId="5D2CD609" w14:textId="77777777" w:rsidR="000701FA" w:rsidRPr="00C41966" w:rsidRDefault="000701FA" w:rsidP="00492D6F">
            <w:pPr>
              <w:rPr>
                <w:sz w:val="20"/>
                <w:szCs w:val="20"/>
              </w:rPr>
            </w:pPr>
            <w:r w:rsidRPr="00C41966">
              <w:rPr>
                <w:sz w:val="20"/>
                <w:szCs w:val="20"/>
              </w:rPr>
              <w:t>Critical Raw Materials</w:t>
            </w:r>
          </w:p>
        </w:tc>
      </w:tr>
      <w:tr w:rsidR="00C41966" w:rsidRPr="00C41966" w14:paraId="0AB682A4" w14:textId="77777777" w:rsidTr="000701FA">
        <w:trPr>
          <w:cantSplit/>
          <w:trHeight w:val="20"/>
        </w:trPr>
        <w:tc>
          <w:tcPr>
            <w:tcW w:w="1151" w:type="dxa"/>
            <w:noWrap/>
            <w:hideMark/>
          </w:tcPr>
          <w:p w14:paraId="3F702CA7" w14:textId="77777777" w:rsidR="00C41966" w:rsidRPr="00C41966" w:rsidRDefault="00C41966">
            <w:pPr>
              <w:rPr>
                <w:sz w:val="20"/>
                <w:szCs w:val="20"/>
              </w:rPr>
            </w:pPr>
            <w:r w:rsidRPr="00C41966">
              <w:rPr>
                <w:sz w:val="20"/>
                <w:szCs w:val="20"/>
              </w:rPr>
              <w:lastRenderedPageBreak/>
              <w:t>Regulation</w:t>
            </w:r>
          </w:p>
        </w:tc>
        <w:tc>
          <w:tcPr>
            <w:tcW w:w="1205" w:type="dxa"/>
            <w:noWrap/>
            <w:hideMark/>
          </w:tcPr>
          <w:p w14:paraId="4D6DD9BC" w14:textId="77777777" w:rsidR="00C41966" w:rsidRPr="00C41966" w:rsidRDefault="00C41966">
            <w:pPr>
              <w:rPr>
                <w:sz w:val="20"/>
                <w:szCs w:val="20"/>
              </w:rPr>
            </w:pPr>
            <w:r w:rsidRPr="00C41966">
              <w:rPr>
                <w:sz w:val="20"/>
                <w:szCs w:val="20"/>
              </w:rPr>
              <w:t>COM(2023) 779</w:t>
            </w:r>
          </w:p>
        </w:tc>
        <w:tc>
          <w:tcPr>
            <w:tcW w:w="4308" w:type="dxa"/>
            <w:hideMark/>
          </w:tcPr>
          <w:p w14:paraId="0A46DDB0" w14:textId="77777777" w:rsidR="00C41966" w:rsidRPr="00C41966" w:rsidRDefault="00C41966">
            <w:pPr>
              <w:rPr>
                <w:sz w:val="20"/>
                <w:szCs w:val="20"/>
              </w:rPr>
            </w:pPr>
            <w:r w:rsidRPr="00C41966">
              <w:rPr>
                <w:sz w:val="20"/>
                <w:szCs w:val="20"/>
              </w:rPr>
              <w:t>Proposal for a REGULATION OF THE EUROPEAN PARLIAMENT AND OF THE COUNCIL establishing a common data platform on chemicals, laying down rules to ensure that the</w:t>
            </w:r>
            <w:r w:rsidRPr="00C41966">
              <w:rPr>
                <w:sz w:val="20"/>
                <w:szCs w:val="20"/>
              </w:rPr>
              <w:br/>
              <w:t>data contained in it are findable, accessible, interoperable and reusable and establishing</w:t>
            </w:r>
            <w:r w:rsidRPr="00C41966">
              <w:rPr>
                <w:sz w:val="20"/>
                <w:szCs w:val="20"/>
              </w:rPr>
              <w:br/>
              <w:t>a monitoring and outlook framework for chemicals</w:t>
            </w:r>
          </w:p>
        </w:tc>
        <w:tc>
          <w:tcPr>
            <w:tcW w:w="2352" w:type="dxa"/>
            <w:hideMark/>
          </w:tcPr>
          <w:p w14:paraId="5BB35AFD" w14:textId="77777777" w:rsidR="00C41966" w:rsidRPr="00C41966" w:rsidRDefault="00C41966">
            <w:pPr>
              <w:rPr>
                <w:sz w:val="20"/>
                <w:szCs w:val="20"/>
              </w:rPr>
            </w:pPr>
            <w:r w:rsidRPr="00C41966">
              <w:rPr>
                <w:sz w:val="20"/>
                <w:szCs w:val="20"/>
              </w:rPr>
              <w:t>Common data platform on chemicals</w:t>
            </w:r>
          </w:p>
        </w:tc>
      </w:tr>
    </w:tbl>
    <w:p w14:paraId="35BE371B" w14:textId="77777777" w:rsidR="00C24618" w:rsidRDefault="00C24618" w:rsidP="00F010B5"/>
    <w:sectPr w:rsidR="00C24618" w:rsidSect="00DC1399">
      <w:headerReference w:type="even" r:id="rId11"/>
      <w:headerReference w:type="default" r:id="rId12"/>
      <w:footerReference w:type="even" r:id="rId13"/>
      <w:footerReference w:type="default" r:id="rId14"/>
      <w:headerReference w:type="first" r:id="rId15"/>
      <w:footerReference w:type="first" r:id="rId16"/>
      <w:pgSz w:w="11906" w:h="16838"/>
      <w:pgMar w:top="1134" w:right="1440" w:bottom="1134"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07AF0" w14:textId="77777777" w:rsidR="00F75C8E" w:rsidRDefault="00F75C8E" w:rsidP="00FC488D">
      <w:r>
        <w:separator/>
      </w:r>
    </w:p>
  </w:endnote>
  <w:endnote w:type="continuationSeparator" w:id="0">
    <w:p w14:paraId="4B87087D" w14:textId="77777777" w:rsidR="00F75C8E" w:rsidRDefault="00F75C8E" w:rsidP="00FC4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2A879" w14:textId="77777777" w:rsidR="00E34F32" w:rsidRDefault="00E34F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A9578" w14:textId="6E03E0A4" w:rsidR="00E34F32" w:rsidRPr="00DC1399" w:rsidRDefault="00DC1399" w:rsidP="00DC1399">
    <w:pPr>
      <w:pStyle w:val="Footer"/>
      <w:tabs>
        <w:tab w:val="clear" w:pos="4513"/>
      </w:tabs>
      <w:jc w:val="center"/>
      <w:rPr>
        <w:sz w:val="18"/>
        <w:lang w:val="it-IT"/>
      </w:rPr>
    </w:pPr>
    <w:r w:rsidRPr="00E34F32">
      <w:rPr>
        <w:sz w:val="18"/>
        <w:lang w:val="it-IT"/>
      </w:rPr>
      <w:t xml:space="preserve">Page </w:t>
    </w:r>
    <w:r w:rsidRPr="00E34F32">
      <w:rPr>
        <w:sz w:val="18"/>
        <w:lang w:val="it-IT"/>
      </w:rPr>
      <w:fldChar w:fldCharType="begin"/>
    </w:r>
    <w:r w:rsidRPr="00E34F32">
      <w:rPr>
        <w:sz w:val="18"/>
        <w:lang w:val="it-IT"/>
      </w:rPr>
      <w:instrText xml:space="preserve"> PAGE   \* MERGEFORMAT </w:instrText>
    </w:r>
    <w:r w:rsidRPr="00E34F32">
      <w:rPr>
        <w:sz w:val="18"/>
        <w:lang w:val="it-IT"/>
      </w:rPr>
      <w:fldChar w:fldCharType="separate"/>
    </w:r>
    <w:r w:rsidR="00423E82">
      <w:rPr>
        <w:noProof/>
        <w:sz w:val="18"/>
        <w:lang w:val="it-IT"/>
      </w:rPr>
      <w:t>2</w:t>
    </w:r>
    <w:r w:rsidRPr="00E34F32">
      <w:rPr>
        <w:sz w:val="18"/>
        <w:lang w:val="it-IT"/>
      </w:rPr>
      <w:fldChar w:fldCharType="end"/>
    </w:r>
    <w:r w:rsidRPr="00E34F32">
      <w:rPr>
        <w:sz w:val="18"/>
        <w:lang w:val="it-IT"/>
      </w:rPr>
      <w:t xml:space="preserve"> of </w:t>
    </w:r>
    <w:r w:rsidRPr="00E34F32">
      <w:rPr>
        <w:sz w:val="18"/>
        <w:lang w:val="it-IT"/>
      </w:rPr>
      <w:fldChar w:fldCharType="begin"/>
    </w:r>
    <w:r w:rsidRPr="00E34F32">
      <w:rPr>
        <w:sz w:val="18"/>
        <w:lang w:val="it-IT"/>
      </w:rPr>
      <w:instrText xml:space="preserve"> SECTIONPAGES   \* MERGEFORMAT </w:instrText>
    </w:r>
    <w:r w:rsidRPr="00E34F32">
      <w:rPr>
        <w:sz w:val="18"/>
        <w:lang w:val="it-IT"/>
      </w:rPr>
      <w:fldChar w:fldCharType="separate"/>
    </w:r>
    <w:r w:rsidR="00C90243">
      <w:rPr>
        <w:noProof/>
        <w:sz w:val="18"/>
        <w:lang w:val="it-IT"/>
      </w:rPr>
      <w:t>5</w:t>
    </w:r>
    <w:r w:rsidRPr="00E34F32">
      <w:rPr>
        <w:sz w:val="18"/>
        <w:lang w:val="it-I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3010" w14:textId="5D7B72C2" w:rsidR="00E34F32" w:rsidRPr="00DC1399" w:rsidRDefault="00E34F32" w:rsidP="00DC13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E461A" w14:textId="77777777" w:rsidR="00F75C8E" w:rsidRDefault="00F75C8E" w:rsidP="00FC488D">
      <w:r>
        <w:separator/>
      </w:r>
    </w:p>
  </w:footnote>
  <w:footnote w:type="continuationSeparator" w:id="0">
    <w:p w14:paraId="3D71AB6B" w14:textId="77777777" w:rsidR="00F75C8E" w:rsidRDefault="00F75C8E" w:rsidP="00FC488D">
      <w:r>
        <w:continuationSeparator/>
      </w:r>
    </w:p>
  </w:footnote>
  <w:footnote w:id="1">
    <w:p w14:paraId="1520E4C0" w14:textId="202B5231" w:rsidR="00E93D87" w:rsidRPr="00E93D87" w:rsidRDefault="00E93D87">
      <w:pPr>
        <w:pStyle w:val="FootnoteText"/>
      </w:pPr>
      <w:r>
        <w:rPr>
          <w:rStyle w:val="FootnoteReference"/>
        </w:rPr>
        <w:footnoteRef/>
      </w:r>
      <w:r>
        <w:t xml:space="preserve"> </w:t>
      </w:r>
      <w:r w:rsidRPr="00CF5141">
        <w:rPr>
          <w:sz w:val="18"/>
        </w:rPr>
        <w:t>Regulation (EU) 2017/745 of the European Parliament and of the Council of 5 April 2017 on medical devices, amending Directive 2001/83/EC, Regulation (EC) No 178/2002 and Regulation (EC) No 1223/2009 and repealing Council Directives 90/385/EEC and 93/42/EEC.</w:t>
      </w:r>
    </w:p>
  </w:footnote>
  <w:footnote w:id="2">
    <w:p w14:paraId="03464F2A" w14:textId="6A4B2563" w:rsidR="001E29BD" w:rsidRPr="001E29BD" w:rsidRDefault="001E29BD">
      <w:pPr>
        <w:pStyle w:val="FootnoteText"/>
        <w:rPr>
          <w:lang w:val="en-IE"/>
        </w:rPr>
      </w:pPr>
      <w:r>
        <w:rPr>
          <w:rStyle w:val="FootnoteReference"/>
        </w:rPr>
        <w:footnoteRef/>
      </w:r>
      <w:r>
        <w:t xml:space="preserve"> </w:t>
      </w:r>
      <w:r w:rsidRPr="001E29BD">
        <w:t>Regulation (EU) 2017/746 of the European Parliament and of the Council of 5 April 2017 on in vitro diagnostic medical devices and repealing Directive 98/79/EC and Commission Decision 2010/227/EU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A7CC8" w14:textId="77777777" w:rsidR="00E34F32" w:rsidRDefault="00E34F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372ED" w14:textId="77777777" w:rsidR="006B6C8F" w:rsidRDefault="006B6C8F" w:rsidP="00474B3B">
    <w:pPr>
      <w:jc w:val="center"/>
      <w:rPr>
        <w:b/>
        <w:lang w:val="en-IE"/>
      </w:rPr>
    </w:pPr>
    <w:r w:rsidRPr="006B6C8F">
      <w:rPr>
        <w:b/>
        <w:lang w:val="en-IE"/>
      </w:rPr>
      <w:t>MDCG TF on environmental matters</w:t>
    </w:r>
  </w:p>
  <w:p w14:paraId="5DE93DD6" w14:textId="292F017B" w:rsidR="00474B3B" w:rsidRPr="00C41966" w:rsidRDefault="006B6C8F" w:rsidP="00C41966">
    <w:pPr>
      <w:jc w:val="center"/>
      <w:rPr>
        <w:b/>
        <w:lang w:val="en-IE"/>
      </w:rPr>
    </w:pPr>
    <w:r w:rsidRPr="006B6C8F">
      <w:rPr>
        <w:b/>
        <w:lang w:val="en-IE"/>
      </w:rPr>
      <w:t>Targeted</w:t>
    </w:r>
    <w:r>
      <w:rPr>
        <w:b/>
        <w:lang w:val="en-IE"/>
      </w:rPr>
      <w:t xml:space="preserve"> stakeholder consultation</w:t>
    </w:r>
  </w:p>
  <w:p w14:paraId="545A0781" w14:textId="77777777" w:rsidR="00CF5141" w:rsidRDefault="00CF51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CB7C" w14:textId="77777777" w:rsidR="00E34F32" w:rsidRDefault="00E34F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A3AAF"/>
    <w:multiLevelType w:val="hybridMultilevel"/>
    <w:tmpl w:val="AAB68F6C"/>
    <w:lvl w:ilvl="0" w:tplc="4F5AAEB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861FA8"/>
    <w:multiLevelType w:val="hybridMultilevel"/>
    <w:tmpl w:val="36E0A7DA"/>
    <w:lvl w:ilvl="0" w:tplc="2D906948">
      <w:start w:val="1"/>
      <w:numFmt w:val="decimal"/>
      <w:pStyle w:val="Title"/>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5A440FA"/>
    <w:multiLevelType w:val="hybridMultilevel"/>
    <w:tmpl w:val="B2701E3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63D54DA"/>
    <w:multiLevelType w:val="hybridMultilevel"/>
    <w:tmpl w:val="FB908A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A032320"/>
    <w:multiLevelType w:val="hybridMultilevel"/>
    <w:tmpl w:val="A4E0BC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4160F7"/>
    <w:multiLevelType w:val="hybridMultilevel"/>
    <w:tmpl w:val="90E40CAA"/>
    <w:lvl w:ilvl="0" w:tplc="01A6763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A427A48"/>
    <w:multiLevelType w:val="hybridMultilevel"/>
    <w:tmpl w:val="F3E64E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1561D22"/>
    <w:multiLevelType w:val="hybridMultilevel"/>
    <w:tmpl w:val="91B2F5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FC430D7"/>
    <w:multiLevelType w:val="hybridMultilevel"/>
    <w:tmpl w:val="EF52C6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FE932D9"/>
    <w:multiLevelType w:val="hybridMultilevel"/>
    <w:tmpl w:val="7532A1B4"/>
    <w:lvl w:ilvl="0" w:tplc="DF30E630">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0" w15:restartNumberingAfterBreak="0">
    <w:nsid w:val="7378123E"/>
    <w:multiLevelType w:val="hybridMultilevel"/>
    <w:tmpl w:val="EE54D4A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78540B54"/>
    <w:multiLevelType w:val="hybridMultilevel"/>
    <w:tmpl w:val="86E478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09192306">
    <w:abstractNumId w:val="4"/>
  </w:num>
  <w:num w:numId="2" w16cid:durableId="856041348">
    <w:abstractNumId w:val="5"/>
  </w:num>
  <w:num w:numId="3" w16cid:durableId="200437609">
    <w:abstractNumId w:val="0"/>
  </w:num>
  <w:num w:numId="4" w16cid:durableId="738403445">
    <w:abstractNumId w:val="9"/>
  </w:num>
  <w:num w:numId="5" w16cid:durableId="837038437">
    <w:abstractNumId w:val="11"/>
  </w:num>
  <w:num w:numId="6" w16cid:durableId="1776822964">
    <w:abstractNumId w:val="2"/>
  </w:num>
  <w:num w:numId="7" w16cid:durableId="593973349">
    <w:abstractNumId w:val="1"/>
  </w:num>
  <w:num w:numId="8" w16cid:durableId="1856338079">
    <w:abstractNumId w:val="3"/>
  </w:num>
  <w:num w:numId="9" w16cid:durableId="126510902">
    <w:abstractNumId w:val="6"/>
  </w:num>
  <w:num w:numId="10" w16cid:durableId="819201015">
    <w:abstractNumId w:val="7"/>
  </w:num>
  <w:num w:numId="11" w16cid:durableId="1115445965">
    <w:abstractNumId w:val="10"/>
  </w:num>
  <w:num w:numId="12" w16cid:durableId="5957463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524DF"/>
    <w:rsid w:val="00020CF8"/>
    <w:rsid w:val="00025553"/>
    <w:rsid w:val="000574E5"/>
    <w:rsid w:val="00060F8D"/>
    <w:rsid w:val="00065E48"/>
    <w:rsid w:val="000701FA"/>
    <w:rsid w:val="00077B80"/>
    <w:rsid w:val="00082620"/>
    <w:rsid w:val="00082EA5"/>
    <w:rsid w:val="00087839"/>
    <w:rsid w:val="000A0BC3"/>
    <w:rsid w:val="000C125E"/>
    <w:rsid w:val="000E7F5A"/>
    <w:rsid w:val="000F678E"/>
    <w:rsid w:val="00105CC7"/>
    <w:rsid w:val="00112112"/>
    <w:rsid w:val="00123B0A"/>
    <w:rsid w:val="00124080"/>
    <w:rsid w:val="0012529C"/>
    <w:rsid w:val="001259DA"/>
    <w:rsid w:val="00126E4B"/>
    <w:rsid w:val="00127529"/>
    <w:rsid w:val="001360B5"/>
    <w:rsid w:val="0015518D"/>
    <w:rsid w:val="001564CA"/>
    <w:rsid w:val="001814B7"/>
    <w:rsid w:val="001825BD"/>
    <w:rsid w:val="00184C4F"/>
    <w:rsid w:val="00191EB9"/>
    <w:rsid w:val="00193CFA"/>
    <w:rsid w:val="001A1A52"/>
    <w:rsid w:val="001A58D7"/>
    <w:rsid w:val="001B226D"/>
    <w:rsid w:val="001E29BD"/>
    <w:rsid w:val="001F3E1C"/>
    <w:rsid w:val="00203C8C"/>
    <w:rsid w:val="002061B3"/>
    <w:rsid w:val="002252B9"/>
    <w:rsid w:val="002403A0"/>
    <w:rsid w:val="002564C1"/>
    <w:rsid w:val="00273CB1"/>
    <w:rsid w:val="00276366"/>
    <w:rsid w:val="00285C76"/>
    <w:rsid w:val="00295E98"/>
    <w:rsid w:val="002A2308"/>
    <w:rsid w:val="002C41EA"/>
    <w:rsid w:val="002C50BD"/>
    <w:rsid w:val="002F7DF5"/>
    <w:rsid w:val="00307748"/>
    <w:rsid w:val="00324A31"/>
    <w:rsid w:val="0033053D"/>
    <w:rsid w:val="00351103"/>
    <w:rsid w:val="00353C7E"/>
    <w:rsid w:val="00376991"/>
    <w:rsid w:val="003A1474"/>
    <w:rsid w:val="003A41DD"/>
    <w:rsid w:val="003E0AD5"/>
    <w:rsid w:val="003F15A4"/>
    <w:rsid w:val="00411636"/>
    <w:rsid w:val="004166D8"/>
    <w:rsid w:val="00422697"/>
    <w:rsid w:val="00423E82"/>
    <w:rsid w:val="004608A9"/>
    <w:rsid w:val="00474B3B"/>
    <w:rsid w:val="00480AF1"/>
    <w:rsid w:val="004B13AD"/>
    <w:rsid w:val="004B1F0A"/>
    <w:rsid w:val="004B3573"/>
    <w:rsid w:val="00517356"/>
    <w:rsid w:val="00545E7E"/>
    <w:rsid w:val="00552F6C"/>
    <w:rsid w:val="005723BF"/>
    <w:rsid w:val="0059069E"/>
    <w:rsid w:val="005931E6"/>
    <w:rsid w:val="005B10BB"/>
    <w:rsid w:val="005C1686"/>
    <w:rsid w:val="005C71F8"/>
    <w:rsid w:val="00611F92"/>
    <w:rsid w:val="00615E55"/>
    <w:rsid w:val="006205FE"/>
    <w:rsid w:val="00635EF8"/>
    <w:rsid w:val="00645771"/>
    <w:rsid w:val="00677716"/>
    <w:rsid w:val="006A47C9"/>
    <w:rsid w:val="006B6C8F"/>
    <w:rsid w:val="006C2DBD"/>
    <w:rsid w:val="006C4120"/>
    <w:rsid w:val="006D565B"/>
    <w:rsid w:val="00713EA5"/>
    <w:rsid w:val="00745A22"/>
    <w:rsid w:val="00747A28"/>
    <w:rsid w:val="00757CAA"/>
    <w:rsid w:val="00763475"/>
    <w:rsid w:val="00776A12"/>
    <w:rsid w:val="00782093"/>
    <w:rsid w:val="007B7D0A"/>
    <w:rsid w:val="007D2DF8"/>
    <w:rsid w:val="007D6565"/>
    <w:rsid w:val="007F75A6"/>
    <w:rsid w:val="00803303"/>
    <w:rsid w:val="00805BC6"/>
    <w:rsid w:val="00827BA8"/>
    <w:rsid w:val="008335E9"/>
    <w:rsid w:val="00835419"/>
    <w:rsid w:val="00845B46"/>
    <w:rsid w:val="0085635A"/>
    <w:rsid w:val="00861570"/>
    <w:rsid w:val="00883220"/>
    <w:rsid w:val="00887C49"/>
    <w:rsid w:val="00895ECA"/>
    <w:rsid w:val="008A6CDA"/>
    <w:rsid w:val="008D649A"/>
    <w:rsid w:val="008E366C"/>
    <w:rsid w:val="008E55A1"/>
    <w:rsid w:val="008E618B"/>
    <w:rsid w:val="00902E3E"/>
    <w:rsid w:val="009119B8"/>
    <w:rsid w:val="00931513"/>
    <w:rsid w:val="00932EDE"/>
    <w:rsid w:val="009444F4"/>
    <w:rsid w:val="00945ED2"/>
    <w:rsid w:val="009518F1"/>
    <w:rsid w:val="00956452"/>
    <w:rsid w:val="009826EF"/>
    <w:rsid w:val="00985988"/>
    <w:rsid w:val="009921BB"/>
    <w:rsid w:val="009A6300"/>
    <w:rsid w:val="009B61C5"/>
    <w:rsid w:val="009C451B"/>
    <w:rsid w:val="009D40E8"/>
    <w:rsid w:val="00A35EBA"/>
    <w:rsid w:val="00A40C7F"/>
    <w:rsid w:val="00A56157"/>
    <w:rsid w:val="00A725E7"/>
    <w:rsid w:val="00A74D5A"/>
    <w:rsid w:val="00AA2311"/>
    <w:rsid w:val="00AB1D45"/>
    <w:rsid w:val="00AB7FD8"/>
    <w:rsid w:val="00B40A20"/>
    <w:rsid w:val="00B43628"/>
    <w:rsid w:val="00B50DE9"/>
    <w:rsid w:val="00B77767"/>
    <w:rsid w:val="00B861CE"/>
    <w:rsid w:val="00BD6267"/>
    <w:rsid w:val="00BE749F"/>
    <w:rsid w:val="00C12F57"/>
    <w:rsid w:val="00C20F88"/>
    <w:rsid w:val="00C24618"/>
    <w:rsid w:val="00C41966"/>
    <w:rsid w:val="00C43341"/>
    <w:rsid w:val="00C44319"/>
    <w:rsid w:val="00C55987"/>
    <w:rsid w:val="00C6670F"/>
    <w:rsid w:val="00C750E4"/>
    <w:rsid w:val="00C824F2"/>
    <w:rsid w:val="00C90243"/>
    <w:rsid w:val="00CA4330"/>
    <w:rsid w:val="00CB7624"/>
    <w:rsid w:val="00CD28DA"/>
    <w:rsid w:val="00CF2B27"/>
    <w:rsid w:val="00CF5141"/>
    <w:rsid w:val="00D10F7C"/>
    <w:rsid w:val="00D2690A"/>
    <w:rsid w:val="00D37063"/>
    <w:rsid w:val="00DA4D3B"/>
    <w:rsid w:val="00DB4EE3"/>
    <w:rsid w:val="00DC1399"/>
    <w:rsid w:val="00DC2ED6"/>
    <w:rsid w:val="00DD2BA6"/>
    <w:rsid w:val="00DD46CD"/>
    <w:rsid w:val="00DE76BF"/>
    <w:rsid w:val="00DF6BA5"/>
    <w:rsid w:val="00E026A7"/>
    <w:rsid w:val="00E34F32"/>
    <w:rsid w:val="00E413EC"/>
    <w:rsid w:val="00E43405"/>
    <w:rsid w:val="00E51C87"/>
    <w:rsid w:val="00E54776"/>
    <w:rsid w:val="00E70FBC"/>
    <w:rsid w:val="00E93D87"/>
    <w:rsid w:val="00EA11E6"/>
    <w:rsid w:val="00EB4C93"/>
    <w:rsid w:val="00EF4065"/>
    <w:rsid w:val="00EF6D4E"/>
    <w:rsid w:val="00F010B5"/>
    <w:rsid w:val="00F10D8D"/>
    <w:rsid w:val="00F20F79"/>
    <w:rsid w:val="00F524DF"/>
    <w:rsid w:val="00F57595"/>
    <w:rsid w:val="00F60CB5"/>
    <w:rsid w:val="00F75C8E"/>
    <w:rsid w:val="00F832BC"/>
    <w:rsid w:val="00FB7F31"/>
    <w:rsid w:val="00FC488D"/>
    <w:rsid w:val="00FD2BEF"/>
    <w:rsid w:val="00FD47D1"/>
    <w:rsid w:val="00FF0E4D"/>
    <w:rsid w:val="00FF0E4F"/>
    <w:rsid w:val="00FF5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A0C55"/>
  <w15:chartTrackingRefBased/>
  <w15:docId w15:val="{2BAE9BA9-8C0A-40E2-8166-606B13E2E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41"/>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26D"/>
    <w:pPr>
      <w:ind w:left="720"/>
      <w:contextualSpacing/>
    </w:pPr>
  </w:style>
  <w:style w:type="table" w:styleId="TableGrid">
    <w:name w:val="Table Grid"/>
    <w:basedOn w:val="TableNormal"/>
    <w:uiPriority w:val="39"/>
    <w:rsid w:val="00C82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47D1"/>
    <w:rPr>
      <w:color w:val="0563C1" w:themeColor="hyperlink"/>
      <w:u w:val="single"/>
    </w:rPr>
  </w:style>
  <w:style w:type="character" w:customStyle="1" w:styleId="tlid-translation">
    <w:name w:val="tlid-translation"/>
    <w:basedOn w:val="DefaultParagraphFont"/>
    <w:rsid w:val="00126E4B"/>
  </w:style>
  <w:style w:type="paragraph" w:styleId="BalloonText">
    <w:name w:val="Balloon Text"/>
    <w:basedOn w:val="Normal"/>
    <w:link w:val="BalloonTextChar"/>
    <w:uiPriority w:val="99"/>
    <w:semiHidden/>
    <w:unhideWhenUsed/>
    <w:rsid w:val="003F15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5A4"/>
    <w:rPr>
      <w:rFonts w:ascii="Segoe UI" w:hAnsi="Segoe UI" w:cs="Segoe UI"/>
      <w:sz w:val="18"/>
      <w:szCs w:val="18"/>
    </w:rPr>
  </w:style>
  <w:style w:type="paragraph" w:styleId="FootnoteText">
    <w:name w:val="footnote text"/>
    <w:basedOn w:val="Normal"/>
    <w:link w:val="FootnoteTextChar"/>
    <w:uiPriority w:val="99"/>
    <w:unhideWhenUsed/>
    <w:rsid w:val="00EA11E6"/>
    <w:rPr>
      <w:sz w:val="20"/>
      <w:szCs w:val="20"/>
    </w:rPr>
  </w:style>
  <w:style w:type="character" w:customStyle="1" w:styleId="FootnoteTextChar">
    <w:name w:val="Footnote Text Char"/>
    <w:basedOn w:val="DefaultParagraphFont"/>
    <w:link w:val="FootnoteText"/>
    <w:uiPriority w:val="99"/>
    <w:rsid w:val="00EA11E6"/>
    <w:rPr>
      <w:sz w:val="20"/>
      <w:szCs w:val="20"/>
    </w:rPr>
  </w:style>
  <w:style w:type="character" w:styleId="FootnoteReference">
    <w:name w:val="footnote reference"/>
    <w:basedOn w:val="DefaultParagraphFont"/>
    <w:uiPriority w:val="99"/>
    <w:semiHidden/>
    <w:unhideWhenUsed/>
    <w:rsid w:val="00FC488D"/>
    <w:rPr>
      <w:vertAlign w:val="superscript"/>
    </w:rPr>
  </w:style>
  <w:style w:type="character" w:styleId="CommentReference">
    <w:name w:val="annotation reference"/>
    <w:basedOn w:val="DefaultParagraphFont"/>
    <w:uiPriority w:val="99"/>
    <w:semiHidden/>
    <w:unhideWhenUsed/>
    <w:rsid w:val="001825BD"/>
    <w:rPr>
      <w:sz w:val="16"/>
      <w:szCs w:val="16"/>
    </w:rPr>
  </w:style>
  <w:style w:type="paragraph" w:styleId="CommentText">
    <w:name w:val="annotation text"/>
    <w:basedOn w:val="Normal"/>
    <w:link w:val="CommentTextChar"/>
    <w:uiPriority w:val="99"/>
    <w:semiHidden/>
    <w:unhideWhenUsed/>
    <w:rsid w:val="001825BD"/>
    <w:rPr>
      <w:sz w:val="20"/>
      <w:szCs w:val="20"/>
    </w:rPr>
  </w:style>
  <w:style w:type="character" w:customStyle="1" w:styleId="CommentTextChar">
    <w:name w:val="Comment Text Char"/>
    <w:basedOn w:val="DefaultParagraphFont"/>
    <w:link w:val="CommentText"/>
    <w:uiPriority w:val="99"/>
    <w:semiHidden/>
    <w:rsid w:val="001825BD"/>
    <w:rPr>
      <w:sz w:val="20"/>
      <w:szCs w:val="20"/>
    </w:rPr>
  </w:style>
  <w:style w:type="paragraph" w:styleId="CommentSubject">
    <w:name w:val="annotation subject"/>
    <w:basedOn w:val="CommentText"/>
    <w:next w:val="CommentText"/>
    <w:link w:val="CommentSubjectChar"/>
    <w:uiPriority w:val="99"/>
    <w:semiHidden/>
    <w:unhideWhenUsed/>
    <w:rsid w:val="001825BD"/>
    <w:rPr>
      <w:b/>
      <w:bCs/>
    </w:rPr>
  </w:style>
  <w:style w:type="character" w:customStyle="1" w:styleId="CommentSubjectChar">
    <w:name w:val="Comment Subject Char"/>
    <w:basedOn w:val="CommentTextChar"/>
    <w:link w:val="CommentSubject"/>
    <w:uiPriority w:val="99"/>
    <w:semiHidden/>
    <w:rsid w:val="001825BD"/>
    <w:rPr>
      <w:b/>
      <w:bCs/>
      <w:sz w:val="20"/>
      <w:szCs w:val="20"/>
    </w:rPr>
  </w:style>
  <w:style w:type="paragraph" w:styleId="Title">
    <w:name w:val="Title"/>
    <w:basedOn w:val="Normal"/>
    <w:next w:val="Normal"/>
    <w:link w:val="TitleChar"/>
    <w:uiPriority w:val="10"/>
    <w:qFormat/>
    <w:rsid w:val="00A725E7"/>
    <w:pPr>
      <w:numPr>
        <w:numId w:val="7"/>
      </w:numPr>
      <w:ind w:left="340" w:hanging="340"/>
      <w:contextualSpacing/>
    </w:pPr>
    <w:rPr>
      <w:rFonts w:eastAsiaTheme="majorEastAsia" w:cstheme="majorBidi"/>
      <w:b/>
      <w:spacing w:val="-10"/>
      <w:kern w:val="28"/>
      <w:szCs w:val="56"/>
    </w:rPr>
  </w:style>
  <w:style w:type="character" w:customStyle="1" w:styleId="TitleChar">
    <w:name w:val="Title Char"/>
    <w:basedOn w:val="DefaultParagraphFont"/>
    <w:link w:val="Title"/>
    <w:uiPriority w:val="10"/>
    <w:rsid w:val="00A725E7"/>
    <w:rPr>
      <w:rFonts w:eastAsiaTheme="majorEastAsia" w:cstheme="majorBidi"/>
      <w:b/>
      <w:spacing w:val="-10"/>
      <w:kern w:val="28"/>
      <w:szCs w:val="56"/>
    </w:rPr>
  </w:style>
  <w:style w:type="paragraph" w:styleId="Header">
    <w:name w:val="header"/>
    <w:basedOn w:val="Normal"/>
    <w:link w:val="HeaderChar"/>
    <w:uiPriority w:val="99"/>
    <w:unhideWhenUsed/>
    <w:rsid w:val="00E34F32"/>
    <w:pPr>
      <w:tabs>
        <w:tab w:val="center" w:pos="4513"/>
        <w:tab w:val="right" w:pos="9026"/>
      </w:tabs>
    </w:pPr>
  </w:style>
  <w:style w:type="character" w:customStyle="1" w:styleId="HeaderChar">
    <w:name w:val="Header Char"/>
    <w:basedOn w:val="DefaultParagraphFont"/>
    <w:link w:val="Header"/>
    <w:uiPriority w:val="99"/>
    <w:rsid w:val="00E34F32"/>
  </w:style>
  <w:style w:type="paragraph" w:styleId="Footer">
    <w:name w:val="footer"/>
    <w:basedOn w:val="Normal"/>
    <w:link w:val="FooterChar"/>
    <w:uiPriority w:val="99"/>
    <w:unhideWhenUsed/>
    <w:rsid w:val="00E34F32"/>
    <w:pPr>
      <w:tabs>
        <w:tab w:val="center" w:pos="4513"/>
        <w:tab w:val="right" w:pos="9026"/>
      </w:tabs>
    </w:pPr>
  </w:style>
  <w:style w:type="character" w:customStyle="1" w:styleId="FooterChar">
    <w:name w:val="Footer Char"/>
    <w:basedOn w:val="DefaultParagraphFont"/>
    <w:link w:val="Footer"/>
    <w:uiPriority w:val="99"/>
    <w:rsid w:val="00E34F32"/>
  </w:style>
  <w:style w:type="character" w:styleId="UnresolvedMention">
    <w:name w:val="Unresolved Mention"/>
    <w:basedOn w:val="DefaultParagraphFont"/>
    <w:uiPriority w:val="99"/>
    <w:semiHidden/>
    <w:unhideWhenUsed/>
    <w:rsid w:val="00C419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619749">
      <w:bodyDiv w:val="1"/>
      <w:marLeft w:val="0"/>
      <w:marRight w:val="0"/>
      <w:marTop w:val="0"/>
      <w:marBottom w:val="0"/>
      <w:divBdr>
        <w:top w:val="none" w:sz="0" w:space="0" w:color="auto"/>
        <w:left w:val="none" w:sz="0" w:space="0" w:color="auto"/>
        <w:bottom w:val="none" w:sz="0" w:space="0" w:color="auto"/>
        <w:right w:val="none" w:sz="0" w:space="0" w:color="auto"/>
      </w:divBdr>
      <w:divsChild>
        <w:div w:id="844902560">
          <w:marLeft w:val="0"/>
          <w:marRight w:val="0"/>
          <w:marTop w:val="0"/>
          <w:marBottom w:val="0"/>
          <w:divBdr>
            <w:top w:val="none" w:sz="0" w:space="0" w:color="auto"/>
            <w:left w:val="none" w:sz="0" w:space="0" w:color="auto"/>
            <w:bottom w:val="none" w:sz="0" w:space="0" w:color="auto"/>
            <w:right w:val="none" w:sz="0" w:space="0" w:color="auto"/>
          </w:divBdr>
          <w:divsChild>
            <w:div w:id="583026531">
              <w:marLeft w:val="0"/>
              <w:marRight w:val="0"/>
              <w:marTop w:val="0"/>
              <w:marBottom w:val="0"/>
              <w:divBdr>
                <w:top w:val="none" w:sz="0" w:space="0" w:color="auto"/>
                <w:left w:val="none" w:sz="0" w:space="0" w:color="auto"/>
                <w:bottom w:val="none" w:sz="0" w:space="0" w:color="auto"/>
                <w:right w:val="none" w:sz="0" w:space="0" w:color="auto"/>
              </w:divBdr>
              <w:divsChild>
                <w:div w:id="1597593370">
                  <w:marLeft w:val="0"/>
                  <w:marRight w:val="0"/>
                  <w:marTop w:val="0"/>
                  <w:marBottom w:val="0"/>
                  <w:divBdr>
                    <w:top w:val="none" w:sz="0" w:space="0" w:color="auto"/>
                    <w:left w:val="none" w:sz="0" w:space="0" w:color="auto"/>
                    <w:bottom w:val="none" w:sz="0" w:space="0" w:color="auto"/>
                    <w:right w:val="none" w:sz="0" w:space="0" w:color="auto"/>
                  </w:divBdr>
                  <w:divsChild>
                    <w:div w:id="1173379247">
                      <w:marLeft w:val="0"/>
                      <w:marRight w:val="0"/>
                      <w:marTop w:val="0"/>
                      <w:marBottom w:val="0"/>
                      <w:divBdr>
                        <w:top w:val="none" w:sz="0" w:space="0" w:color="auto"/>
                        <w:left w:val="none" w:sz="0" w:space="0" w:color="auto"/>
                        <w:bottom w:val="none" w:sz="0" w:space="0" w:color="auto"/>
                        <w:right w:val="none" w:sz="0" w:space="0" w:color="auto"/>
                      </w:divBdr>
                      <w:divsChild>
                        <w:div w:id="130945754">
                          <w:marLeft w:val="0"/>
                          <w:marRight w:val="0"/>
                          <w:marTop w:val="0"/>
                          <w:marBottom w:val="0"/>
                          <w:divBdr>
                            <w:top w:val="none" w:sz="0" w:space="0" w:color="auto"/>
                            <w:left w:val="none" w:sz="0" w:space="0" w:color="auto"/>
                            <w:bottom w:val="none" w:sz="0" w:space="0" w:color="auto"/>
                            <w:right w:val="none" w:sz="0" w:space="0" w:color="auto"/>
                          </w:divBdr>
                          <w:divsChild>
                            <w:div w:id="899680243">
                              <w:marLeft w:val="0"/>
                              <w:marRight w:val="0"/>
                              <w:marTop w:val="0"/>
                              <w:marBottom w:val="0"/>
                              <w:divBdr>
                                <w:top w:val="none" w:sz="0" w:space="0" w:color="auto"/>
                                <w:left w:val="none" w:sz="0" w:space="0" w:color="auto"/>
                                <w:bottom w:val="none" w:sz="0" w:space="0" w:color="auto"/>
                                <w:right w:val="none" w:sz="0" w:space="0" w:color="auto"/>
                              </w:divBdr>
                              <w:divsChild>
                                <w:div w:id="1037464242">
                                  <w:marLeft w:val="0"/>
                                  <w:marRight w:val="0"/>
                                  <w:marTop w:val="0"/>
                                  <w:marBottom w:val="0"/>
                                  <w:divBdr>
                                    <w:top w:val="none" w:sz="0" w:space="0" w:color="auto"/>
                                    <w:left w:val="none" w:sz="0" w:space="0" w:color="auto"/>
                                    <w:bottom w:val="none" w:sz="0" w:space="0" w:color="auto"/>
                                    <w:right w:val="none" w:sz="0" w:space="0" w:color="auto"/>
                                  </w:divBdr>
                                  <w:divsChild>
                                    <w:div w:id="77019415">
                                      <w:marLeft w:val="0"/>
                                      <w:marRight w:val="0"/>
                                      <w:marTop w:val="0"/>
                                      <w:marBottom w:val="0"/>
                                      <w:divBdr>
                                        <w:top w:val="none" w:sz="0" w:space="0" w:color="auto"/>
                                        <w:left w:val="none" w:sz="0" w:space="0" w:color="auto"/>
                                        <w:bottom w:val="none" w:sz="0" w:space="0" w:color="auto"/>
                                        <w:right w:val="none" w:sz="0" w:space="0" w:color="auto"/>
                                      </w:divBdr>
                                      <w:divsChild>
                                        <w:div w:id="906501722">
                                          <w:marLeft w:val="0"/>
                                          <w:marRight w:val="0"/>
                                          <w:marTop w:val="0"/>
                                          <w:marBottom w:val="495"/>
                                          <w:divBdr>
                                            <w:top w:val="none" w:sz="0" w:space="0" w:color="auto"/>
                                            <w:left w:val="none" w:sz="0" w:space="0" w:color="auto"/>
                                            <w:bottom w:val="none" w:sz="0" w:space="0" w:color="auto"/>
                                            <w:right w:val="none" w:sz="0" w:space="0" w:color="auto"/>
                                          </w:divBdr>
                                          <w:divsChild>
                                            <w:div w:id="123227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9815089">
      <w:bodyDiv w:val="1"/>
      <w:marLeft w:val="0"/>
      <w:marRight w:val="0"/>
      <w:marTop w:val="0"/>
      <w:marBottom w:val="0"/>
      <w:divBdr>
        <w:top w:val="none" w:sz="0" w:space="0" w:color="auto"/>
        <w:left w:val="none" w:sz="0" w:space="0" w:color="auto"/>
        <w:bottom w:val="none" w:sz="0" w:space="0" w:color="auto"/>
        <w:right w:val="none" w:sz="0" w:space="0" w:color="auto"/>
      </w:divBdr>
    </w:div>
    <w:div w:id="1359938094">
      <w:bodyDiv w:val="1"/>
      <w:marLeft w:val="0"/>
      <w:marRight w:val="0"/>
      <w:marTop w:val="0"/>
      <w:marBottom w:val="0"/>
      <w:divBdr>
        <w:top w:val="none" w:sz="0" w:space="0" w:color="auto"/>
        <w:left w:val="none" w:sz="0" w:space="0" w:color="auto"/>
        <w:bottom w:val="none" w:sz="0" w:space="0" w:color="auto"/>
        <w:right w:val="none" w:sz="0" w:space="0" w:color="auto"/>
      </w:divBdr>
      <w:divsChild>
        <w:div w:id="755899760">
          <w:marLeft w:val="0"/>
          <w:marRight w:val="0"/>
          <w:marTop w:val="0"/>
          <w:marBottom w:val="0"/>
          <w:divBdr>
            <w:top w:val="none" w:sz="0" w:space="0" w:color="auto"/>
            <w:left w:val="none" w:sz="0" w:space="0" w:color="auto"/>
            <w:bottom w:val="none" w:sz="0" w:space="0" w:color="auto"/>
            <w:right w:val="none" w:sz="0" w:space="0" w:color="auto"/>
          </w:divBdr>
        </w:div>
      </w:divsChild>
    </w:div>
    <w:div w:id="145964262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821464164">
          <w:marLeft w:val="0"/>
          <w:marRight w:val="0"/>
          <w:marTop w:val="0"/>
          <w:marBottom w:val="0"/>
          <w:divBdr>
            <w:top w:val="none" w:sz="0" w:space="0" w:color="auto"/>
            <w:left w:val="none" w:sz="0" w:space="0" w:color="auto"/>
            <w:bottom w:val="single" w:sz="6" w:space="9" w:color="C8C8C8"/>
            <w:right w:val="none" w:sz="0" w:space="0" w:color="auto"/>
          </w:divBdr>
          <w:divsChild>
            <w:div w:id="264776461">
              <w:marLeft w:val="0"/>
              <w:marRight w:val="0"/>
              <w:marTop w:val="0"/>
              <w:marBottom w:val="0"/>
              <w:divBdr>
                <w:top w:val="none" w:sz="0" w:space="0" w:color="auto"/>
                <w:left w:val="none" w:sz="0" w:space="0" w:color="auto"/>
                <w:bottom w:val="none" w:sz="0" w:space="0" w:color="auto"/>
                <w:right w:val="none" w:sz="0" w:space="0" w:color="auto"/>
              </w:divBdr>
            </w:div>
            <w:div w:id="861549346">
              <w:marLeft w:val="0"/>
              <w:marRight w:val="0"/>
              <w:marTop w:val="0"/>
              <w:marBottom w:val="0"/>
              <w:divBdr>
                <w:top w:val="none" w:sz="0" w:space="0" w:color="auto"/>
                <w:left w:val="none" w:sz="0" w:space="0" w:color="auto"/>
                <w:bottom w:val="none" w:sz="0" w:space="0" w:color="auto"/>
                <w:right w:val="none" w:sz="0" w:space="0" w:color="auto"/>
              </w:divBdr>
            </w:div>
            <w:div w:id="1056705879">
              <w:marLeft w:val="0"/>
              <w:marRight w:val="0"/>
              <w:marTop w:val="0"/>
              <w:marBottom w:val="0"/>
              <w:divBdr>
                <w:top w:val="none" w:sz="0" w:space="0" w:color="auto"/>
                <w:left w:val="none" w:sz="0" w:space="0" w:color="auto"/>
                <w:bottom w:val="none" w:sz="0" w:space="0" w:color="auto"/>
                <w:right w:val="none" w:sz="0" w:space="0" w:color="auto"/>
              </w:divBdr>
            </w:div>
            <w:div w:id="1530947152">
              <w:marLeft w:val="0"/>
              <w:marRight w:val="0"/>
              <w:marTop w:val="0"/>
              <w:marBottom w:val="0"/>
              <w:divBdr>
                <w:top w:val="none" w:sz="0" w:space="0" w:color="auto"/>
                <w:left w:val="none" w:sz="0" w:space="0" w:color="auto"/>
                <w:bottom w:val="none" w:sz="0" w:space="0" w:color="auto"/>
                <w:right w:val="none" w:sz="0" w:space="0" w:color="auto"/>
              </w:divBdr>
            </w:div>
            <w:div w:id="1064641775">
              <w:marLeft w:val="0"/>
              <w:marRight w:val="0"/>
              <w:marTop w:val="0"/>
              <w:marBottom w:val="0"/>
              <w:divBdr>
                <w:top w:val="none" w:sz="0" w:space="0" w:color="auto"/>
                <w:left w:val="none" w:sz="0" w:space="0" w:color="auto"/>
                <w:bottom w:val="none" w:sz="0" w:space="0" w:color="auto"/>
                <w:right w:val="none" w:sz="0" w:space="0" w:color="auto"/>
              </w:divBdr>
            </w:div>
            <w:div w:id="151340708">
              <w:marLeft w:val="0"/>
              <w:marRight w:val="0"/>
              <w:marTop w:val="0"/>
              <w:marBottom w:val="0"/>
              <w:divBdr>
                <w:top w:val="none" w:sz="0" w:space="0" w:color="auto"/>
                <w:left w:val="none" w:sz="0" w:space="0" w:color="auto"/>
                <w:bottom w:val="none" w:sz="0" w:space="0" w:color="auto"/>
                <w:right w:val="none" w:sz="0" w:space="0" w:color="auto"/>
              </w:divBdr>
            </w:div>
            <w:div w:id="68197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1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616f7c-498f-4ed1-bd51-3231bbd3e7f1">
      <Terms xmlns="http://schemas.microsoft.com/office/infopath/2007/PartnerControls"/>
    </lcf76f155ced4ddcb4097134ff3c332f>
    <TaxCatchAll xmlns="b99877e3-b5f6-468e-bd72-e7b51addd53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D1743BE688E94C86044D04AE88C198" ma:contentTypeVersion="17" ma:contentTypeDescription="Create a new document." ma:contentTypeScope="" ma:versionID="a1ed0fa54b1c3e2a2e60ee1d844c9e22">
  <xsd:schema xmlns:xsd="http://www.w3.org/2001/XMLSchema" xmlns:xs="http://www.w3.org/2001/XMLSchema" xmlns:p="http://schemas.microsoft.com/office/2006/metadata/properties" xmlns:ns2="b6616f7c-498f-4ed1-bd51-3231bbd3e7f1" xmlns:ns3="b99877e3-b5f6-468e-bd72-e7b51addd53e" targetNamespace="http://schemas.microsoft.com/office/2006/metadata/properties" ma:root="true" ma:fieldsID="c67f3046b8f251173e5c24e2fcfe23fd" ns2:_="" ns3:_="">
    <xsd:import namespace="b6616f7c-498f-4ed1-bd51-3231bbd3e7f1"/>
    <xsd:import namespace="b99877e3-b5f6-468e-bd72-e7b51addd5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16f7c-498f-4ed1-bd51-3231bbd3e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dcf462-c6f4-4151-b6c9-8bc7f69719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9877e3-b5f6-468e-bd72-e7b51addd5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76d6a7-b380-4948-86d4-28386c60c41e}" ma:internalName="TaxCatchAll" ma:showField="CatchAllData" ma:web="b99877e3-b5f6-468e-bd72-e7b51addd5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5F7597-E65B-4632-B58F-8F8B81822D73}">
  <ds:schemaRefs>
    <ds:schemaRef ds:uri="http://schemas.microsoft.com/office/2006/metadata/properties"/>
    <ds:schemaRef ds:uri="http://schemas.microsoft.com/office/infopath/2007/PartnerControls"/>
    <ds:schemaRef ds:uri="b6616f7c-498f-4ed1-bd51-3231bbd3e7f1"/>
    <ds:schemaRef ds:uri="b99877e3-b5f6-468e-bd72-e7b51addd53e"/>
  </ds:schemaRefs>
</ds:datastoreItem>
</file>

<file path=customXml/itemProps2.xml><?xml version="1.0" encoding="utf-8"?>
<ds:datastoreItem xmlns:ds="http://schemas.openxmlformats.org/officeDocument/2006/customXml" ds:itemID="{B0A6DA20-4CED-42B4-9C5D-C70216571055}">
  <ds:schemaRefs>
    <ds:schemaRef ds:uri="http://schemas.openxmlformats.org/officeDocument/2006/bibliography"/>
  </ds:schemaRefs>
</ds:datastoreItem>
</file>

<file path=customXml/itemProps3.xml><?xml version="1.0" encoding="utf-8"?>
<ds:datastoreItem xmlns:ds="http://schemas.openxmlformats.org/officeDocument/2006/customXml" ds:itemID="{A0DE99D6-6926-4C3B-90EC-DF7CA138DE04}">
  <ds:schemaRefs>
    <ds:schemaRef ds:uri="http://schemas.microsoft.com/sharepoint/v3/contenttype/forms"/>
  </ds:schemaRefs>
</ds:datastoreItem>
</file>

<file path=customXml/itemProps4.xml><?xml version="1.0" encoding="utf-8"?>
<ds:datastoreItem xmlns:ds="http://schemas.openxmlformats.org/officeDocument/2006/customXml" ds:itemID="{A03990EA-8FA7-4CB6-AA3E-E3A2EBFB5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16f7c-498f-4ed1-bd51-3231bbd3e7f1"/>
    <ds:schemaRef ds:uri="b99877e3-b5f6-468e-bd72-e7b51addd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1142</Words>
  <Characters>6514</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Commission</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TKACHENKO Olga (GROW)</dc:creator>
  <cp:keywords/>
  <dc:description/>
  <cp:lastModifiedBy>Paul-Etienne Schaeffer </cp:lastModifiedBy>
  <cp:revision>7</cp:revision>
  <dcterms:created xsi:type="dcterms:W3CDTF">2025-07-08T07:55:00Z</dcterms:created>
  <dcterms:modified xsi:type="dcterms:W3CDTF">2025-07-08T12:17:00Z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2025-06-18T08:24:06Z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6409c2ea-d5e9-4bb0-ab1c-32cddb17084f</vt:lpwstr>
  </property>
  <property fmtid="{D5CDD505-2E9C-101B-9397-08002B2CF9AE}" pid="8" name="MSIP_Label_6bd9ddd1-4d20-43f6-abfa-fc3c07406f94_ContentBits">
    <vt:lpwstr>0</vt:lpwstr>
  </property>
  <property fmtid="{D5CDD505-2E9C-101B-9397-08002B2CF9AE}" pid="9" name="ContentTypeId">
    <vt:lpwstr>0x0101000ED1743BE688E94C86044D04AE88C198</vt:lpwstr>
  </property>
  <property fmtid="{D5CDD505-2E9C-101B-9397-08002B2CF9AE}" pid="10" name="MediaServiceImageTags">
    <vt:lpwstr/>
  </property>
</Properties>
</file>