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4BBA" w14:textId="578FF41C" w:rsidR="00436CDC" w:rsidRPr="00DB1773" w:rsidRDefault="00436CDC" w:rsidP="00DB1773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B1773">
        <w:rPr>
          <w:rFonts w:ascii="Arial" w:hAnsi="Arial" w:cs="Arial"/>
          <w:b/>
          <w:bCs/>
        </w:rPr>
        <w:t>Apotheke mit Zukunft: vor Ort und digital</w:t>
      </w:r>
    </w:p>
    <w:p w14:paraId="0102AC2F" w14:textId="77777777" w:rsidR="00A65C76" w:rsidRPr="00DB1773" w:rsidRDefault="00A65C76" w:rsidP="00DB1773">
      <w:pPr>
        <w:spacing w:after="0" w:line="276" w:lineRule="auto"/>
        <w:rPr>
          <w:rFonts w:ascii="Arial" w:hAnsi="Arial" w:cs="Arial"/>
          <w:u w:val="single"/>
        </w:rPr>
      </w:pPr>
    </w:p>
    <w:p w14:paraId="4706F19A" w14:textId="77777777" w:rsidR="00DB1773" w:rsidRPr="00DB1773" w:rsidRDefault="00DB1773" w:rsidP="00DB1773">
      <w:pPr>
        <w:spacing w:after="0" w:line="276" w:lineRule="auto"/>
        <w:rPr>
          <w:rFonts w:ascii="Arial" w:hAnsi="Arial" w:cs="Arial"/>
          <w:u w:val="single"/>
        </w:rPr>
      </w:pPr>
    </w:p>
    <w:p w14:paraId="3FD23DC7" w14:textId="036F2FF6" w:rsidR="00A65C76" w:rsidRPr="00DB1773" w:rsidRDefault="00A65C76" w:rsidP="00DB1773">
      <w:pPr>
        <w:spacing w:after="0" w:line="276" w:lineRule="auto"/>
        <w:rPr>
          <w:rFonts w:ascii="Arial" w:hAnsi="Arial" w:cs="Arial"/>
          <w:u w:val="single"/>
        </w:rPr>
      </w:pPr>
      <w:r w:rsidRPr="00DB1773">
        <w:rPr>
          <w:rFonts w:ascii="Arial" w:hAnsi="Arial" w:cs="Arial"/>
          <w:u w:val="single"/>
        </w:rPr>
        <w:t>Herausforderungen</w:t>
      </w:r>
    </w:p>
    <w:p w14:paraId="0479D333" w14:textId="44755D41" w:rsidR="00AF754D" w:rsidRPr="00DB1773" w:rsidRDefault="00AF754D" w:rsidP="00DB1773">
      <w:pPr>
        <w:spacing w:after="0" w:line="276" w:lineRule="auto"/>
        <w:rPr>
          <w:rFonts w:ascii="Arial" w:hAnsi="Arial" w:cs="Arial"/>
        </w:rPr>
      </w:pPr>
      <w:r w:rsidRPr="00DB1773">
        <w:rPr>
          <w:rFonts w:ascii="Arial" w:hAnsi="Arial" w:cs="Arial"/>
        </w:rPr>
        <w:t xml:space="preserve">Das E-Rezept ist seit einem Jahr </w:t>
      </w:r>
      <w:r w:rsidR="00193C96" w:rsidRPr="00DB1773">
        <w:rPr>
          <w:rFonts w:ascii="Arial" w:hAnsi="Arial" w:cs="Arial"/>
        </w:rPr>
        <w:t>Teil der R</w:t>
      </w:r>
      <w:r w:rsidRPr="00DB1773">
        <w:rPr>
          <w:rFonts w:ascii="Arial" w:hAnsi="Arial" w:cs="Arial"/>
        </w:rPr>
        <w:t xml:space="preserve">egelversorgung. </w:t>
      </w:r>
      <w:r w:rsidR="00193C96" w:rsidRPr="00DB1773">
        <w:rPr>
          <w:rFonts w:ascii="Arial" w:hAnsi="Arial" w:cs="Arial"/>
        </w:rPr>
        <w:t xml:space="preserve">Mit der Einführung des sog. Card-Link-Verfahrens stärkt sich zunehmend die Position von Versandapotheken. Sie </w:t>
      </w:r>
      <w:r w:rsidR="00EA6A5E" w:rsidRPr="00DB1773">
        <w:rPr>
          <w:rFonts w:ascii="Arial" w:hAnsi="Arial" w:cs="Arial"/>
        </w:rPr>
        <w:t xml:space="preserve">nutzen in einem rasanten Tempo und sehr prominent die Möglichkeiten, die sich durch die geänderte Gesetzgebung eröffnet haben. </w:t>
      </w:r>
      <w:r w:rsidR="00DB1773" w:rsidRPr="00DB1773">
        <w:rPr>
          <w:rFonts w:ascii="Arial" w:hAnsi="Arial" w:cs="Arial"/>
        </w:rPr>
        <w:t>Gleichzeitig drängen neue Akteure auf den Markt</w:t>
      </w:r>
      <w:r w:rsidR="00DB1773">
        <w:rPr>
          <w:rFonts w:ascii="Arial" w:hAnsi="Arial" w:cs="Arial"/>
        </w:rPr>
        <w:t xml:space="preserve">. </w:t>
      </w:r>
      <w:r w:rsidR="00193C96" w:rsidRPr="00DB1773">
        <w:rPr>
          <w:rFonts w:ascii="Arial" w:hAnsi="Arial" w:cs="Arial"/>
        </w:rPr>
        <w:t>Das</w:t>
      </w:r>
      <w:r w:rsidR="00DB1773">
        <w:rPr>
          <w:rFonts w:ascii="Arial" w:hAnsi="Arial" w:cs="Arial"/>
        </w:rPr>
        <w:t xml:space="preserve"> alles</w:t>
      </w:r>
      <w:r w:rsidR="00193C96" w:rsidRPr="00DB1773">
        <w:rPr>
          <w:rFonts w:ascii="Arial" w:hAnsi="Arial" w:cs="Arial"/>
        </w:rPr>
        <w:t xml:space="preserve"> wirkt sich unmittelbar auf die Vor-Ort-Apotheken aus.</w:t>
      </w:r>
      <w:r w:rsidR="00EA6A5E" w:rsidRPr="00DB1773">
        <w:rPr>
          <w:rFonts w:ascii="Arial" w:hAnsi="Arial" w:cs="Arial"/>
        </w:rPr>
        <w:t xml:space="preserve"> </w:t>
      </w:r>
      <w:r w:rsidR="00193C96" w:rsidRPr="00DB1773">
        <w:rPr>
          <w:rFonts w:ascii="Arial" w:hAnsi="Arial" w:cs="Arial"/>
        </w:rPr>
        <w:t xml:space="preserve">Menschen, die einmal die einfache Einlösung eines E-Rezepts per App erlebt haben, bleiben – mit Ausnahme akuter Versorgungsfälle – häufig bei diesem Modell. </w:t>
      </w:r>
      <w:r w:rsidR="00E34781" w:rsidRPr="00DB1773">
        <w:rPr>
          <w:rFonts w:ascii="Arial" w:hAnsi="Arial" w:cs="Arial"/>
        </w:rPr>
        <w:t xml:space="preserve">Insbesondere </w:t>
      </w:r>
      <w:r w:rsidR="00DB1773">
        <w:rPr>
          <w:rFonts w:ascii="Arial" w:hAnsi="Arial" w:cs="Arial"/>
        </w:rPr>
        <w:t xml:space="preserve">die vielen </w:t>
      </w:r>
      <w:r w:rsidR="00E34781" w:rsidRPr="00DB1773">
        <w:rPr>
          <w:rFonts w:ascii="Arial" w:hAnsi="Arial" w:cs="Arial"/>
        </w:rPr>
        <w:t>Menschen mit chronischen Erkrankungen, deren Rezeptbedarf in aller Regel absehbar ist, könnten</w:t>
      </w:r>
      <w:r w:rsidR="00413D48">
        <w:rPr>
          <w:rFonts w:ascii="Arial" w:hAnsi="Arial" w:cs="Arial"/>
        </w:rPr>
        <w:t xml:space="preserve"> so</w:t>
      </w:r>
      <w:r w:rsidR="00E34781" w:rsidRPr="00DB1773">
        <w:rPr>
          <w:rFonts w:ascii="Arial" w:hAnsi="Arial" w:cs="Arial"/>
        </w:rPr>
        <w:t xml:space="preserve"> der kompetenten Beratung in den Apotheken vor Ort dauerhaft verloren gehen.</w:t>
      </w:r>
    </w:p>
    <w:p w14:paraId="0BDACD23" w14:textId="77777777" w:rsidR="00FD6B14" w:rsidRPr="00DB1773" w:rsidRDefault="00FD6B14" w:rsidP="00DB1773">
      <w:pPr>
        <w:spacing w:after="0" w:line="276" w:lineRule="auto"/>
        <w:rPr>
          <w:rFonts w:ascii="Arial" w:hAnsi="Arial" w:cs="Arial"/>
          <w:u w:val="single"/>
        </w:rPr>
      </w:pPr>
    </w:p>
    <w:p w14:paraId="66AB54B1" w14:textId="61A18C8A" w:rsidR="00A65C76" w:rsidRPr="00DB1773" w:rsidRDefault="00A65C76" w:rsidP="00DB1773">
      <w:pPr>
        <w:spacing w:after="0" w:line="276" w:lineRule="auto"/>
        <w:rPr>
          <w:rFonts w:ascii="Arial" w:hAnsi="Arial" w:cs="Arial"/>
          <w:u w:val="single"/>
        </w:rPr>
      </w:pPr>
      <w:r w:rsidRPr="00DB1773">
        <w:rPr>
          <w:rFonts w:ascii="Arial" w:hAnsi="Arial" w:cs="Arial"/>
          <w:u w:val="single"/>
        </w:rPr>
        <w:t>Erkenntnis</w:t>
      </w:r>
    </w:p>
    <w:p w14:paraId="43DC961C" w14:textId="2FEE22F9" w:rsidR="003655E9" w:rsidRPr="00DB1773" w:rsidRDefault="00C648C8" w:rsidP="00DB1773">
      <w:pPr>
        <w:spacing w:after="0" w:line="276" w:lineRule="auto"/>
        <w:rPr>
          <w:rFonts w:ascii="Arial" w:hAnsi="Arial" w:cs="Arial"/>
        </w:rPr>
      </w:pPr>
      <w:r w:rsidRPr="00DB1773">
        <w:rPr>
          <w:rFonts w:ascii="Arial" w:hAnsi="Arial" w:cs="Arial"/>
        </w:rPr>
        <w:t xml:space="preserve">Menschen </w:t>
      </w:r>
      <w:r w:rsidR="0066526F" w:rsidRPr="00DB1773">
        <w:rPr>
          <w:rFonts w:ascii="Arial" w:hAnsi="Arial" w:cs="Arial"/>
        </w:rPr>
        <w:t xml:space="preserve">sind </w:t>
      </w:r>
      <w:r w:rsidR="00441196" w:rsidRPr="00DB1773">
        <w:rPr>
          <w:rFonts w:ascii="Arial" w:hAnsi="Arial" w:cs="Arial"/>
        </w:rPr>
        <w:t>heute</w:t>
      </w:r>
      <w:r w:rsidR="000C2416" w:rsidRPr="00DB1773">
        <w:rPr>
          <w:rFonts w:ascii="Arial" w:hAnsi="Arial" w:cs="Arial"/>
        </w:rPr>
        <w:t xml:space="preserve"> über ihr Smartphone nahezu</w:t>
      </w:r>
      <w:r w:rsidR="00441196" w:rsidRPr="00DB1773">
        <w:rPr>
          <w:rFonts w:ascii="Arial" w:hAnsi="Arial" w:cs="Arial"/>
        </w:rPr>
        <w:t xml:space="preserve"> </w:t>
      </w:r>
      <w:r w:rsidR="000C2416" w:rsidRPr="00DB1773">
        <w:rPr>
          <w:rFonts w:ascii="Arial" w:hAnsi="Arial" w:cs="Arial"/>
        </w:rPr>
        <w:t xml:space="preserve">überall erreichbar. </w:t>
      </w:r>
      <w:r w:rsidR="0066526F" w:rsidRPr="00DB1773">
        <w:rPr>
          <w:rFonts w:ascii="Arial" w:hAnsi="Arial" w:cs="Arial"/>
        </w:rPr>
        <w:t>Ältere bilden hier keine Ausnahme.</w:t>
      </w:r>
      <w:r w:rsidR="00BE1DBE" w:rsidRPr="00DB1773">
        <w:rPr>
          <w:rFonts w:ascii="Arial" w:hAnsi="Arial" w:cs="Arial"/>
        </w:rPr>
        <w:t xml:space="preserve"> Es gibt kaum einen </w:t>
      </w:r>
      <w:r w:rsidR="003655E9" w:rsidRPr="00DB1773">
        <w:rPr>
          <w:rFonts w:ascii="Arial" w:hAnsi="Arial" w:cs="Arial"/>
        </w:rPr>
        <w:t>B</w:t>
      </w:r>
      <w:r w:rsidR="00BE1DBE" w:rsidRPr="00DB1773">
        <w:rPr>
          <w:rFonts w:ascii="Arial" w:hAnsi="Arial" w:cs="Arial"/>
        </w:rPr>
        <w:t>ereich</w:t>
      </w:r>
      <w:r w:rsidR="003655E9" w:rsidRPr="00DB1773">
        <w:rPr>
          <w:rFonts w:ascii="Arial" w:hAnsi="Arial" w:cs="Arial"/>
        </w:rPr>
        <w:t>,</w:t>
      </w:r>
      <w:r w:rsidR="00BE1DBE" w:rsidRPr="00DB1773">
        <w:rPr>
          <w:rFonts w:ascii="Arial" w:hAnsi="Arial" w:cs="Arial"/>
        </w:rPr>
        <w:t xml:space="preserve"> der </w:t>
      </w:r>
      <w:r w:rsidR="000C2416" w:rsidRPr="00DB1773">
        <w:rPr>
          <w:rFonts w:ascii="Arial" w:hAnsi="Arial" w:cs="Arial"/>
        </w:rPr>
        <w:t>von der zunehmenden Verlagerung vo</w:t>
      </w:r>
      <w:r w:rsidR="00962ECE" w:rsidRPr="00DB1773">
        <w:rPr>
          <w:rFonts w:ascii="Arial" w:hAnsi="Arial" w:cs="Arial"/>
        </w:rPr>
        <w:t>m</w:t>
      </w:r>
      <w:r w:rsidR="000C2416" w:rsidRPr="00DB1773">
        <w:rPr>
          <w:rFonts w:ascii="Arial" w:hAnsi="Arial" w:cs="Arial"/>
        </w:rPr>
        <w:t xml:space="preserve"> stationären hin zu</w:t>
      </w:r>
      <w:r w:rsidR="00962ECE" w:rsidRPr="00DB1773">
        <w:rPr>
          <w:rFonts w:ascii="Arial" w:hAnsi="Arial" w:cs="Arial"/>
        </w:rPr>
        <w:t>m</w:t>
      </w:r>
      <w:r w:rsidR="000C2416" w:rsidRPr="00DB1773">
        <w:rPr>
          <w:rFonts w:ascii="Arial" w:hAnsi="Arial" w:cs="Arial"/>
        </w:rPr>
        <w:t xml:space="preserve"> </w:t>
      </w:r>
      <w:r w:rsidR="003655E9" w:rsidRPr="00DB1773">
        <w:rPr>
          <w:rFonts w:ascii="Arial" w:hAnsi="Arial" w:cs="Arial"/>
        </w:rPr>
        <w:t>O</w:t>
      </w:r>
      <w:r w:rsidR="000C2416" w:rsidRPr="00DB1773">
        <w:rPr>
          <w:rFonts w:ascii="Arial" w:hAnsi="Arial" w:cs="Arial"/>
        </w:rPr>
        <w:t>nline-Eink</w:t>
      </w:r>
      <w:r w:rsidR="00962ECE" w:rsidRPr="00DB1773">
        <w:rPr>
          <w:rFonts w:ascii="Arial" w:hAnsi="Arial" w:cs="Arial"/>
        </w:rPr>
        <w:t>auf</w:t>
      </w:r>
      <w:r w:rsidR="00BE1DBE" w:rsidRPr="00DB1773">
        <w:rPr>
          <w:rFonts w:ascii="Arial" w:hAnsi="Arial" w:cs="Arial"/>
        </w:rPr>
        <w:t xml:space="preserve"> nicht </w:t>
      </w:r>
      <w:r w:rsidR="000C2416" w:rsidRPr="00DB1773">
        <w:rPr>
          <w:rFonts w:ascii="Arial" w:hAnsi="Arial" w:cs="Arial"/>
        </w:rPr>
        <w:t xml:space="preserve">massiv </w:t>
      </w:r>
      <w:r w:rsidR="00BE1DBE" w:rsidRPr="00DB1773">
        <w:rPr>
          <w:rFonts w:ascii="Arial" w:hAnsi="Arial" w:cs="Arial"/>
        </w:rPr>
        <w:t xml:space="preserve">betroffen ist. Dies gilt </w:t>
      </w:r>
      <w:r w:rsidR="000C2416" w:rsidRPr="00DB1773">
        <w:rPr>
          <w:rFonts w:ascii="Arial" w:hAnsi="Arial" w:cs="Arial"/>
        </w:rPr>
        <w:t xml:space="preserve">auch </w:t>
      </w:r>
      <w:r w:rsidR="00BE1DBE" w:rsidRPr="00DB1773">
        <w:rPr>
          <w:rFonts w:ascii="Arial" w:hAnsi="Arial" w:cs="Arial"/>
        </w:rPr>
        <w:t xml:space="preserve">immer mehr für die </w:t>
      </w:r>
      <w:r w:rsidR="006A58F2" w:rsidRPr="00DB1773">
        <w:rPr>
          <w:rFonts w:ascii="Arial" w:hAnsi="Arial" w:cs="Arial"/>
        </w:rPr>
        <w:t>Vor-Ort-</w:t>
      </w:r>
      <w:r w:rsidR="00BE1DBE" w:rsidRPr="00DB1773">
        <w:rPr>
          <w:rFonts w:ascii="Arial" w:hAnsi="Arial" w:cs="Arial"/>
        </w:rPr>
        <w:t>Apotheken</w:t>
      </w:r>
      <w:r w:rsidR="006A58F2" w:rsidRPr="00DB1773">
        <w:rPr>
          <w:rFonts w:ascii="Arial" w:hAnsi="Arial" w:cs="Arial"/>
        </w:rPr>
        <w:t>.</w:t>
      </w:r>
      <w:r w:rsidR="00BE1DBE" w:rsidRPr="00DB1773">
        <w:rPr>
          <w:rFonts w:ascii="Arial" w:hAnsi="Arial" w:cs="Arial"/>
        </w:rPr>
        <w:t xml:space="preserve"> </w:t>
      </w:r>
      <w:r w:rsidR="003655E9" w:rsidRPr="00DB1773">
        <w:rPr>
          <w:rFonts w:ascii="Arial" w:hAnsi="Arial" w:cs="Arial"/>
        </w:rPr>
        <w:t xml:space="preserve">Ihre starke lokale Präsenz allein reicht nicht mehr aus. Apotheken müssen </w:t>
      </w:r>
      <w:r w:rsidR="00DB1773">
        <w:rPr>
          <w:rFonts w:ascii="Arial" w:hAnsi="Arial" w:cs="Arial"/>
        </w:rPr>
        <w:t xml:space="preserve">gleichermaßen </w:t>
      </w:r>
      <w:r w:rsidR="003655E9" w:rsidRPr="00DB1773">
        <w:rPr>
          <w:rFonts w:ascii="Arial" w:hAnsi="Arial" w:cs="Arial"/>
        </w:rPr>
        <w:t xml:space="preserve">digital präsent und ansprechbar sein. Dazu gehören eine überzeugende Internetpräsenz und digitale Dienstleistungen wie die Einlösung von E-Rezepten oder Vorbestellungen per App. Diese Entwicklung entspricht klar der Kundenerwartung. Wer auch in Zukunft wettbewerbsfähig bleiben möchte, sollte diesen </w:t>
      </w:r>
      <w:r w:rsidR="001B50CD">
        <w:rPr>
          <w:rFonts w:ascii="Arial" w:hAnsi="Arial" w:cs="Arial"/>
        </w:rPr>
        <w:t>W</w:t>
      </w:r>
      <w:r w:rsidR="003655E9" w:rsidRPr="00DB1773">
        <w:rPr>
          <w:rFonts w:ascii="Arial" w:hAnsi="Arial" w:cs="Arial"/>
        </w:rPr>
        <w:t>unsch nicht ignorieren. Eine parallele Präsenz vor Ort und in der digitalen Welt ist für Apotheken nicht nur eine Chance, sondern eine Notwendigkeit.</w:t>
      </w:r>
    </w:p>
    <w:p w14:paraId="6CA9F009" w14:textId="77777777" w:rsidR="003655E9" w:rsidRPr="00DB1773" w:rsidRDefault="003655E9" w:rsidP="00DB1773">
      <w:pPr>
        <w:spacing w:after="0" w:line="276" w:lineRule="auto"/>
        <w:rPr>
          <w:rFonts w:ascii="Arial" w:hAnsi="Arial" w:cs="Arial"/>
        </w:rPr>
      </w:pPr>
    </w:p>
    <w:p w14:paraId="27041634" w14:textId="497AF6C7" w:rsidR="00A65C76" w:rsidRPr="00DB1773" w:rsidRDefault="00A65C76" w:rsidP="00DB1773">
      <w:pPr>
        <w:spacing w:after="0" w:line="276" w:lineRule="auto"/>
        <w:rPr>
          <w:rFonts w:ascii="Arial" w:hAnsi="Arial" w:cs="Arial"/>
          <w:u w:val="single"/>
        </w:rPr>
      </w:pPr>
      <w:r w:rsidRPr="00DB1773">
        <w:rPr>
          <w:rFonts w:ascii="Arial" w:hAnsi="Arial" w:cs="Arial"/>
          <w:u w:val="single"/>
        </w:rPr>
        <w:t>Chancen</w:t>
      </w:r>
    </w:p>
    <w:p w14:paraId="63A94105" w14:textId="437FC7C4" w:rsidR="0066526F" w:rsidRPr="00DB1773" w:rsidRDefault="003655E9" w:rsidP="00DB1773">
      <w:pPr>
        <w:spacing w:after="0" w:line="276" w:lineRule="auto"/>
        <w:rPr>
          <w:rFonts w:ascii="Arial" w:hAnsi="Arial" w:cs="Arial"/>
        </w:rPr>
      </w:pPr>
      <w:r w:rsidRPr="00DB1773">
        <w:rPr>
          <w:rFonts w:ascii="Arial" w:hAnsi="Arial" w:cs="Arial"/>
        </w:rPr>
        <w:t>Es gibt zahlreiche Gelegenheiten</w:t>
      </w:r>
      <w:r w:rsidR="003C126A" w:rsidRPr="00DB1773">
        <w:rPr>
          <w:rFonts w:ascii="Arial" w:hAnsi="Arial" w:cs="Arial"/>
        </w:rPr>
        <w:t xml:space="preserve">, </w:t>
      </w:r>
      <w:r w:rsidRPr="00DB1773">
        <w:rPr>
          <w:rFonts w:ascii="Arial" w:hAnsi="Arial" w:cs="Arial"/>
        </w:rPr>
        <w:t>Apothekenk</w:t>
      </w:r>
      <w:r w:rsidR="003C126A" w:rsidRPr="00DB1773">
        <w:rPr>
          <w:rFonts w:ascii="Arial" w:hAnsi="Arial" w:cs="Arial"/>
        </w:rPr>
        <w:t xml:space="preserve">unden </w:t>
      </w:r>
      <w:r w:rsidR="006A58F2" w:rsidRPr="00DB1773">
        <w:rPr>
          <w:rFonts w:ascii="Arial" w:hAnsi="Arial" w:cs="Arial"/>
        </w:rPr>
        <w:t xml:space="preserve">auf </w:t>
      </w:r>
      <w:r w:rsidR="00A65C76" w:rsidRPr="00DB1773">
        <w:rPr>
          <w:rFonts w:ascii="Arial" w:hAnsi="Arial" w:cs="Arial"/>
        </w:rPr>
        <w:t>digitale Angebot</w:t>
      </w:r>
      <w:r w:rsidRPr="00DB1773">
        <w:rPr>
          <w:rFonts w:ascii="Arial" w:hAnsi="Arial" w:cs="Arial"/>
        </w:rPr>
        <w:t>e und</w:t>
      </w:r>
      <w:r w:rsidR="0066526F" w:rsidRPr="00DB1773">
        <w:rPr>
          <w:rFonts w:ascii="Arial" w:hAnsi="Arial" w:cs="Arial"/>
        </w:rPr>
        <w:t xml:space="preserve"> Erreichbarkeit</w:t>
      </w:r>
      <w:r w:rsidRPr="00DB1773">
        <w:rPr>
          <w:rFonts w:ascii="Arial" w:hAnsi="Arial" w:cs="Arial"/>
        </w:rPr>
        <w:t>en</w:t>
      </w:r>
      <w:r w:rsidR="0066526F" w:rsidRPr="00DB1773">
        <w:rPr>
          <w:rFonts w:ascii="Arial" w:hAnsi="Arial" w:cs="Arial"/>
        </w:rPr>
        <w:t xml:space="preserve"> an</w:t>
      </w:r>
      <w:r w:rsidR="00A65C76" w:rsidRPr="00DB1773">
        <w:rPr>
          <w:rFonts w:ascii="Arial" w:hAnsi="Arial" w:cs="Arial"/>
        </w:rPr>
        <w:t>zusprechen</w:t>
      </w:r>
      <w:r w:rsidRPr="00DB1773">
        <w:rPr>
          <w:rFonts w:ascii="Arial" w:hAnsi="Arial" w:cs="Arial"/>
        </w:rPr>
        <w:t xml:space="preserve">, </w:t>
      </w:r>
      <w:r w:rsidR="00EA6A5E" w:rsidRPr="00DB1773">
        <w:rPr>
          <w:rFonts w:ascii="Arial" w:hAnsi="Arial" w:cs="Arial"/>
        </w:rPr>
        <w:t>beispielsweise</w:t>
      </w:r>
      <w:r w:rsidRPr="00DB1773">
        <w:rPr>
          <w:rFonts w:ascii="Arial" w:hAnsi="Arial" w:cs="Arial"/>
        </w:rPr>
        <w:t>:</w:t>
      </w:r>
    </w:p>
    <w:p w14:paraId="4BFCB959" w14:textId="77777777" w:rsidR="003C126A" w:rsidRPr="00DB1773" w:rsidRDefault="003C126A" w:rsidP="00DB1773">
      <w:pPr>
        <w:spacing w:after="0" w:line="276" w:lineRule="auto"/>
        <w:rPr>
          <w:rFonts w:ascii="Arial" w:hAnsi="Arial" w:cs="Arial"/>
        </w:rPr>
      </w:pPr>
    </w:p>
    <w:p w14:paraId="416ECD8B" w14:textId="3E51FB55" w:rsidR="00AF754D" w:rsidRPr="00DB1773" w:rsidRDefault="00A65C76" w:rsidP="00DB1773">
      <w:pPr>
        <w:pStyle w:val="Listenabsatz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B1773">
        <w:rPr>
          <w:rFonts w:ascii="Arial" w:hAnsi="Arial" w:cs="Arial"/>
        </w:rPr>
        <w:t>w</w:t>
      </w:r>
      <w:r w:rsidR="00AF754D" w:rsidRPr="00DB1773">
        <w:rPr>
          <w:rFonts w:ascii="Arial" w:hAnsi="Arial" w:cs="Arial"/>
        </w:rPr>
        <w:t>enn das E-Rezept nicht abgerufen werden kann</w:t>
      </w:r>
      <w:r w:rsidRPr="00DB1773">
        <w:rPr>
          <w:rFonts w:ascii="Arial" w:hAnsi="Arial" w:cs="Arial"/>
        </w:rPr>
        <w:t>,</w:t>
      </w:r>
    </w:p>
    <w:p w14:paraId="7A1514A7" w14:textId="77777777" w:rsidR="00EA6A5E" w:rsidRPr="00DB1773" w:rsidRDefault="00EA6A5E" w:rsidP="00DB1773">
      <w:pPr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</w:rPr>
      </w:pPr>
      <w:r w:rsidRPr="00DB1773">
        <w:rPr>
          <w:rFonts w:ascii="Arial" w:hAnsi="Arial" w:cs="Arial"/>
        </w:rPr>
        <w:t>wenn ein Produkt bestellt werden muss, da es nicht auf Lager ist,</w:t>
      </w:r>
    </w:p>
    <w:p w14:paraId="7270194C" w14:textId="7EB23C5D" w:rsidR="00EA6A5E" w:rsidRPr="00DB1773" w:rsidRDefault="00EA6A5E" w:rsidP="00DB1773">
      <w:pPr>
        <w:numPr>
          <w:ilvl w:val="0"/>
          <w:numId w:val="6"/>
        </w:numPr>
        <w:spacing w:after="0" w:line="276" w:lineRule="auto"/>
        <w:ind w:left="567" w:hanging="283"/>
        <w:rPr>
          <w:rFonts w:ascii="Arial" w:hAnsi="Arial" w:cs="Arial"/>
        </w:rPr>
      </w:pPr>
      <w:r w:rsidRPr="00DB1773">
        <w:rPr>
          <w:rFonts w:ascii="Arial" w:hAnsi="Arial" w:cs="Arial"/>
        </w:rPr>
        <w:t>bei der Übergabe an Abholkunden,</w:t>
      </w:r>
    </w:p>
    <w:p w14:paraId="36B05DAA" w14:textId="3C1A527F" w:rsidR="00A65C76" w:rsidRPr="00DB1773" w:rsidRDefault="00EA6A5E" w:rsidP="00DB1773">
      <w:pPr>
        <w:pStyle w:val="Listenabsatz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</w:rPr>
      </w:pPr>
      <w:r w:rsidRPr="00DB1773">
        <w:rPr>
          <w:rFonts w:ascii="Arial" w:hAnsi="Arial" w:cs="Arial"/>
        </w:rPr>
        <w:t xml:space="preserve">durch </w:t>
      </w:r>
      <w:r w:rsidR="00AF754D" w:rsidRPr="00DB1773">
        <w:rPr>
          <w:rFonts w:ascii="Arial" w:hAnsi="Arial" w:cs="Arial"/>
        </w:rPr>
        <w:t>eine</w:t>
      </w:r>
      <w:r w:rsidRPr="00DB1773">
        <w:rPr>
          <w:rFonts w:ascii="Arial" w:hAnsi="Arial" w:cs="Arial"/>
        </w:rPr>
        <w:t>n</w:t>
      </w:r>
      <w:r w:rsidR="00AF754D" w:rsidRPr="00DB1773">
        <w:rPr>
          <w:rFonts w:ascii="Arial" w:hAnsi="Arial" w:cs="Arial"/>
        </w:rPr>
        <w:t xml:space="preserve"> Flyer in</w:t>
      </w:r>
      <w:r w:rsidRPr="00DB1773">
        <w:rPr>
          <w:rFonts w:ascii="Arial" w:hAnsi="Arial" w:cs="Arial"/>
        </w:rPr>
        <w:t xml:space="preserve"> </w:t>
      </w:r>
      <w:r w:rsidR="00AF754D" w:rsidRPr="00DB1773">
        <w:rPr>
          <w:rFonts w:ascii="Arial" w:hAnsi="Arial" w:cs="Arial"/>
        </w:rPr>
        <w:t>der Botendienst-Tüte</w:t>
      </w:r>
      <w:r w:rsidR="00A65C76" w:rsidRPr="00DB1773">
        <w:rPr>
          <w:rFonts w:ascii="Arial" w:hAnsi="Arial" w:cs="Arial"/>
        </w:rPr>
        <w:t>,</w:t>
      </w:r>
    </w:p>
    <w:p w14:paraId="53A04FAF" w14:textId="109D4854" w:rsidR="00AF754D" w:rsidRPr="00DB1773" w:rsidRDefault="00A65C76" w:rsidP="00DB1773">
      <w:pPr>
        <w:pStyle w:val="Listenabsatz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</w:rPr>
      </w:pPr>
      <w:r w:rsidRPr="00DB1773">
        <w:rPr>
          <w:rFonts w:ascii="Arial" w:hAnsi="Arial" w:cs="Arial"/>
        </w:rPr>
        <w:t>b</w:t>
      </w:r>
      <w:r w:rsidR="00AF754D" w:rsidRPr="00DB1773">
        <w:rPr>
          <w:rFonts w:ascii="Arial" w:hAnsi="Arial" w:cs="Arial"/>
        </w:rPr>
        <w:t>ei telefonischen Bestellungen</w:t>
      </w:r>
      <w:r w:rsidRPr="00DB1773">
        <w:rPr>
          <w:rFonts w:ascii="Arial" w:hAnsi="Arial" w:cs="Arial"/>
        </w:rPr>
        <w:t xml:space="preserve"> oder</w:t>
      </w:r>
    </w:p>
    <w:p w14:paraId="2E03CCB0" w14:textId="765D9177" w:rsidR="0066526F" w:rsidRPr="00DB1773" w:rsidRDefault="00A65C76" w:rsidP="00DB1773">
      <w:pPr>
        <w:pStyle w:val="Listenabsatz"/>
        <w:numPr>
          <w:ilvl w:val="0"/>
          <w:numId w:val="4"/>
        </w:numPr>
        <w:spacing w:after="0" w:line="276" w:lineRule="auto"/>
        <w:ind w:left="567" w:hanging="283"/>
        <w:rPr>
          <w:rFonts w:ascii="Arial" w:hAnsi="Arial" w:cs="Arial"/>
        </w:rPr>
      </w:pPr>
      <w:r w:rsidRPr="00DB1773">
        <w:rPr>
          <w:rFonts w:ascii="Arial" w:hAnsi="Arial" w:cs="Arial"/>
        </w:rPr>
        <w:t>b</w:t>
      </w:r>
      <w:r w:rsidR="00AF754D" w:rsidRPr="00DB1773">
        <w:rPr>
          <w:rFonts w:ascii="Arial" w:hAnsi="Arial" w:cs="Arial"/>
        </w:rPr>
        <w:t>ei</w:t>
      </w:r>
      <w:r w:rsidR="00EA6A5E" w:rsidRPr="00DB1773">
        <w:rPr>
          <w:rFonts w:ascii="Arial" w:hAnsi="Arial" w:cs="Arial"/>
        </w:rPr>
        <w:t xml:space="preserve"> der</w:t>
      </w:r>
      <w:r w:rsidR="00AF754D" w:rsidRPr="00DB1773">
        <w:rPr>
          <w:rFonts w:ascii="Arial" w:hAnsi="Arial" w:cs="Arial"/>
        </w:rPr>
        <w:t xml:space="preserve"> Bezahlung von OTC-Einkäufen per Smartphone</w:t>
      </w:r>
      <w:r w:rsidR="00EA6A5E" w:rsidRPr="00DB1773">
        <w:rPr>
          <w:rFonts w:ascii="Arial" w:hAnsi="Arial" w:cs="Arial"/>
        </w:rPr>
        <w:t>.</w:t>
      </w:r>
    </w:p>
    <w:p w14:paraId="1BFE178E" w14:textId="77777777" w:rsidR="003C126A" w:rsidRPr="00DB1773" w:rsidRDefault="003C126A" w:rsidP="00DB1773">
      <w:pPr>
        <w:spacing w:after="0" w:line="276" w:lineRule="auto"/>
        <w:jc w:val="both"/>
        <w:rPr>
          <w:rFonts w:ascii="Arial" w:hAnsi="Arial" w:cs="Arial"/>
        </w:rPr>
      </w:pPr>
    </w:p>
    <w:p w14:paraId="7E6E222C" w14:textId="3B0D8401" w:rsidR="00DB1773" w:rsidRDefault="00EA6A5E" w:rsidP="00DB1773">
      <w:pPr>
        <w:spacing w:after="0" w:line="276" w:lineRule="auto"/>
        <w:rPr>
          <w:rFonts w:ascii="Arial" w:hAnsi="Arial" w:cs="Arial"/>
        </w:rPr>
      </w:pPr>
      <w:r w:rsidRPr="00DB1773">
        <w:rPr>
          <w:rFonts w:ascii="Arial" w:hAnsi="Arial" w:cs="Arial"/>
        </w:rPr>
        <w:t>Jeder Kundenkontakt bietet Potenzial, um den Mehrwert der digitalen Angebote der Vor-Ort-Apotheke hervorzuheben. So kann selbst aus einer anfänglichen Herausforderung</w:t>
      </w:r>
      <w:r w:rsidR="00DB1773">
        <w:rPr>
          <w:rFonts w:ascii="Arial" w:hAnsi="Arial" w:cs="Arial"/>
        </w:rPr>
        <w:t xml:space="preserve">, </w:t>
      </w:r>
      <w:r w:rsidRPr="00DB1773">
        <w:rPr>
          <w:rFonts w:ascii="Arial" w:hAnsi="Arial" w:cs="Arial"/>
        </w:rPr>
        <w:t>wie</w:t>
      </w:r>
      <w:r w:rsidR="00DB1773">
        <w:rPr>
          <w:rFonts w:ascii="Arial" w:hAnsi="Arial" w:cs="Arial"/>
        </w:rPr>
        <w:t xml:space="preserve"> z. B.</w:t>
      </w:r>
      <w:r w:rsidRPr="00DB1773">
        <w:rPr>
          <w:rFonts w:ascii="Arial" w:hAnsi="Arial" w:cs="Arial"/>
        </w:rPr>
        <w:t xml:space="preserve"> der notwendigen Bestellung eines Arzneimittel</w:t>
      </w:r>
      <w:r w:rsidR="00DB1773">
        <w:rPr>
          <w:rFonts w:ascii="Arial" w:hAnsi="Arial" w:cs="Arial"/>
        </w:rPr>
        <w:t>s,</w:t>
      </w:r>
      <w:r w:rsidRPr="00DB1773">
        <w:rPr>
          <w:rFonts w:ascii="Arial" w:hAnsi="Arial" w:cs="Arial"/>
        </w:rPr>
        <w:t xml:space="preserve"> ein positiver Impuls werden</w:t>
      </w:r>
      <w:r w:rsidR="00DB1773">
        <w:rPr>
          <w:rFonts w:ascii="Arial" w:hAnsi="Arial" w:cs="Arial"/>
        </w:rPr>
        <w:t>.</w:t>
      </w:r>
    </w:p>
    <w:p w14:paraId="47FC53B9" w14:textId="77777777" w:rsidR="00DB1773" w:rsidRDefault="00DB1773" w:rsidP="00DB1773">
      <w:pPr>
        <w:spacing w:after="0" w:line="276" w:lineRule="auto"/>
        <w:rPr>
          <w:rFonts w:ascii="Arial" w:hAnsi="Arial" w:cs="Arial"/>
        </w:rPr>
      </w:pPr>
    </w:p>
    <w:p w14:paraId="5274BD97" w14:textId="6221DBDB" w:rsidR="0066526F" w:rsidRPr="00413D48" w:rsidRDefault="00EA6A5E" w:rsidP="00DB1773">
      <w:pPr>
        <w:spacing w:after="0" w:line="276" w:lineRule="auto"/>
        <w:rPr>
          <w:rFonts w:ascii="Arial" w:hAnsi="Arial" w:cs="Arial"/>
          <w:b/>
          <w:bCs/>
        </w:rPr>
      </w:pPr>
      <w:r w:rsidRPr="00413D48">
        <w:rPr>
          <w:rFonts w:ascii="Arial" w:hAnsi="Arial" w:cs="Arial"/>
          <w:b/>
          <w:bCs/>
        </w:rPr>
        <w:t>Die persönliche Beratung und der Mehrwert einer Vor-Ort-Apotheke sind seit jeher ein Erfolgsfaktor. Nutzen Sie die Chance, diesen Mehrwert auch digital erlebbar zu machen.</w:t>
      </w:r>
    </w:p>
    <w:sectPr w:rsidR="0066526F" w:rsidRPr="00413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67496" w14:textId="77777777" w:rsidR="00534468" w:rsidRDefault="00534468" w:rsidP="00140766">
      <w:pPr>
        <w:spacing w:after="0" w:line="240" w:lineRule="auto"/>
      </w:pPr>
      <w:r>
        <w:separator/>
      </w:r>
    </w:p>
  </w:endnote>
  <w:endnote w:type="continuationSeparator" w:id="0">
    <w:p w14:paraId="64D5D9E0" w14:textId="77777777" w:rsidR="00534468" w:rsidRDefault="00534468" w:rsidP="0014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4EA2" w14:textId="77777777" w:rsidR="00140766" w:rsidRDefault="001407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65E70" w14:textId="77777777" w:rsidR="00140766" w:rsidRDefault="0014076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A63D8" w14:textId="77777777" w:rsidR="00140766" w:rsidRDefault="001407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74DE7" w14:textId="77777777" w:rsidR="00534468" w:rsidRDefault="00534468" w:rsidP="00140766">
      <w:pPr>
        <w:spacing w:after="0" w:line="240" w:lineRule="auto"/>
      </w:pPr>
      <w:r>
        <w:separator/>
      </w:r>
    </w:p>
  </w:footnote>
  <w:footnote w:type="continuationSeparator" w:id="0">
    <w:p w14:paraId="57B11ADF" w14:textId="77777777" w:rsidR="00534468" w:rsidRDefault="00534468" w:rsidP="00140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A6186" w14:textId="77777777" w:rsidR="00140766" w:rsidRDefault="001407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2A558" w14:textId="0DD812E2" w:rsidR="00140766" w:rsidRDefault="001407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AD9F6" w14:textId="77777777" w:rsidR="00140766" w:rsidRDefault="001407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5082F"/>
    <w:multiLevelType w:val="hybridMultilevel"/>
    <w:tmpl w:val="63E0E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76B29"/>
    <w:multiLevelType w:val="hybridMultilevel"/>
    <w:tmpl w:val="5A563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7A91"/>
    <w:multiLevelType w:val="hybridMultilevel"/>
    <w:tmpl w:val="FAFAFCFC"/>
    <w:lvl w:ilvl="0" w:tplc="24CC31E2">
      <w:start w:val="1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9DA"/>
    <w:multiLevelType w:val="hybridMultilevel"/>
    <w:tmpl w:val="BDB09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4626E"/>
    <w:multiLevelType w:val="multilevel"/>
    <w:tmpl w:val="E44E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47756"/>
    <w:multiLevelType w:val="hybridMultilevel"/>
    <w:tmpl w:val="EEF61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2382">
    <w:abstractNumId w:val="0"/>
  </w:num>
  <w:num w:numId="2" w16cid:durableId="1683167645">
    <w:abstractNumId w:val="2"/>
  </w:num>
  <w:num w:numId="3" w16cid:durableId="1401322868">
    <w:abstractNumId w:val="5"/>
  </w:num>
  <w:num w:numId="4" w16cid:durableId="967124097">
    <w:abstractNumId w:val="3"/>
  </w:num>
  <w:num w:numId="5" w16cid:durableId="1129279677">
    <w:abstractNumId w:val="1"/>
  </w:num>
  <w:num w:numId="6" w16cid:durableId="131067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4D"/>
    <w:rsid w:val="0007187D"/>
    <w:rsid w:val="000748E2"/>
    <w:rsid w:val="000C2416"/>
    <w:rsid w:val="000C6EAB"/>
    <w:rsid w:val="000E4107"/>
    <w:rsid w:val="00140766"/>
    <w:rsid w:val="00166709"/>
    <w:rsid w:val="00193C96"/>
    <w:rsid w:val="001B50CD"/>
    <w:rsid w:val="001C550C"/>
    <w:rsid w:val="002E2ABB"/>
    <w:rsid w:val="002F0129"/>
    <w:rsid w:val="0034662C"/>
    <w:rsid w:val="003655E9"/>
    <w:rsid w:val="003C126A"/>
    <w:rsid w:val="00413D48"/>
    <w:rsid w:val="00436CDC"/>
    <w:rsid w:val="00441196"/>
    <w:rsid w:val="004E1FCD"/>
    <w:rsid w:val="004F5E0F"/>
    <w:rsid w:val="00534468"/>
    <w:rsid w:val="00562A48"/>
    <w:rsid w:val="00607CC3"/>
    <w:rsid w:val="00610D4E"/>
    <w:rsid w:val="006631C3"/>
    <w:rsid w:val="0066526F"/>
    <w:rsid w:val="006A58F2"/>
    <w:rsid w:val="007B090F"/>
    <w:rsid w:val="008359D0"/>
    <w:rsid w:val="008D20F7"/>
    <w:rsid w:val="00962ECE"/>
    <w:rsid w:val="00A3633C"/>
    <w:rsid w:val="00A65C76"/>
    <w:rsid w:val="00AF754D"/>
    <w:rsid w:val="00B77936"/>
    <w:rsid w:val="00BE0A4D"/>
    <w:rsid w:val="00BE1DBE"/>
    <w:rsid w:val="00C2343A"/>
    <w:rsid w:val="00C6455A"/>
    <w:rsid w:val="00C648C8"/>
    <w:rsid w:val="00C660AA"/>
    <w:rsid w:val="00DB1773"/>
    <w:rsid w:val="00DC78A5"/>
    <w:rsid w:val="00E34781"/>
    <w:rsid w:val="00EA6A5E"/>
    <w:rsid w:val="00EF4566"/>
    <w:rsid w:val="00F118C8"/>
    <w:rsid w:val="00F339C7"/>
    <w:rsid w:val="00F477B0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E2FBE"/>
  <w15:chartTrackingRefBased/>
  <w15:docId w15:val="{0B97D7D8-A739-487E-AF05-C058AB67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75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75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75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75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75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75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75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75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75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75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754D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4119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77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7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77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7B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4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766"/>
  </w:style>
  <w:style w:type="paragraph" w:styleId="Fuzeile">
    <w:name w:val="footer"/>
    <w:basedOn w:val="Standard"/>
    <w:link w:val="FuzeileZchn"/>
    <w:uiPriority w:val="99"/>
    <w:unhideWhenUsed/>
    <w:rsid w:val="0014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7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241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24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Boden</dc:creator>
  <cp:keywords/>
  <dc:description/>
  <cp:lastModifiedBy>Lutz Boden</cp:lastModifiedBy>
  <cp:revision>5</cp:revision>
  <dcterms:created xsi:type="dcterms:W3CDTF">2024-11-28T16:11:00Z</dcterms:created>
  <dcterms:modified xsi:type="dcterms:W3CDTF">2024-11-30T13:11:00Z</dcterms:modified>
</cp:coreProperties>
</file>