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2296"/>
        <w:gridCol w:w="2943"/>
        <w:gridCol w:w="3294"/>
      </w:tblGrid>
      <w:tr w:rsidR="00D539AC" w:rsidRPr="001F4433" w14:paraId="5BB2A7BC" w14:textId="77777777" w:rsidTr="00FD28B2">
        <w:trPr>
          <w:trHeight w:val="760"/>
        </w:trPr>
        <w:tc>
          <w:tcPr>
            <w:tcW w:w="9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9AC8D3A" w14:textId="77777777" w:rsidR="00D539AC" w:rsidRPr="001F4433" w:rsidRDefault="00D539AC" w:rsidP="006A1BFA">
            <w:pPr>
              <w:jc w:val="center"/>
              <w:rPr>
                <w:rFonts w:asciiTheme="majorHAnsi" w:hAnsiTheme="majorHAnsi" w:cs="Arial"/>
                <w:b/>
              </w:rPr>
            </w:pPr>
            <w:bookmarkStart w:id="0" w:name="_GoBack"/>
            <w:bookmarkEnd w:id="0"/>
            <w:r w:rsidRPr="001F4433">
              <w:rPr>
                <w:rFonts w:asciiTheme="majorHAnsi" w:hAnsiTheme="majorHAnsi" w:cs="Arial"/>
                <w:b/>
              </w:rPr>
              <w:t>SCHULUNGSMATERIAL – KOMMUNIKATIONSPLAN</w:t>
            </w:r>
          </w:p>
        </w:tc>
      </w:tr>
      <w:tr w:rsidR="00F05F17" w:rsidRPr="001F4433" w14:paraId="30039AA5" w14:textId="77777777" w:rsidTr="007F5293">
        <w:trPr>
          <w:trHeight w:val="2181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FD9C3F1" w14:textId="77777777" w:rsidR="00F05F17" w:rsidRPr="001F4433" w:rsidRDefault="00F05F17" w:rsidP="00F05F17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[1]</w:t>
            </w:r>
          </w:p>
        </w:tc>
        <w:tc>
          <w:tcPr>
            <w:tcW w:w="8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EDCEE" w14:textId="30D096B7" w:rsidR="00F05F17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Arzneimittel: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D32B76E" w14:textId="20E352C0" w:rsidR="001B7984" w:rsidRDefault="001B7984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EA4A91" w14:textId="77777777" w:rsidR="001B7984" w:rsidRPr="00EE1F9A" w:rsidRDefault="001B7984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6AE4AFC" w14:textId="77777777" w:rsidR="00F05F17" w:rsidRPr="005C66E8" w:rsidRDefault="00F05F17" w:rsidP="002573F9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Wirkstoff(e):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C66E8" w:rsidRPr="005C66E8">
              <w:rPr>
                <w:rFonts w:asciiTheme="majorHAnsi" w:hAnsiTheme="majorHAnsi" w:cs="Arial"/>
                <w:iCs w:val="0"/>
                <w:sz w:val="20"/>
                <w:szCs w:val="20"/>
              </w:rPr>
              <w:t>Thalidomid</w:t>
            </w:r>
          </w:p>
          <w:p w14:paraId="777F8C0C" w14:textId="77777777" w:rsidR="00F05F17" w:rsidRPr="009C7E3D" w:rsidRDefault="00F05F17" w:rsidP="002573F9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ATC-Code:</w:t>
            </w:r>
            <w:r w:rsidR="005C66E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9C7E3D" w:rsidRPr="009C7E3D">
              <w:rPr>
                <w:rFonts w:asciiTheme="majorHAnsi" w:hAnsiTheme="majorHAnsi" w:cs="Arial"/>
                <w:bCs/>
                <w:sz w:val="20"/>
                <w:szCs w:val="20"/>
              </w:rPr>
              <w:t>L04AX02</w:t>
            </w:r>
          </w:p>
          <w:p w14:paraId="732C94C7" w14:textId="77777777" w:rsidR="00F645FD" w:rsidRPr="00EE1F9A" w:rsidRDefault="00F645FD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0549034" w14:textId="2F70393D" w:rsidR="00D301B2" w:rsidRPr="00EE1F9A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Originator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5C66E8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9C5C21" w:rsidRPr="00EE1F9A">
              <w:rPr>
                <w:rFonts w:asciiTheme="majorHAnsi" w:hAnsiTheme="majorHAnsi" w:cs="Arial"/>
                <w:sz w:val="20"/>
                <w:szCs w:val="20"/>
              </w:rPr>
              <w:t xml:space="preserve"> Generikum</w:t>
            </w:r>
            <w:r w:rsidR="00C648EE">
              <w:rPr>
                <w:rFonts w:asciiTheme="majorHAnsi" w:hAnsiTheme="majorHAnsi" w:cs="Arial"/>
                <w:sz w:val="20"/>
                <w:szCs w:val="20"/>
              </w:rPr>
              <w:t xml:space="preserve">   </w:t>
            </w:r>
            <w:r w:rsidR="005C66E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C66E8" w:rsidRPr="00C648EE">
              <w:rPr>
                <w:rFonts w:asciiTheme="majorHAnsi" w:hAnsiTheme="majorHAnsi" w:cs="Arial"/>
                <w:i/>
                <w:sz w:val="20"/>
                <w:szCs w:val="20"/>
              </w:rPr>
              <w:t>(Hybrid)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 xml:space="preserve">            </w:t>
            </w:r>
            <w:r w:rsidR="00BF021A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Parallelimporteur</w:t>
            </w:r>
            <w:r w:rsidR="00BF021A" w:rsidRPr="00EE1F9A">
              <w:rPr>
                <w:rFonts w:asciiTheme="majorHAnsi" w:hAnsiTheme="majorHAnsi" w:cs="Arial"/>
                <w:sz w:val="20"/>
                <w:szCs w:val="20"/>
              </w:rPr>
              <w:t>/-Vertrieb</w:t>
            </w:r>
          </w:p>
          <w:p w14:paraId="369169B3" w14:textId="77777777" w:rsidR="00E0665A" w:rsidRDefault="005C66E8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 xml:space="preserve"> harmonisiert</w:t>
            </w:r>
            <w:r w:rsidR="00D301B2"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4EDCA473" w14:textId="12A3F241" w:rsidR="00B935ED" w:rsidRDefault="004924B9" w:rsidP="00EE1F9A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1B7984" w:rsidRPr="00D500B1">
              <w:rPr>
                <w:rFonts w:asciiTheme="majorHAnsi" w:hAnsiTheme="majorHAnsi" w:cs="Arial"/>
                <w:i/>
                <w:sz w:val="20"/>
                <w:szCs w:val="20"/>
              </w:rPr>
              <w:t>&lt;Datum, optional Versions- und CESP Nr. des zuletzt vom BfArM genehmigten Schulungsmaterials&gt;</w:t>
            </w:r>
          </w:p>
          <w:p w14:paraId="172CE2C0" w14:textId="6EC9CD7A" w:rsidR="001B7984" w:rsidRPr="00EE1F9A" w:rsidRDefault="001B798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F021A" w:rsidRPr="001F4433" w14:paraId="47EF2094" w14:textId="77777777" w:rsidTr="007F5293">
        <w:trPr>
          <w:trHeight w:val="823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5507CF1" w14:textId="77777777" w:rsidR="00F05F17" w:rsidRPr="001F4433" w:rsidRDefault="00F05F17" w:rsidP="00915541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[2]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D5EA97" w14:textId="77777777" w:rsidR="00F05F17" w:rsidRPr="00353745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b/>
                <w:sz w:val="20"/>
                <w:szCs w:val="20"/>
              </w:rPr>
              <w:t>Versionsnummer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und Datum 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>des Kommunikationsplans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956FCE" w14:textId="6CC2E8B7" w:rsidR="00F05F17" w:rsidRPr="006B35F2" w:rsidRDefault="00C51D10" w:rsidP="00B650DC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Version 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, Stand:</w:t>
            </w:r>
            <w:r w:rsidR="00A17F65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="00542071">
              <w:rPr>
                <w:rFonts w:asciiTheme="majorHAnsi" w:hAnsiTheme="majorHAnsi" w:cs="Arial"/>
                <w:i/>
                <w:sz w:val="20"/>
                <w:szCs w:val="20"/>
              </w:rPr>
              <w:t xml:space="preserve">Juli 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2023</w:t>
            </w:r>
          </w:p>
        </w:tc>
      </w:tr>
      <w:tr w:rsidR="00BF021A" w:rsidRPr="001F4433" w14:paraId="459A29E3" w14:textId="77777777" w:rsidTr="007F5293">
        <w:trPr>
          <w:trHeight w:val="83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BC1B970" w14:textId="77777777" w:rsidR="00FF0B5B" w:rsidRPr="001F4433" w:rsidRDefault="00FF0B5B" w:rsidP="0026685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533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3D834" w14:textId="77777777" w:rsidR="00FF0B5B" w:rsidRPr="00EE1F9A" w:rsidRDefault="005C66E8" w:rsidP="00FF0B5B">
            <w:pPr>
              <w:spacing w:before="200" w:after="100"/>
              <w:contextualSpacing/>
              <w:jc w:val="center"/>
              <w:outlineLvl w:val="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Ersteinreichung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F0B5B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F0B5B" w:rsidRPr="00EE1F9A">
              <w:rPr>
                <w:rFonts w:asciiTheme="majorHAnsi" w:hAnsiTheme="majorHAnsi" w:cs="Arial"/>
                <w:sz w:val="20"/>
                <w:szCs w:val="20"/>
              </w:rPr>
              <w:t xml:space="preserve"> Folgeeinreichung</w:t>
            </w:r>
          </w:p>
          <w:p w14:paraId="52BA068D" w14:textId="77777777" w:rsidR="00FF0B5B" w:rsidRPr="00EE1F9A" w:rsidRDefault="00FD28B2" w:rsidP="00EE1F9A">
            <w:pPr>
              <w:spacing w:before="200" w:after="100"/>
              <w:contextualSpacing/>
              <w:jc w:val="center"/>
              <w:outlineLvl w:val="2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&lt;optional CESP Nummer angeben&gt;</w:t>
            </w:r>
          </w:p>
        </w:tc>
      </w:tr>
      <w:tr w:rsidR="003F60C2" w:rsidRPr="001F4433" w14:paraId="6C9E85E4" w14:textId="77777777" w:rsidTr="007F5293">
        <w:trPr>
          <w:trHeight w:val="95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645BB10" w14:textId="77777777" w:rsidR="00F05F17" w:rsidRPr="001F4433" w:rsidRDefault="00D301B2" w:rsidP="008B2DA0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[3]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26273B" w14:textId="77777777" w:rsidR="00F05F17" w:rsidRPr="00EE1F9A" w:rsidRDefault="001A4B2A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unterliegt einem kontrollierten Distributionssystem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BBFB24" w14:textId="77777777" w:rsidR="00F05F17" w:rsidRPr="00EE1F9A" w:rsidRDefault="005C66E8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05F17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F05F17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3F60C2" w:rsidRPr="001F4433" w14:paraId="6C5FA269" w14:textId="77777777" w:rsidTr="007F5293">
        <w:trPr>
          <w:trHeight w:val="9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88378A9" w14:textId="77777777" w:rsidR="00F05F17" w:rsidRPr="001F4433" w:rsidRDefault="00F05F17" w:rsidP="006A1BF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B8B68D" w14:textId="77777777" w:rsidR="00F05F17" w:rsidRPr="00EE1F9A" w:rsidRDefault="001A4B2A" w:rsidP="00640C1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steht unter </w:t>
            </w:r>
            <w:r w:rsidR="00640C1E" w:rsidRPr="00EE1F9A">
              <w:rPr>
                <w:rFonts w:asciiTheme="majorHAnsi" w:hAnsiTheme="majorHAnsi" w:cs="Arial"/>
                <w:b/>
                <w:sz w:val="20"/>
                <w:szCs w:val="20"/>
              </w:rPr>
              <w:t>zusätzlicher Überwachung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„</w:t>
            </w:r>
            <w:r w:rsidR="00F05F17" w:rsidRPr="00EE1F9A">
              <w:rPr>
                <w:rFonts w:ascii="Times New Roman" w:hAnsi="Times New Roman" w:cs="Times New Roman"/>
                <w:b/>
                <w:sz w:val="20"/>
                <w:szCs w:val="20"/>
              </w:rPr>
              <w:t>▼</w:t>
            </w:r>
            <w:r w:rsidR="00F05F17" w:rsidRPr="00EE1F9A">
              <w:rPr>
                <w:rFonts w:ascii="Cambria" w:hAnsi="Cambria" w:cs="Cambria"/>
                <w:b/>
                <w:sz w:val="20"/>
                <w:szCs w:val="20"/>
              </w:rPr>
              <w:t>“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3FF9D0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5C66E8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F05F17" w:rsidRPr="003711BF" w14:paraId="680D692C" w14:textId="77777777" w:rsidTr="007F5293">
        <w:trPr>
          <w:trHeight w:val="969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BE68E1B" w14:textId="77777777" w:rsidR="00F05F17" w:rsidRPr="001F4433" w:rsidRDefault="00D301B2" w:rsidP="00E045B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[4]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6744E" w14:textId="77777777" w:rsidR="00F05F17" w:rsidRPr="00EE1F9A" w:rsidRDefault="003A04B4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Zulassungsinhaber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3DC724" w14:textId="77777777" w:rsidR="00D301B2" w:rsidRPr="00A56A58" w:rsidRDefault="00D301B2" w:rsidP="001B7984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F05F17" w:rsidRPr="001F4433" w14:paraId="75570172" w14:textId="77777777" w:rsidTr="007F5293">
        <w:trPr>
          <w:trHeight w:val="9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6588A68E" w14:textId="77777777" w:rsidR="00F05F17" w:rsidRPr="001F4433" w:rsidRDefault="00D301B2" w:rsidP="002D255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[5</w:t>
            </w:r>
            <w:r w:rsidR="00F05F17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6A932A" w14:textId="77777777" w:rsidR="00F05F17" w:rsidRPr="00EE1F9A" w:rsidRDefault="00FF0B5B" w:rsidP="00536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Bezugsnummer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zu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/-Serie </w:t>
            </w:r>
            <w:r w:rsidR="00BF021A" w:rsidRPr="00EE1F9A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&lt;sofern bereits bekannt&gt;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C9C96" w14:textId="36009BD2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2FD04D" w14:textId="2E89E0DF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05F17" w:rsidRPr="001F4433" w14:paraId="6E3E21FC" w14:textId="77777777" w:rsidTr="007F5293">
        <w:trPr>
          <w:trHeight w:val="1135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5DF7850" w14:textId="77777777" w:rsidR="00F05F17" w:rsidRPr="001F4433" w:rsidRDefault="00F05F17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75F52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Verfahrensnummer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0807D" w14:textId="33D8A42C" w:rsidR="00F05F17" w:rsidRPr="009A44D4" w:rsidRDefault="00F05F17" w:rsidP="009A44D4">
            <w:pPr>
              <w:jc w:val="center"/>
              <w:rPr>
                <w:rFonts w:asciiTheme="majorHAnsi" w:hAnsiTheme="majorHAnsi" w:cs="Arial"/>
                <w:iCs w:val="0"/>
                <w:sz w:val="20"/>
                <w:szCs w:val="20"/>
              </w:rPr>
            </w:pPr>
          </w:p>
        </w:tc>
      </w:tr>
      <w:tr w:rsidR="002A7866" w:rsidRPr="001F4433" w14:paraId="45FF8095" w14:textId="77777777" w:rsidTr="001B7984">
        <w:trPr>
          <w:trHeight w:val="980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60AAB3EF" w14:textId="77777777" w:rsidR="002A7866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6</w:t>
            </w:r>
            <w:r w:rsidR="002A7866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C5CD8A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Sicherheitsbedenken</w:t>
            </w:r>
            <w:r w:rsidR="007B335F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und Zielsetzung der Risikokommunikation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6AE852" w14:textId="77777777" w:rsidR="001426F5" w:rsidRPr="00C51D10" w:rsidRDefault="001426F5" w:rsidP="00C51D10">
            <w:pPr>
              <w:jc w:val="both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Die Schulungs- und Informationsmaterialien für Thalidomid wurden</w:t>
            </w:r>
            <w:r w:rsidR="00E959E9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erstellt, um das Risiko des Auftretens von Teratogenität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>, schwerwiegenden Infektionen (Sepsis, septische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m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Schock, virale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r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Reaktivierung von Hepatitis B), akuter myeloischer Leukämie (AML) und myelodysplastischem Syndrom (MDS), ischämische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n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Herzkrankheiten (inkl. Myokardinfarkt), andere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n 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>sekundäre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n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Primärmalignome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n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(SPM), </w:t>
            </w:r>
            <w:r w:rsidR="00EF6D11" w:rsidRPr="006B35F2">
              <w:rPr>
                <w:rFonts w:asciiTheme="majorHAnsi" w:hAnsiTheme="majorHAnsi" w:cs="Arial"/>
                <w:i/>
                <w:sz w:val="20"/>
                <w:szCs w:val="20"/>
              </w:rPr>
              <w:t>Leberfunktionsstörungen (hepatozellulären und cholestatischen Auffälligkeiten</w:t>
            </w:r>
            <w:r w:rsidR="00365ABC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), off-label Anwendungen sowie Medikationsfehlern 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zu reduzieren und das</w:t>
            </w:r>
            <w:r w:rsidR="00E959E9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Nutzen-Risiko-Verhältnis von Thalidomid zu erhöhen.</w:t>
            </w:r>
          </w:p>
          <w:p w14:paraId="4A5F6CAD" w14:textId="77777777" w:rsidR="00C51D10" w:rsidRPr="006B35F2" w:rsidRDefault="00C51D10" w:rsidP="006B35F2">
            <w:pPr>
              <w:jc w:val="both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272EB5C1" w14:textId="64915556" w:rsidR="002A7866" w:rsidRPr="006B35F2" w:rsidRDefault="001426F5" w:rsidP="00542071">
            <w:pPr>
              <w:jc w:val="both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>Das Arzneimittel darf nur gemäß dem Schwangerschafts</w:t>
            </w:r>
            <w:r w:rsidR="00C51D10" w:rsidRPr="00C51D10"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verhütungsprogramm und auf einem Sonderrezept verschrieben und abgegeben werden. </w:t>
            </w:r>
          </w:p>
        </w:tc>
      </w:tr>
      <w:tr w:rsidR="002A7866" w:rsidRPr="001F4433" w14:paraId="75EADDD8" w14:textId="77777777" w:rsidTr="007F5293">
        <w:trPr>
          <w:trHeight w:val="817"/>
        </w:trPr>
        <w:tc>
          <w:tcPr>
            <w:tcW w:w="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75F4BB4D" w14:textId="77777777" w:rsidR="002A7866" w:rsidRPr="001F4433" w:rsidRDefault="002A7866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27DBF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RMP-Versionsnummer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5EDD21" w14:textId="31EE33C2" w:rsidR="00EE1F9A" w:rsidRPr="00EE1F9A" w:rsidRDefault="001B798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Versionsnummer des zuletzt genehmigten 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258A" w14:textId="4A0A75F3" w:rsidR="00EE1F9A" w:rsidRPr="00EE1F9A" w:rsidRDefault="001B798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Datum des zuletzt genehmigten 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</w:tr>
      <w:tr w:rsidR="004F6769" w:rsidRPr="001F4433" w14:paraId="285EB378" w14:textId="77777777" w:rsidTr="00EE1F9A">
        <w:trPr>
          <w:trHeight w:val="696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E4DA8F2" w14:textId="77777777" w:rsidR="004F6769" w:rsidRPr="001F4433" w:rsidRDefault="004F6769" w:rsidP="00627C0F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[7]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720F6" w14:textId="77777777" w:rsidR="004F6769" w:rsidRPr="007F5293" w:rsidRDefault="004F6769" w:rsidP="007F5293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des Schulungsmaterials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8370F" w14:textId="77777777" w:rsidR="004F6769" w:rsidRPr="00EE1F9A" w:rsidRDefault="004F6769" w:rsidP="00700A86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Verteilerkreis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53569" w14:textId="77777777" w:rsidR="004F6769" w:rsidRPr="00EE1F9A" w:rsidRDefault="004F6769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der Verteilung</w:t>
            </w:r>
          </w:p>
        </w:tc>
      </w:tr>
      <w:tr w:rsidR="00744444" w:rsidRPr="001F4433" w14:paraId="7EA3E940" w14:textId="77777777" w:rsidTr="00060BCF">
        <w:trPr>
          <w:trHeight w:val="1761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417D085" w14:textId="77777777" w:rsidR="00744444" w:rsidRPr="001F4433" w:rsidRDefault="00744444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7548F" w14:textId="77777777" w:rsidR="00744444" w:rsidRPr="00744444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Leitfaden zur Verringerung von Arzneimittel- und Anwendungsrisiken – Angehörige der Heilberufe</w:t>
            </w:r>
            <w:r w:rsidRPr="00744444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  <w:p w14:paraId="1E63CE6A" w14:textId="77777777" w:rsidR="009F5933" w:rsidRPr="00EB14F2" w:rsidRDefault="009F5933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Set „Wichtige Unterlagen zum therapiebeginn mit Thalidomid</w:t>
            </w:r>
            <w:r w:rsidR="00EB14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“ </w:t>
            </w:r>
            <w:r w:rsidR="00EB14F2">
              <w:rPr>
                <w:rFonts w:asciiTheme="majorHAnsi" w:hAnsiTheme="majorHAnsi" w:cs="Arial"/>
                <w:i/>
                <w:sz w:val="20"/>
                <w:szCs w:val="20"/>
              </w:rPr>
              <w:t>(enthält die folgenden Unterlagen):</w:t>
            </w:r>
          </w:p>
          <w:p w14:paraId="75F27186" w14:textId="77777777" w:rsidR="00EB14F2" w:rsidRDefault="00744444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Checklisten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für die Beratung der Patienten zum Schwangerschafts-verhütungsprogramm</w:t>
            </w:r>
            <w:r w:rsidR="00EB14F2" w:rsidRPr="006B35F2">
              <w:rPr>
                <w:rFonts w:asciiTheme="majorHAnsi" w:hAnsiTheme="majorHAnsi" w:cs="Arial"/>
                <w:i/>
                <w:sz w:val="20"/>
                <w:szCs w:val="20"/>
              </w:rPr>
              <w:t>: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  <w:p w14:paraId="70FA2AA5" w14:textId="77777777" w:rsidR="00EB14F2" w:rsidRPr="006B35F2" w:rsidRDefault="00EB14F2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- </w:t>
            </w:r>
            <w:r w:rsidR="00744444" w:rsidRPr="006B35F2">
              <w:rPr>
                <w:rFonts w:asciiTheme="majorHAnsi" w:hAnsiTheme="majorHAnsi" w:cs="Arial"/>
                <w:i/>
                <w:sz w:val="20"/>
                <w:szCs w:val="20"/>
              </w:rPr>
              <w:t>für gebärfähige Patientinnen</w:t>
            </w:r>
          </w:p>
          <w:p w14:paraId="4842FDA4" w14:textId="77777777" w:rsidR="00EB14F2" w:rsidRDefault="00EB14F2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- für </w:t>
            </w:r>
            <w:r w:rsidR="00744444"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nicht gebärfähige Patientinnen </w:t>
            </w:r>
          </w:p>
          <w:p w14:paraId="4D09669A" w14:textId="77777777" w:rsidR="00744444" w:rsidRDefault="00EB14F2" w:rsidP="00EB14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– für </w:t>
            </w:r>
            <w:r w:rsidR="00744444" w:rsidRPr="006B35F2">
              <w:rPr>
                <w:rFonts w:asciiTheme="majorHAnsi" w:hAnsiTheme="majorHAnsi" w:cs="Arial"/>
                <w:i/>
                <w:sz w:val="20"/>
                <w:szCs w:val="20"/>
              </w:rPr>
              <w:t>männliche Patienten</w:t>
            </w:r>
          </w:p>
          <w:p w14:paraId="7CB1FC9B" w14:textId="77777777" w:rsidR="00EB14F2" w:rsidRPr="00744444" w:rsidRDefault="00EB14F2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5334BE45" w14:textId="77777777" w:rsidR="00EB14F2" w:rsidRDefault="00744444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Einverständniserklärung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vor Einleitung der Behandlung mit Thalidomid</w:t>
            </w:r>
            <w:r w:rsidR="00EB14F2">
              <w:rPr>
                <w:rFonts w:asciiTheme="majorHAnsi" w:hAnsiTheme="majorHAnsi" w:cs="Arial"/>
                <w:i/>
                <w:sz w:val="20"/>
                <w:szCs w:val="20"/>
              </w:rPr>
              <w:t>:</w:t>
            </w:r>
          </w:p>
          <w:p w14:paraId="29742F90" w14:textId="77777777" w:rsidR="00EB14F2" w:rsidRPr="00163301" w:rsidRDefault="00EB14F2" w:rsidP="006B35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- </w:t>
            </w:r>
            <w:r w:rsidRPr="00163301">
              <w:rPr>
                <w:rFonts w:asciiTheme="majorHAnsi" w:hAnsiTheme="majorHAnsi" w:cs="Arial"/>
                <w:i/>
                <w:sz w:val="20"/>
                <w:szCs w:val="20"/>
              </w:rPr>
              <w:t>für gebärfähige Patientinnen</w:t>
            </w:r>
          </w:p>
          <w:p w14:paraId="695180A0" w14:textId="77777777" w:rsidR="00EB14F2" w:rsidRDefault="00EB14F2" w:rsidP="00EB14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- für </w:t>
            </w:r>
            <w:r w:rsidRPr="00163301">
              <w:rPr>
                <w:rFonts w:asciiTheme="majorHAnsi" w:hAnsiTheme="majorHAnsi" w:cs="Arial"/>
                <w:i/>
                <w:sz w:val="20"/>
                <w:szCs w:val="20"/>
              </w:rPr>
              <w:t xml:space="preserve">nicht gebärfähige Patientinnen </w:t>
            </w:r>
          </w:p>
          <w:p w14:paraId="76C067BE" w14:textId="77777777" w:rsidR="00EB14F2" w:rsidRDefault="00EB14F2" w:rsidP="00EB14F2">
            <w:pPr>
              <w:spacing w:before="120" w:after="120"/>
              <w:contextualSpacing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– für </w:t>
            </w:r>
            <w:r w:rsidRPr="00163301">
              <w:rPr>
                <w:rFonts w:asciiTheme="majorHAnsi" w:hAnsiTheme="majorHAnsi" w:cs="Arial"/>
                <w:i/>
                <w:sz w:val="20"/>
                <w:szCs w:val="20"/>
              </w:rPr>
              <w:t>männliche Patienten</w:t>
            </w:r>
          </w:p>
          <w:p w14:paraId="4E58DA42" w14:textId="77777777" w:rsidR="00744444" w:rsidRPr="00744444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41BA0818" w14:textId="77777777" w:rsidR="00744444" w:rsidRPr="00744444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Formular für Berichte über unerwünschte Ereignisse </w:t>
            </w:r>
          </w:p>
          <w:p w14:paraId="18D54CB3" w14:textId="77777777" w:rsidR="00744444" w:rsidRPr="006B35F2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Formular zur Erfassung einer </w:t>
            </w:r>
            <w:r w:rsidR="00EB14F2"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Schwangerschaft unter </w:t>
            </w: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Thalidomid-Exposition</w:t>
            </w:r>
          </w:p>
          <w:p w14:paraId="49EC298C" w14:textId="77777777" w:rsidR="00744444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0402B462" w14:textId="77777777" w:rsidR="00EB14F2" w:rsidRPr="00163301" w:rsidRDefault="00EB14F2" w:rsidP="00EB14F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63301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Patientenleitfaden</w:t>
            </w:r>
            <w:r w:rsidRPr="00163301">
              <w:rPr>
                <w:rFonts w:asciiTheme="majorHAnsi" w:hAnsiTheme="majorHAnsi" w:cs="Arial"/>
                <w:i/>
                <w:sz w:val="20"/>
                <w:szCs w:val="20"/>
              </w:rPr>
              <w:t xml:space="preserve"> „Leitfaden für die sichere Anwendung – Patienten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“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zzgl. aktuelle Gebrauchinformation</w:t>
            </w:r>
          </w:p>
          <w:p w14:paraId="76CEC2E1" w14:textId="77777777" w:rsidR="00EB14F2" w:rsidRPr="006B35F2" w:rsidRDefault="00EB14F2" w:rsidP="00EB14F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63301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Patientenkarte zur sicheren Anwendung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32D" w14:textId="77777777" w:rsidR="0010675C" w:rsidRPr="006B35F2" w:rsidRDefault="0010675C" w:rsidP="006B35F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 xml:space="preserve">Niedergelassene Ärzte und Klinikärzte mit folgender Spezialisierung: </w:t>
            </w:r>
          </w:p>
          <w:p w14:paraId="13AD75DA" w14:textId="77777777" w:rsidR="0010675C" w:rsidRPr="006B35F2" w:rsidRDefault="0010675C" w:rsidP="006B35F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- onkologisch tätige Ärzte </w:t>
            </w:r>
          </w:p>
          <w:p w14:paraId="008EF375" w14:textId="77777777" w:rsidR="00744444" w:rsidRPr="006B35F2" w:rsidRDefault="0010675C" w:rsidP="00D17BE2">
            <w:pPr>
              <w:pStyle w:val="Listenabsatz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0675C">
              <w:rPr>
                <w:rFonts w:asciiTheme="majorHAnsi" w:hAnsiTheme="majorHAnsi" w:cs="Arial"/>
                <w:i/>
                <w:sz w:val="20"/>
                <w:szCs w:val="20"/>
              </w:rPr>
              <w:t>- innere Medizin: Hämatologie und internistische Onkologie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E7905" w14:textId="77777777" w:rsidR="00744444" w:rsidRPr="006B35F2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Verteilung über pharmazeutischen Außendienst </w:t>
            </w:r>
          </w:p>
          <w:p w14:paraId="37155A0F" w14:textId="77777777" w:rsidR="00EC5769" w:rsidRDefault="00EC5769" w:rsidP="00EC5769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Online Bereitstellung auf der Internetseite</w:t>
            </w:r>
          </w:p>
          <w:p w14:paraId="4753F730" w14:textId="5E78D6B1" w:rsidR="00542071" w:rsidRPr="00542071" w:rsidRDefault="001B7984" w:rsidP="00542071">
            <w:pPr>
              <w:pStyle w:val="Default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B7984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&lt;Firmendetails einfügen&gt;</w:t>
            </w:r>
          </w:p>
          <w:p w14:paraId="540E73A5" w14:textId="77777777" w:rsidR="00EC5769" w:rsidRDefault="00EC5769" w:rsidP="00924FAC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Ebenfalls kostenlose, postalische Zusendung nach Anforderung bei: </w:t>
            </w:r>
          </w:p>
          <w:p w14:paraId="0463AB01" w14:textId="75286412" w:rsidR="00744444" w:rsidRPr="006B35F2" w:rsidRDefault="001B7984" w:rsidP="001B7984">
            <w:pPr>
              <w:pStyle w:val="Default"/>
              <w:rPr>
                <w:rFonts w:asciiTheme="majorHAnsi" w:eastAsiaTheme="majorEastAsia" w:hAnsiTheme="majorHAnsi" w:cs="Arial"/>
                <w:b/>
                <w:bCs/>
                <w:i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 w:rsidRPr="001B7984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&lt;Firmendetails einfügen&gt;</w:t>
            </w:r>
          </w:p>
        </w:tc>
      </w:tr>
      <w:tr w:rsidR="00744444" w:rsidRPr="001F4433" w14:paraId="0BB4DDE2" w14:textId="77777777" w:rsidTr="002A7A14">
        <w:trPr>
          <w:trHeight w:val="3075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1383CAD" w14:textId="77777777" w:rsidR="00744444" w:rsidRPr="001F4433" w:rsidRDefault="00744444" w:rsidP="00D17BE2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C9F94" w14:textId="77777777" w:rsidR="00744444" w:rsidRPr="006B35F2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Patientenleitfaden</w:t>
            </w: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 „Leitfaden für die sichere Anwendung – Patienten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“</w:t>
            </w:r>
          </w:p>
          <w:p w14:paraId="6902A570" w14:textId="77777777" w:rsidR="00744444" w:rsidRPr="006B35F2" w:rsidRDefault="00744444" w:rsidP="00D17BE2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Patientenkarte zur sicheren Anwendung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AE21" w14:textId="77777777" w:rsidR="00744444" w:rsidRPr="00744444" w:rsidRDefault="00744444" w:rsidP="00D17BE2">
            <w:pPr>
              <w:pStyle w:val="Listenabsatz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60D1E5CD" w14:textId="77777777" w:rsidR="00744444" w:rsidRDefault="00744444" w:rsidP="00D17BE2">
            <w:pPr>
              <w:pStyle w:val="Listenabsatz"/>
              <w:spacing w:before="120" w:after="120"/>
              <w:ind w:left="0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6F69E40E" w14:textId="77777777" w:rsidR="00744444" w:rsidRPr="00744444" w:rsidRDefault="00744444" w:rsidP="00D17BE2">
            <w:pPr>
              <w:pStyle w:val="Listenabsatz"/>
              <w:spacing w:before="120" w:after="120"/>
              <w:ind w:left="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Patienten, welchen Thalidomid verschrieben wurde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5ECD38" w14:textId="05414193" w:rsidR="00744444" w:rsidRPr="00744444" w:rsidRDefault="00EC2808" w:rsidP="003C6FE1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Patienten erhalten das Schulungsmaterial vom Arzt (siehe Abschnitt oben)</w:t>
            </w:r>
            <w:r w:rsidR="00633784">
              <w:rPr>
                <w:rFonts w:asciiTheme="majorHAnsi" w:hAnsiTheme="majorHAnsi" w:cs="Arial"/>
                <w:i/>
                <w:sz w:val="20"/>
                <w:szCs w:val="20"/>
              </w:rPr>
              <w:t>, zusätzlich bestehen für Patienten folgende Möglichkeiten:</w:t>
            </w:r>
          </w:p>
          <w:p w14:paraId="000C54A5" w14:textId="77777777" w:rsidR="00744444" w:rsidRDefault="00744444" w:rsidP="003C6FE1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Online Bereitstellung auf der Internetseite</w:t>
            </w:r>
          </w:p>
          <w:p w14:paraId="3458645A" w14:textId="11359DFB" w:rsidR="001B7984" w:rsidRDefault="001B7984" w:rsidP="003C6FE1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B7984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&lt;Firmendetails einfügen&gt;</w:t>
            </w:r>
          </w:p>
          <w:p w14:paraId="57F6CC20" w14:textId="2784FFDC" w:rsidR="00744444" w:rsidRDefault="00744444" w:rsidP="003C6FE1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Ebenfalls kostenlose, postalische Zusendung nach Anforderung bei: </w:t>
            </w:r>
          </w:p>
          <w:p w14:paraId="3201D77E" w14:textId="100F8FA1" w:rsidR="00744444" w:rsidRPr="00C02C80" w:rsidRDefault="001B7984" w:rsidP="006B35F2">
            <w:pPr>
              <w:pStyle w:val="Default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B7984">
              <w:rPr>
                <w:rFonts w:asciiTheme="majorHAnsi" w:hAnsiTheme="majorHAnsi" w:cs="Arial"/>
                <w:sz w:val="20"/>
                <w:szCs w:val="20"/>
                <w:highlight w:val="yellow"/>
              </w:rPr>
              <w:t>&lt;Firmendetails einfügen&gt;</w:t>
            </w:r>
          </w:p>
        </w:tc>
      </w:tr>
      <w:tr w:rsidR="00F4535E" w:rsidRPr="001F4433" w14:paraId="40E1BD42" w14:textId="77777777" w:rsidTr="003C6FE1">
        <w:trPr>
          <w:trHeight w:val="1121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34B0EA2A" w14:textId="77777777" w:rsidR="00F4535E" w:rsidRDefault="00F4535E" w:rsidP="00F4535E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[</w:t>
            </w:r>
            <w:r w:rsidRPr="001F4433">
              <w:rPr>
                <w:rFonts w:asciiTheme="majorHAnsi" w:hAnsiTheme="majorHAnsi" w:cs="Arial"/>
                <w:b/>
              </w:rPr>
              <w:t>8]</w:t>
            </w:r>
          </w:p>
          <w:p w14:paraId="0214168B" w14:textId="77777777" w:rsidR="00F4535E" w:rsidRPr="001F4433" w:rsidRDefault="00F4535E" w:rsidP="00F4535E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17855" w14:textId="77777777" w:rsidR="00F4535E" w:rsidRPr="00EE1F9A" w:rsidRDefault="00F4535E" w:rsidP="00F4535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Geplanter Beginn und Abschluss der Erst-Implementierung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76148" w14:textId="77777777" w:rsidR="00B05C20" w:rsidRDefault="00B05C20" w:rsidP="00B05C2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Die online Bereitstellung auf der Internetseite erfolgt nach Genehmigung und zur Markteinführung. </w:t>
            </w:r>
          </w:p>
          <w:p w14:paraId="00BBD4DC" w14:textId="77777777" w:rsidR="00B05C20" w:rsidRPr="003C6FE1" w:rsidRDefault="00B05C20" w:rsidP="003C6FE1">
            <w:pPr>
              <w:rPr>
                <w:rFonts w:asciiTheme="majorHAnsi" w:hAnsiTheme="majorHAnsi" w:cs="Arial"/>
                <w:iCs w:val="0"/>
                <w:sz w:val="20"/>
                <w:szCs w:val="20"/>
              </w:rPr>
            </w:pPr>
          </w:p>
        </w:tc>
      </w:tr>
      <w:tr w:rsidR="00F4535E" w:rsidRPr="001F4433" w14:paraId="649E9EA3" w14:textId="77777777" w:rsidTr="007F5293">
        <w:trPr>
          <w:trHeight w:val="481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2F2675CE" w14:textId="77777777" w:rsidR="00F4535E" w:rsidRDefault="00F4535E" w:rsidP="00F4535E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22332" w14:textId="77777777" w:rsidR="00F4535E" w:rsidRPr="00EE1F9A" w:rsidRDefault="00F4535E" w:rsidP="00F4535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Methode der dauerhaften 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aktiven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Zurverfügungstellung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D1A52" w14:textId="77777777" w:rsidR="003C6FE1" w:rsidRPr="006B35F2" w:rsidRDefault="0016630A" w:rsidP="003C6FE1">
            <w:pPr>
              <w:spacing w:before="120" w:after="12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B35F2">
              <w:rPr>
                <w:rFonts w:asciiTheme="majorHAnsi" w:hAnsiTheme="majorHAnsi" w:cs="Arial"/>
                <w:i/>
                <w:sz w:val="20"/>
                <w:szCs w:val="20"/>
              </w:rPr>
              <w:t xml:space="preserve">Kontinuierliche </w:t>
            </w:r>
            <w:r w:rsidR="003C6FE1" w:rsidRPr="006B35F2">
              <w:rPr>
                <w:rFonts w:asciiTheme="majorHAnsi" w:hAnsiTheme="majorHAnsi" w:cs="Arial"/>
                <w:i/>
                <w:sz w:val="20"/>
                <w:szCs w:val="20"/>
              </w:rPr>
              <w:t>Verteilung über pharmazeutischen Außendienst</w:t>
            </w:r>
          </w:p>
          <w:p w14:paraId="12F646E5" w14:textId="3D8633D1" w:rsidR="00B05C20" w:rsidRPr="00665DE0" w:rsidRDefault="00B05C20" w:rsidP="001B7984">
            <w:pPr>
              <w:pStyle w:val="Default"/>
            </w:pPr>
            <w:r>
              <w:rPr>
                <w:i/>
                <w:iCs/>
                <w:sz w:val="20"/>
                <w:szCs w:val="20"/>
              </w:rPr>
              <w:t xml:space="preserve">Anwender haben fortwährend die Möglichkeit, das Schulungsmaterial auf der Internetseite </w:t>
            </w:r>
            <w:r w:rsidRPr="001B7984">
              <w:rPr>
                <w:i/>
                <w:iCs/>
                <w:sz w:val="20"/>
                <w:szCs w:val="20"/>
                <w:highlight w:val="yellow"/>
              </w:rPr>
              <w:t>&lt;Firmendetails einfügen&gt;</w:t>
            </w:r>
            <w:r>
              <w:rPr>
                <w:i/>
                <w:iCs/>
                <w:sz w:val="20"/>
                <w:szCs w:val="20"/>
              </w:rPr>
              <w:t xml:space="preserve"> herunter zu laden. Eine kostenlose, postalische Zusendung nach Anforderung ist ebenfalls möglich. </w:t>
            </w:r>
          </w:p>
          <w:p w14:paraId="0D0A7106" w14:textId="77777777" w:rsidR="00F4535E" w:rsidRPr="00EE1F9A" w:rsidRDefault="00F4535E" w:rsidP="003C6FE1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F4535E" w:rsidRPr="001F4433" w14:paraId="3EADF172" w14:textId="77777777" w:rsidTr="007F5293">
        <w:trPr>
          <w:trHeight w:val="308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3438BA8B" w14:textId="77777777" w:rsidR="00F4535E" w:rsidRPr="001F4433" w:rsidRDefault="00F4535E" w:rsidP="00F4535E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[9]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92C7A" w14:textId="77777777" w:rsidR="00F4535E" w:rsidRPr="00EE1F9A" w:rsidRDefault="00F4535E" w:rsidP="00F4535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Sonstige Hinweise/ Kommentare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F6DC9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Mit Ausnahme von Patientenkarte zur sicheren Anwendung, werden die Schulungsmaterialien im Format DIN A4 im beidseitigen Layout zur Verfügung gestellt. </w:t>
            </w:r>
          </w:p>
          <w:p w14:paraId="58D373D0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Die Patientenkarte zur sicheren Anwendung wird etwa im Format DIN A5 im beidseitigen Layout zur Verfügung gestellt. </w:t>
            </w:r>
          </w:p>
          <w:p w14:paraId="430ECA74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Patientenkarte: </w:t>
            </w:r>
          </w:p>
          <w:p w14:paraId="2979A074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200 bis 300 g/m² </w:t>
            </w:r>
          </w:p>
          <w:p w14:paraId="3A0D5397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Sonstige Schulungsmaterialien: </w:t>
            </w:r>
          </w:p>
          <w:p w14:paraId="2C4C8C57" w14:textId="77777777" w:rsidR="007056F0" w:rsidRDefault="007056F0" w:rsidP="007056F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Material Umschlag: 170 bis 300 g/m² </w:t>
            </w:r>
          </w:p>
          <w:p w14:paraId="1B0C3730" w14:textId="44228059" w:rsidR="00F4535E" w:rsidRPr="0016630A" w:rsidRDefault="007056F0" w:rsidP="007056F0">
            <w:pPr>
              <w:rPr>
                <w:rFonts w:asciiTheme="majorHAnsi" w:hAnsiTheme="majorHAnsi" w:cs="Arial"/>
                <w:iCs w:val="0"/>
                <w:sz w:val="20"/>
                <w:szCs w:val="20"/>
              </w:rPr>
            </w:pPr>
            <w:r>
              <w:rPr>
                <w:i/>
                <w:iCs w:val="0"/>
                <w:sz w:val="20"/>
                <w:szCs w:val="20"/>
              </w:rPr>
              <w:t xml:space="preserve">Material Inhalt: 150 bis 170 g/m² </w:t>
            </w:r>
          </w:p>
        </w:tc>
      </w:tr>
    </w:tbl>
    <w:p w14:paraId="3214876B" w14:textId="77777777" w:rsidR="0032522D" w:rsidRDefault="00E947C1" w:rsidP="00A17F65">
      <w:pPr>
        <w:tabs>
          <w:tab w:val="left" w:pos="2745"/>
        </w:tabs>
        <w:rPr>
          <w:rFonts w:asciiTheme="majorHAnsi" w:hAnsiTheme="majorHAnsi" w:cs="Arial"/>
        </w:rPr>
      </w:pPr>
      <w:r w:rsidRPr="001F4433">
        <w:rPr>
          <w:rStyle w:val="Endnotenzeichen"/>
          <w:rFonts w:asciiTheme="majorHAnsi" w:hAnsiTheme="majorHAnsi" w:cs="Arial"/>
          <w:i/>
        </w:rPr>
        <w:endnoteReference w:id="2"/>
      </w:r>
      <w:r w:rsidR="00915541" w:rsidRPr="001F4433">
        <w:rPr>
          <w:rFonts w:asciiTheme="majorHAnsi" w:hAnsiTheme="majorHAnsi" w:cs="Arial"/>
        </w:rPr>
        <w:tab/>
      </w:r>
    </w:p>
    <w:sectPr w:rsidR="0032522D" w:rsidSect="004F6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FC6F" w14:textId="77777777" w:rsidR="00407F64" w:rsidRDefault="00407F64" w:rsidP="000061FB">
      <w:pPr>
        <w:spacing w:after="0" w:line="240" w:lineRule="auto"/>
      </w:pPr>
      <w:r>
        <w:separator/>
      </w:r>
    </w:p>
  </w:endnote>
  <w:endnote w:type="continuationSeparator" w:id="0">
    <w:p w14:paraId="25D5A076" w14:textId="77777777" w:rsidR="00407F64" w:rsidRDefault="00407F64" w:rsidP="000061FB">
      <w:pPr>
        <w:spacing w:after="0" w:line="240" w:lineRule="auto"/>
      </w:pPr>
      <w:r>
        <w:continuationSeparator/>
      </w:r>
    </w:p>
  </w:endnote>
  <w:endnote w:type="continuationNotice" w:id="1">
    <w:p w14:paraId="47898D9A" w14:textId="77777777" w:rsidR="00407F64" w:rsidRDefault="00407F64">
      <w:pPr>
        <w:spacing w:after="0" w:line="240" w:lineRule="auto"/>
      </w:pPr>
    </w:p>
  </w:endnote>
  <w:endnote w:id="2">
    <w:p w14:paraId="6B435372" w14:textId="77777777" w:rsidR="00536790" w:rsidRPr="00BB488F" w:rsidRDefault="00536790" w:rsidP="00E947C1">
      <w:pPr>
        <w:pStyle w:val="Endnotentext"/>
        <w:rPr>
          <w:sz w:val="18"/>
          <w:szCs w:val="18"/>
        </w:rPr>
      </w:pPr>
      <w:r w:rsidRPr="00353745">
        <w:rPr>
          <w:rStyle w:val="Endnotenzeichen"/>
        </w:rPr>
        <w:endnoteRef/>
      </w:r>
      <w:r w:rsidRPr="00353745">
        <w:rPr>
          <w:sz w:val="18"/>
          <w:szCs w:val="18"/>
        </w:rPr>
        <w:t>AM – Arzneimittel, DHPC – Direct Healthcare Professional Communication (</w:t>
      </w:r>
      <w:r w:rsidR="005844D9" w:rsidRPr="00353745">
        <w:rPr>
          <w:sz w:val="18"/>
          <w:szCs w:val="18"/>
        </w:rPr>
        <w:t xml:space="preserve">z.B. </w:t>
      </w:r>
      <w:r w:rsidRPr="00353745">
        <w:rPr>
          <w:sz w:val="18"/>
          <w:szCs w:val="18"/>
        </w:rPr>
        <w:t>„Rote-Hand-Brief“</w:t>
      </w:r>
      <w:r w:rsidR="005844D9" w:rsidRPr="00353745">
        <w:rPr>
          <w:sz w:val="18"/>
          <w:szCs w:val="18"/>
        </w:rPr>
        <w:t>, Informationsbrief, Sicherheitsinformation an medizinische Fachkreise</w:t>
      </w:r>
      <w:r w:rsidRPr="00353745">
        <w:rPr>
          <w:sz w:val="18"/>
          <w:szCs w:val="18"/>
        </w:rPr>
        <w:t>), EduMat – Educational Material (Schulungsmaterial), pU - pharmazeutischer Unternehmer, RMP – Risikomanagement-Plan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BFF5" w14:textId="77777777" w:rsidR="00A43461" w:rsidRDefault="00A434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F21F" w14:textId="5F906EA8" w:rsidR="00536790" w:rsidRPr="009A44D4" w:rsidRDefault="00536790" w:rsidP="00A43461">
    <w:pPr>
      <w:pStyle w:val="Fuzeile"/>
      <w:rPr>
        <w:rFonts w:ascii="Arial" w:hAnsi="Arial" w:cs="Arial"/>
        <w:sz w:val="16"/>
        <w:szCs w:val="16"/>
      </w:rPr>
    </w:pPr>
    <w:r w:rsidRPr="009A44D4">
      <w:rPr>
        <w:rFonts w:ascii="Arial" w:hAnsi="Arial" w:cs="Arial"/>
        <w:sz w:val="16"/>
        <w:szCs w:val="16"/>
      </w:rPr>
      <w:t>71-Kommunikationsplan Schulungsmaterial</w:t>
    </w:r>
    <w:r w:rsidR="00EF6D11">
      <w:rPr>
        <w:rFonts w:ascii="Arial" w:hAnsi="Arial" w:cs="Arial"/>
        <w:sz w:val="16"/>
        <w:szCs w:val="16"/>
      </w:rPr>
      <w:t xml:space="preserve"> Thalidomid</w:t>
    </w:r>
    <w:r w:rsidRPr="009A44D4">
      <w:rPr>
        <w:rFonts w:ascii="Arial" w:hAnsi="Arial" w:cs="Arial"/>
        <w:sz w:val="16"/>
        <w:szCs w:val="16"/>
      </w:rPr>
      <w:t xml:space="preserve">                    Version </w:t>
    </w:r>
    <w:r w:rsidR="00A43461">
      <w:rPr>
        <w:rFonts w:ascii="Arial" w:hAnsi="Arial" w:cs="Arial"/>
        <w:sz w:val="16"/>
        <w:szCs w:val="16"/>
      </w:rPr>
      <w:t>1</w:t>
    </w:r>
    <w:r w:rsidRPr="009A44D4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384872232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1"/>
          <w:szCs w:val="21"/>
        </w:rPr>
      </w:sdtEndPr>
      <w:sdtContent>
        <w:r w:rsidR="00A43461" w:rsidRPr="009A44D4">
          <w:rPr>
            <w:rFonts w:ascii="Arial" w:hAnsi="Arial" w:cs="Arial"/>
            <w:sz w:val="16"/>
            <w:szCs w:val="16"/>
          </w:rPr>
          <w:t xml:space="preserve">Seite </w: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A335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A43461" w:rsidRPr="009A44D4">
          <w:rPr>
            <w:rFonts w:ascii="Arial" w:hAnsi="Arial" w:cs="Arial"/>
            <w:sz w:val="16"/>
            <w:szCs w:val="16"/>
          </w:rPr>
          <w:t xml:space="preserve"> von </w: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A3357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A43461" w:rsidRPr="009A44D4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  <w:p w14:paraId="025E7BB0" w14:textId="6F0AE9E0" w:rsidR="00536790" w:rsidRDefault="00536790" w:rsidP="00A43461">
    <w:pPr>
      <w:pStyle w:val="Fuzeile"/>
    </w:pPr>
  </w:p>
  <w:p w14:paraId="7DBBBC1E" w14:textId="77777777" w:rsidR="00536790" w:rsidRPr="00152B92" w:rsidRDefault="00536790" w:rsidP="00FD28B2">
    <w:pPr>
      <w:pStyle w:val="Fuzeile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078F" w14:textId="77777777" w:rsidR="00A43461" w:rsidRDefault="00A434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CCD05" w14:textId="77777777" w:rsidR="00407F64" w:rsidRDefault="00407F64" w:rsidP="000061FB">
      <w:pPr>
        <w:spacing w:after="0" w:line="240" w:lineRule="auto"/>
      </w:pPr>
      <w:r>
        <w:separator/>
      </w:r>
    </w:p>
  </w:footnote>
  <w:footnote w:type="continuationSeparator" w:id="0">
    <w:p w14:paraId="00E5E0B5" w14:textId="77777777" w:rsidR="00407F64" w:rsidRDefault="00407F64" w:rsidP="000061FB">
      <w:pPr>
        <w:spacing w:after="0" w:line="240" w:lineRule="auto"/>
      </w:pPr>
      <w:r>
        <w:continuationSeparator/>
      </w:r>
    </w:p>
  </w:footnote>
  <w:footnote w:type="continuationNotice" w:id="1">
    <w:p w14:paraId="69E210F4" w14:textId="77777777" w:rsidR="00407F64" w:rsidRDefault="0040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ECF8" w14:textId="77777777" w:rsidR="00A43461" w:rsidRDefault="00A434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0F81" w14:textId="77777777" w:rsidR="00536790" w:rsidRDefault="00536790" w:rsidP="00E045B5">
    <w:pPr>
      <w:pStyle w:val="Kopfzeile"/>
      <w:tabs>
        <w:tab w:val="clear" w:pos="9072"/>
      </w:tabs>
    </w:pPr>
    <w:r>
      <w:rPr>
        <w:noProof/>
        <w:lang w:eastAsia="de-DE"/>
      </w:rPr>
      <w:drawing>
        <wp:inline distT="0" distB="0" distL="0" distR="0" wp14:anchorId="1E83DECF" wp14:editId="44076891">
          <wp:extent cx="1600200" cy="7905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179F" w14:textId="77777777" w:rsidR="00A43461" w:rsidRDefault="00A434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854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276C"/>
    <w:multiLevelType w:val="hybridMultilevel"/>
    <w:tmpl w:val="6ECAA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B11"/>
    <w:multiLevelType w:val="hybridMultilevel"/>
    <w:tmpl w:val="811A2BA4"/>
    <w:lvl w:ilvl="0" w:tplc="9A228F8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EF2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53E1"/>
    <w:multiLevelType w:val="hybridMultilevel"/>
    <w:tmpl w:val="42729F34"/>
    <w:lvl w:ilvl="0" w:tplc="17AC6C4A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ktenzeichen" w:val="-"/>
    <w:docVar w:name="_datum" w:val="23. Januar 2018"/>
  </w:docVars>
  <w:rsids>
    <w:rsidRoot w:val="00D539AC"/>
    <w:rsid w:val="000061FB"/>
    <w:rsid w:val="000218D5"/>
    <w:rsid w:val="0002315C"/>
    <w:rsid w:val="00032940"/>
    <w:rsid w:val="00060343"/>
    <w:rsid w:val="0006037F"/>
    <w:rsid w:val="0008735C"/>
    <w:rsid w:val="00087838"/>
    <w:rsid w:val="000B35CB"/>
    <w:rsid w:val="000D6E00"/>
    <w:rsid w:val="0010675C"/>
    <w:rsid w:val="00130033"/>
    <w:rsid w:val="00135001"/>
    <w:rsid w:val="001364F9"/>
    <w:rsid w:val="001426F5"/>
    <w:rsid w:val="00152B92"/>
    <w:rsid w:val="0015603C"/>
    <w:rsid w:val="0016630A"/>
    <w:rsid w:val="00183F61"/>
    <w:rsid w:val="00184A1A"/>
    <w:rsid w:val="001978E6"/>
    <w:rsid w:val="001A319D"/>
    <w:rsid w:val="001A4B2A"/>
    <w:rsid w:val="001A60D8"/>
    <w:rsid w:val="001B7984"/>
    <w:rsid w:val="001C0BC2"/>
    <w:rsid w:val="001C5946"/>
    <w:rsid w:val="001C7DC3"/>
    <w:rsid w:val="001D6403"/>
    <w:rsid w:val="001F3736"/>
    <w:rsid w:val="001F4433"/>
    <w:rsid w:val="00201551"/>
    <w:rsid w:val="00204388"/>
    <w:rsid w:val="00224A3B"/>
    <w:rsid w:val="002573F9"/>
    <w:rsid w:val="00262142"/>
    <w:rsid w:val="0026685D"/>
    <w:rsid w:val="00281ECA"/>
    <w:rsid w:val="00286AB8"/>
    <w:rsid w:val="00290F2E"/>
    <w:rsid w:val="002A74E0"/>
    <w:rsid w:val="002A7866"/>
    <w:rsid w:val="002D2555"/>
    <w:rsid w:val="002F0B1F"/>
    <w:rsid w:val="002F3066"/>
    <w:rsid w:val="0031068E"/>
    <w:rsid w:val="0032522D"/>
    <w:rsid w:val="003339B7"/>
    <w:rsid w:val="003431DE"/>
    <w:rsid w:val="0034722C"/>
    <w:rsid w:val="00347561"/>
    <w:rsid w:val="00352AFD"/>
    <w:rsid w:val="00353745"/>
    <w:rsid w:val="003548F1"/>
    <w:rsid w:val="00365ABC"/>
    <w:rsid w:val="00370874"/>
    <w:rsid w:val="003711BF"/>
    <w:rsid w:val="003813D7"/>
    <w:rsid w:val="003958AE"/>
    <w:rsid w:val="003A04B4"/>
    <w:rsid w:val="003A5355"/>
    <w:rsid w:val="003B5EFE"/>
    <w:rsid w:val="003C6FE1"/>
    <w:rsid w:val="003D3174"/>
    <w:rsid w:val="003E5888"/>
    <w:rsid w:val="003F60C2"/>
    <w:rsid w:val="00402476"/>
    <w:rsid w:val="00407F64"/>
    <w:rsid w:val="0042478D"/>
    <w:rsid w:val="004710F8"/>
    <w:rsid w:val="00471473"/>
    <w:rsid w:val="00473BDE"/>
    <w:rsid w:val="00476A76"/>
    <w:rsid w:val="0049039B"/>
    <w:rsid w:val="004924B9"/>
    <w:rsid w:val="004A0D79"/>
    <w:rsid w:val="004A6D46"/>
    <w:rsid w:val="004B41A1"/>
    <w:rsid w:val="004D091B"/>
    <w:rsid w:val="004E1F6E"/>
    <w:rsid w:val="004E636E"/>
    <w:rsid w:val="004F38BC"/>
    <w:rsid w:val="004F64F7"/>
    <w:rsid w:val="004F6769"/>
    <w:rsid w:val="00503415"/>
    <w:rsid w:val="00510A6E"/>
    <w:rsid w:val="00521A7E"/>
    <w:rsid w:val="00531EBF"/>
    <w:rsid w:val="00536790"/>
    <w:rsid w:val="00537399"/>
    <w:rsid w:val="00540414"/>
    <w:rsid w:val="0054194C"/>
    <w:rsid w:val="00542071"/>
    <w:rsid w:val="005521EE"/>
    <w:rsid w:val="00553E45"/>
    <w:rsid w:val="0055776C"/>
    <w:rsid w:val="005729F4"/>
    <w:rsid w:val="00581BCA"/>
    <w:rsid w:val="005844D9"/>
    <w:rsid w:val="0059269F"/>
    <w:rsid w:val="005A0F5B"/>
    <w:rsid w:val="005A3357"/>
    <w:rsid w:val="005B4A99"/>
    <w:rsid w:val="005C66E8"/>
    <w:rsid w:val="005F7D5E"/>
    <w:rsid w:val="0061707D"/>
    <w:rsid w:val="00627C0F"/>
    <w:rsid w:val="00633784"/>
    <w:rsid w:val="00640C1E"/>
    <w:rsid w:val="006416F8"/>
    <w:rsid w:val="00665DE0"/>
    <w:rsid w:val="00670ECB"/>
    <w:rsid w:val="006860D7"/>
    <w:rsid w:val="006A14C7"/>
    <w:rsid w:val="006A1BFA"/>
    <w:rsid w:val="006A60C3"/>
    <w:rsid w:val="006B0C53"/>
    <w:rsid w:val="006B35F2"/>
    <w:rsid w:val="006B5744"/>
    <w:rsid w:val="006B6524"/>
    <w:rsid w:val="006F1C26"/>
    <w:rsid w:val="00700A86"/>
    <w:rsid w:val="007055D8"/>
    <w:rsid w:val="007056F0"/>
    <w:rsid w:val="007136A9"/>
    <w:rsid w:val="0073026E"/>
    <w:rsid w:val="00732530"/>
    <w:rsid w:val="00744444"/>
    <w:rsid w:val="00747EED"/>
    <w:rsid w:val="00760D20"/>
    <w:rsid w:val="0078260A"/>
    <w:rsid w:val="00783AED"/>
    <w:rsid w:val="00790F92"/>
    <w:rsid w:val="007934D0"/>
    <w:rsid w:val="007B335F"/>
    <w:rsid w:val="007C7203"/>
    <w:rsid w:val="007F5293"/>
    <w:rsid w:val="008011FB"/>
    <w:rsid w:val="00807B9D"/>
    <w:rsid w:val="00814ACE"/>
    <w:rsid w:val="008325B6"/>
    <w:rsid w:val="0085124C"/>
    <w:rsid w:val="00866B50"/>
    <w:rsid w:val="008B0CE9"/>
    <w:rsid w:val="008B2DA0"/>
    <w:rsid w:val="008B54F0"/>
    <w:rsid w:val="008C5D2C"/>
    <w:rsid w:val="008F0ED8"/>
    <w:rsid w:val="008F1A58"/>
    <w:rsid w:val="008F45BA"/>
    <w:rsid w:val="0091208C"/>
    <w:rsid w:val="00915541"/>
    <w:rsid w:val="00923ADB"/>
    <w:rsid w:val="00923E37"/>
    <w:rsid w:val="00924FAC"/>
    <w:rsid w:val="00931BE0"/>
    <w:rsid w:val="0093209F"/>
    <w:rsid w:val="00936C39"/>
    <w:rsid w:val="009451AB"/>
    <w:rsid w:val="00966FAB"/>
    <w:rsid w:val="009770FE"/>
    <w:rsid w:val="00984AE8"/>
    <w:rsid w:val="00986E4C"/>
    <w:rsid w:val="009944D1"/>
    <w:rsid w:val="0099459B"/>
    <w:rsid w:val="009A44D4"/>
    <w:rsid w:val="009B1AAC"/>
    <w:rsid w:val="009C5C21"/>
    <w:rsid w:val="009C7E3D"/>
    <w:rsid w:val="009D3FCE"/>
    <w:rsid w:val="009D7565"/>
    <w:rsid w:val="009E1BB7"/>
    <w:rsid w:val="009E4C8A"/>
    <w:rsid w:val="009E6B80"/>
    <w:rsid w:val="009F5933"/>
    <w:rsid w:val="00A17F65"/>
    <w:rsid w:val="00A30C0E"/>
    <w:rsid w:val="00A30E18"/>
    <w:rsid w:val="00A37894"/>
    <w:rsid w:val="00A43461"/>
    <w:rsid w:val="00A56A58"/>
    <w:rsid w:val="00A9307F"/>
    <w:rsid w:val="00A952E8"/>
    <w:rsid w:val="00A974C7"/>
    <w:rsid w:val="00AA76F4"/>
    <w:rsid w:val="00AB25D1"/>
    <w:rsid w:val="00AC6B0F"/>
    <w:rsid w:val="00AD39A4"/>
    <w:rsid w:val="00B05C20"/>
    <w:rsid w:val="00B25B71"/>
    <w:rsid w:val="00B559A8"/>
    <w:rsid w:val="00B57620"/>
    <w:rsid w:val="00B650DC"/>
    <w:rsid w:val="00B92822"/>
    <w:rsid w:val="00B935ED"/>
    <w:rsid w:val="00BA0BD5"/>
    <w:rsid w:val="00BA0CDB"/>
    <w:rsid w:val="00BB488F"/>
    <w:rsid w:val="00BC137A"/>
    <w:rsid w:val="00BC41E3"/>
    <w:rsid w:val="00BE22DA"/>
    <w:rsid w:val="00BF021A"/>
    <w:rsid w:val="00C02C80"/>
    <w:rsid w:val="00C06318"/>
    <w:rsid w:val="00C22688"/>
    <w:rsid w:val="00C2424F"/>
    <w:rsid w:val="00C46B51"/>
    <w:rsid w:val="00C46B85"/>
    <w:rsid w:val="00C51798"/>
    <w:rsid w:val="00C51D10"/>
    <w:rsid w:val="00C648EE"/>
    <w:rsid w:val="00C67397"/>
    <w:rsid w:val="00C712E7"/>
    <w:rsid w:val="00C83AC7"/>
    <w:rsid w:val="00C86F20"/>
    <w:rsid w:val="00CC1560"/>
    <w:rsid w:val="00CF1905"/>
    <w:rsid w:val="00D07721"/>
    <w:rsid w:val="00D17BE2"/>
    <w:rsid w:val="00D26843"/>
    <w:rsid w:val="00D301B2"/>
    <w:rsid w:val="00D366A2"/>
    <w:rsid w:val="00D40267"/>
    <w:rsid w:val="00D42AE7"/>
    <w:rsid w:val="00D50A70"/>
    <w:rsid w:val="00D539AC"/>
    <w:rsid w:val="00D578F8"/>
    <w:rsid w:val="00D82A64"/>
    <w:rsid w:val="00DB2AC1"/>
    <w:rsid w:val="00DF4898"/>
    <w:rsid w:val="00E00DB7"/>
    <w:rsid w:val="00E03D40"/>
    <w:rsid w:val="00E045B5"/>
    <w:rsid w:val="00E0665A"/>
    <w:rsid w:val="00E21E84"/>
    <w:rsid w:val="00E23301"/>
    <w:rsid w:val="00E30963"/>
    <w:rsid w:val="00E60DAE"/>
    <w:rsid w:val="00E717CC"/>
    <w:rsid w:val="00E75305"/>
    <w:rsid w:val="00E947C1"/>
    <w:rsid w:val="00E959E9"/>
    <w:rsid w:val="00EB14F2"/>
    <w:rsid w:val="00EB6F1F"/>
    <w:rsid w:val="00EC2674"/>
    <w:rsid w:val="00EC2808"/>
    <w:rsid w:val="00EC5769"/>
    <w:rsid w:val="00EE02C2"/>
    <w:rsid w:val="00EE1F9A"/>
    <w:rsid w:val="00EF6D11"/>
    <w:rsid w:val="00F04453"/>
    <w:rsid w:val="00F05F17"/>
    <w:rsid w:val="00F3050A"/>
    <w:rsid w:val="00F4535E"/>
    <w:rsid w:val="00F46476"/>
    <w:rsid w:val="00F5628E"/>
    <w:rsid w:val="00F645FD"/>
    <w:rsid w:val="00F86583"/>
    <w:rsid w:val="00F905DD"/>
    <w:rsid w:val="00F90A3A"/>
    <w:rsid w:val="00FA2212"/>
    <w:rsid w:val="00FC4959"/>
    <w:rsid w:val="00FD28B2"/>
    <w:rsid w:val="00FD3B19"/>
    <w:rsid w:val="00FF0B5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B4C90B5"/>
  <w15:docId w15:val="{253B3D52-E52B-43F2-8797-63BD5F1F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14F2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24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2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2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2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2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1FB"/>
  </w:style>
  <w:style w:type="paragraph" w:styleId="Fuzeile">
    <w:name w:val="footer"/>
    <w:basedOn w:val="Standard"/>
    <w:link w:val="Fu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F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24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24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24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24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24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4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4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4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424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242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C242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24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24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C2424F"/>
    <w:rPr>
      <w:b/>
      <w:bCs/>
      <w:spacing w:val="0"/>
    </w:rPr>
  </w:style>
  <w:style w:type="character" w:styleId="Hervorhebung">
    <w:name w:val="Emphasis"/>
    <w:uiPriority w:val="20"/>
    <w:qFormat/>
    <w:rsid w:val="00C2424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C2424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24F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2424F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C2424F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24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24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C2424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C242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C2424F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C2424F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C2424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424F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2522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522D"/>
    <w:rPr>
      <w:i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52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B48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6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6B85"/>
    <w:rPr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B85"/>
    <w:rPr>
      <w:b/>
      <w:bCs/>
      <w:iCs/>
      <w:sz w:val="20"/>
      <w:szCs w:val="20"/>
    </w:rPr>
  </w:style>
  <w:style w:type="paragraph" w:styleId="berarbeitung">
    <w:name w:val="Revision"/>
    <w:hidden/>
    <w:uiPriority w:val="99"/>
    <w:semiHidden/>
    <w:rsid w:val="003B5EFE"/>
    <w:pPr>
      <w:spacing w:after="0" w:line="240" w:lineRule="auto"/>
    </w:pPr>
    <w:rPr>
      <w:iCs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21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1EE"/>
    <w:rPr>
      <w:i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21EE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44444"/>
    <w:rPr>
      <w:color w:val="605E5C"/>
      <w:shd w:val="clear" w:color="auto" w:fill="E1DFDD"/>
    </w:rPr>
  </w:style>
  <w:style w:type="paragraph" w:customStyle="1" w:styleId="Default">
    <w:name w:val="Default"/>
    <w:rsid w:val="00B05C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de-CH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4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B5E5-B288-40F4-A2A2-4580017C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Praktikant-71</dc:creator>
  <cp:lastModifiedBy>Klemm, Barbara</cp:lastModifiedBy>
  <cp:revision>6</cp:revision>
  <cp:lastPrinted>2022-11-24T13:56:00Z</cp:lastPrinted>
  <dcterms:created xsi:type="dcterms:W3CDTF">2023-07-12T10:32:00Z</dcterms:created>
  <dcterms:modified xsi:type="dcterms:W3CDTF">2023-08-08T12:21:00Z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