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FD984" w14:textId="18CFC225" w:rsidR="00C52B21" w:rsidRDefault="00811564" w:rsidP="001A0947">
      <w:pPr>
        <w:pBdr>
          <w:top w:val="single" w:sz="4" w:space="1" w:color="auto"/>
          <w:left w:val="single" w:sz="4" w:space="4" w:color="auto"/>
          <w:bottom w:val="single" w:sz="4" w:space="1" w:color="auto"/>
          <w:right w:val="single" w:sz="4" w:space="4" w:color="auto"/>
        </w:pBdr>
        <w:ind w:right="425"/>
      </w:pPr>
      <w:bookmarkStart w:id="0" w:name="_GoBack"/>
      <w:bookmarkEnd w:id="0"/>
      <w:r w:rsidRPr="001A0947">
        <w:rPr>
          <w:rFonts w:ascii="Arial" w:eastAsia="Arial" w:hAnsi="Arial" w:cs="Arial"/>
          <w:noProof/>
          <w:lang w:eastAsia="de-DE"/>
        </w:rPr>
        <w:drawing>
          <wp:anchor distT="0" distB="0" distL="114300" distR="114300" simplePos="0" relativeHeight="251659264" behindDoc="0" locked="0" layoutInCell="1" allowOverlap="1" wp14:anchorId="1634C4EE" wp14:editId="717C5AAC">
            <wp:simplePos x="0" y="0"/>
            <wp:positionH relativeFrom="column">
              <wp:posOffset>5518150</wp:posOffset>
            </wp:positionH>
            <wp:positionV relativeFrom="paragraph">
              <wp:posOffset>-578456</wp:posOffset>
            </wp:positionV>
            <wp:extent cx="1335405" cy="2072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 r="-30037" b="-30037"/>
                    <a:stretch/>
                  </pic:blipFill>
                  <pic:spPr bwMode="auto">
                    <a:xfrm>
                      <a:off x="0" y="0"/>
                      <a:ext cx="1335405" cy="2072640"/>
                    </a:xfrm>
                    <a:prstGeom prst="rect">
                      <a:avLst/>
                    </a:prstGeom>
                    <a:noFill/>
                  </pic:spPr>
                </pic:pic>
              </a:graphicData>
            </a:graphic>
            <wp14:sizeRelH relativeFrom="page">
              <wp14:pctWidth>0</wp14:pctWidth>
            </wp14:sizeRelH>
            <wp14:sizeRelV relativeFrom="page">
              <wp14:pctHeight>0</wp14:pctHeight>
            </wp14:sizeRelV>
          </wp:anchor>
        </w:drawing>
      </w:r>
      <w:r w:rsidR="00B1027A" w:rsidRPr="001A0947">
        <w:rPr>
          <w:rFonts w:ascii="Arial" w:eastAsia="Arial" w:hAnsi="Arial" w:cs="Arial"/>
          <w:noProof/>
          <w:lang w:eastAsia="de-DE"/>
        </w:rPr>
        <w:t>Dieser Leitfaden wurde als verpflichtender Teil der Zulassung in Abstimmung mit dem</w:t>
      </w:r>
      <w:r w:rsidR="00B1027A" w:rsidRPr="006D3808">
        <w:rPr>
          <w:rFonts w:ascii="Arial" w:eastAsia="Arial" w:hAnsi="Arial" w:cs="Arial"/>
          <w:noProof/>
          <w:bdr w:val="single" w:sz="4" w:space="0" w:color="auto"/>
          <w:lang w:eastAsia="de-DE"/>
        </w:rPr>
        <w:t xml:space="preserve"> </w:t>
      </w:r>
      <w:r w:rsidR="00B1027A" w:rsidRPr="001A0947">
        <w:rPr>
          <w:rFonts w:ascii="Arial" w:eastAsia="Arial" w:hAnsi="Arial" w:cs="Arial"/>
          <w:noProof/>
          <w:lang w:eastAsia="de-DE"/>
        </w:rPr>
        <w:t>Bundesinstitut für Arzneimittel und Medizinprodukte (BfArM) erstellt und als zusätzliche</w:t>
      </w:r>
      <w:r w:rsidR="00B1027A" w:rsidRPr="006D3808">
        <w:rPr>
          <w:rFonts w:ascii="Arial" w:eastAsia="Arial" w:hAnsi="Arial" w:cs="Arial"/>
          <w:noProof/>
          <w:bdr w:val="single" w:sz="4" w:space="0" w:color="auto"/>
          <w:lang w:eastAsia="de-DE"/>
        </w:rPr>
        <w:t xml:space="preserve"> </w:t>
      </w:r>
      <w:r w:rsidR="00B1027A" w:rsidRPr="001A0947">
        <w:rPr>
          <w:rFonts w:ascii="Arial" w:eastAsia="Arial" w:hAnsi="Arial" w:cs="Arial"/>
          <w:noProof/>
          <w:lang w:eastAsia="de-DE"/>
        </w:rPr>
        <w:t>risikominimierende Maßnahme beauflagt. Dadurch soll sichergestellt werden, dass</w:t>
      </w:r>
      <w:r w:rsidR="00B1027A" w:rsidRPr="006D3808">
        <w:rPr>
          <w:rFonts w:ascii="Arial" w:eastAsia="Arial" w:hAnsi="Arial" w:cs="Arial"/>
          <w:noProof/>
          <w:bdr w:val="single" w:sz="4" w:space="0" w:color="auto"/>
          <w:lang w:eastAsia="de-DE"/>
        </w:rPr>
        <w:t xml:space="preserve"> </w:t>
      </w:r>
      <w:r w:rsidR="00B1027A" w:rsidRPr="001A0947">
        <w:rPr>
          <w:rFonts w:ascii="Arial" w:eastAsia="Arial" w:hAnsi="Arial" w:cs="Arial"/>
          <w:noProof/>
          <w:lang w:eastAsia="de-DE"/>
        </w:rPr>
        <w:t>Angehörige der Heilberufe, die Dabigatranetexilat verschreiben und zur Anwendung</w:t>
      </w:r>
      <w:r w:rsidR="00B1027A" w:rsidRPr="006D3808">
        <w:rPr>
          <w:rFonts w:ascii="Arial" w:eastAsia="Arial" w:hAnsi="Arial" w:cs="Arial"/>
          <w:noProof/>
          <w:bdr w:val="single" w:sz="4" w:space="0" w:color="auto"/>
          <w:lang w:eastAsia="de-DE"/>
        </w:rPr>
        <w:t xml:space="preserve"> </w:t>
      </w:r>
      <w:r w:rsidR="00B1027A" w:rsidRPr="001A0947">
        <w:rPr>
          <w:rFonts w:ascii="Arial" w:eastAsia="Arial" w:hAnsi="Arial" w:cs="Arial"/>
          <w:noProof/>
          <w:lang w:eastAsia="de-DE"/>
        </w:rPr>
        <w:t>bringen, die besonderen Sicherheitsanforderungen kennen und berücksichtigen.</w:t>
      </w:r>
    </w:p>
    <w:p w14:paraId="504889F9" w14:textId="77777777" w:rsidR="00C52B21" w:rsidRDefault="00C52B21" w:rsidP="00C52B21"/>
    <w:p w14:paraId="18E74106" w14:textId="77777777" w:rsidR="00B1027A" w:rsidRPr="00C9775B" w:rsidRDefault="00B1027A" w:rsidP="00B1027A">
      <w:pPr>
        <w:spacing w:after="0" w:line="240" w:lineRule="auto"/>
        <w:ind w:left="10" w:hanging="10"/>
        <w:contextualSpacing/>
        <w:jc w:val="center"/>
        <w:rPr>
          <w:rFonts w:ascii="Arial Narrow" w:eastAsia="Times New Roman" w:hAnsi="Arial Narrow" w:cs="Times New Roman"/>
          <w:b/>
          <w:bCs/>
          <w:spacing w:val="-10"/>
          <w:w w:val="115"/>
          <w:kern w:val="28"/>
          <w:sz w:val="40"/>
          <w:szCs w:val="40"/>
          <w:lang w:eastAsia="de-DE"/>
        </w:rPr>
      </w:pPr>
      <w:r w:rsidRPr="00C9775B">
        <w:rPr>
          <w:rFonts w:ascii="Arial Narrow" w:eastAsia="Times New Roman" w:hAnsi="Arial Narrow" w:cs="Times New Roman"/>
          <w:b/>
          <w:bCs/>
          <w:spacing w:val="-10"/>
          <w:w w:val="115"/>
          <w:kern w:val="28"/>
          <w:sz w:val="40"/>
          <w:szCs w:val="40"/>
          <w:lang w:eastAsia="de-DE"/>
        </w:rPr>
        <w:t>Leitfaden</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zur</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Verringerung</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von</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Arzneimittel-</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und Anwendungsrisiken</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Angehörige</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der</w:t>
      </w:r>
      <w:r w:rsidRPr="00C9775B">
        <w:rPr>
          <w:rFonts w:ascii="Arial Narrow" w:eastAsia="Times New Roman" w:hAnsi="Arial Narrow" w:cs="Times New Roman"/>
          <w:b/>
          <w:bCs/>
          <w:spacing w:val="1"/>
          <w:w w:val="115"/>
          <w:kern w:val="28"/>
          <w:sz w:val="40"/>
          <w:szCs w:val="40"/>
          <w:lang w:eastAsia="de-DE"/>
        </w:rPr>
        <w:t xml:space="preserve"> </w:t>
      </w:r>
      <w:r w:rsidRPr="00C9775B">
        <w:rPr>
          <w:rFonts w:ascii="Arial Narrow" w:eastAsia="Times New Roman" w:hAnsi="Arial Narrow" w:cs="Times New Roman"/>
          <w:b/>
          <w:bCs/>
          <w:spacing w:val="-10"/>
          <w:w w:val="115"/>
          <w:kern w:val="28"/>
          <w:sz w:val="40"/>
          <w:szCs w:val="40"/>
          <w:lang w:eastAsia="de-DE"/>
        </w:rPr>
        <w:t>Heilberufe</w:t>
      </w:r>
    </w:p>
    <w:p w14:paraId="7AB64E54" w14:textId="77777777" w:rsidR="00B1027A" w:rsidRPr="00C9775B" w:rsidRDefault="00B1027A" w:rsidP="00B1027A">
      <w:pPr>
        <w:spacing w:after="194" w:line="247" w:lineRule="auto"/>
        <w:ind w:left="10" w:hanging="10"/>
        <w:jc w:val="center"/>
        <w:rPr>
          <w:rFonts w:ascii="Arial Narrow" w:eastAsia="Calibri" w:hAnsi="Arial Narrow" w:cs="Calibri"/>
          <w:color w:val="000000"/>
          <w:sz w:val="24"/>
          <w:lang w:eastAsia="de-DE"/>
        </w:rPr>
      </w:pPr>
      <w:r w:rsidRPr="00C9775B">
        <w:rPr>
          <w:rFonts w:ascii="Arial Narrow" w:eastAsia="Calibri" w:hAnsi="Arial Narrow" w:cs="Calibri"/>
          <w:color w:val="000000"/>
          <w:sz w:val="24"/>
          <w:lang w:eastAsia="de-DE"/>
        </w:rPr>
        <w:t>Beachten Sie bitte auch die Fachinformationen zu Dabigatranetexilat</w:t>
      </w:r>
    </w:p>
    <w:p w14:paraId="2C4DC35E" w14:textId="7557B278" w:rsidR="00C52B21" w:rsidRPr="00C52B21" w:rsidRDefault="00B1027A" w:rsidP="006D3808">
      <w:pPr>
        <w:jc w:val="center"/>
        <w:rPr>
          <w:b/>
          <w:bCs/>
          <w:sz w:val="24"/>
          <w:szCs w:val="24"/>
        </w:rPr>
      </w:pPr>
      <w:r w:rsidRPr="00C9775B">
        <w:rPr>
          <w:rFonts w:ascii="Arial Narrow" w:eastAsia="Calibri" w:hAnsi="Arial Narrow" w:cs="Calibri"/>
          <w:b/>
          <w:color w:val="000000"/>
          <w:sz w:val="40"/>
          <w:szCs w:val="40"/>
        </w:rPr>
        <w:t>Dabigatranetexilat</w:t>
      </w:r>
    </w:p>
    <w:p w14:paraId="6D3EC926" w14:textId="77777777" w:rsidR="00C52B21" w:rsidRDefault="00C52B21" w:rsidP="00C52B21">
      <w:pPr>
        <w:rPr>
          <w:b/>
          <w:bCs/>
        </w:rPr>
      </w:pPr>
    </w:p>
    <w:p w14:paraId="3E4CA618" w14:textId="4066AC2A" w:rsidR="00C52B21" w:rsidRPr="00C52B21" w:rsidRDefault="00C52B21" w:rsidP="00C52B21">
      <w:pPr>
        <w:rPr>
          <w:b/>
          <w:bCs/>
        </w:rPr>
      </w:pPr>
      <w:r w:rsidRPr="00C52B21">
        <w:rPr>
          <w:b/>
          <w:bCs/>
        </w:rPr>
        <w:t>Die Empfehlungen gelten nur für die</w:t>
      </w:r>
      <w:r w:rsidR="009C76CA">
        <w:rPr>
          <w:b/>
          <w:bCs/>
        </w:rPr>
        <w:t>se</w:t>
      </w:r>
      <w:r w:rsidRPr="00C52B21">
        <w:rPr>
          <w:b/>
          <w:bCs/>
        </w:rPr>
        <w:t xml:space="preserve"> Indikation</w:t>
      </w:r>
      <w:r w:rsidR="00B1027A">
        <w:rPr>
          <w:b/>
          <w:bCs/>
        </w:rPr>
        <w:t>:</w:t>
      </w:r>
    </w:p>
    <w:p w14:paraId="3C08FC85" w14:textId="6072A4D4" w:rsidR="00C52B21" w:rsidRDefault="00C52B21" w:rsidP="00C52B21">
      <w:r>
        <w:t xml:space="preserve">• </w:t>
      </w:r>
      <w:r w:rsidR="009C76CA" w:rsidRPr="009C76CA">
        <w:t>Primärprävention von venösen Thromboembolien (VTE) nach elektivem chirurgischem Hüft- oder Kniegelenksersatz – 1 x täglich</w:t>
      </w:r>
    </w:p>
    <w:p w14:paraId="40D8A6BA" w14:textId="77777777" w:rsidR="00B1027A" w:rsidRDefault="00B1027A" w:rsidP="00B1027A"/>
    <w:p w14:paraId="5280F99F" w14:textId="77777777" w:rsidR="00B1027A" w:rsidRDefault="00B1027A" w:rsidP="00B1027A"/>
    <w:p w14:paraId="38F5309D" w14:textId="77777777" w:rsidR="00B1027A" w:rsidRDefault="00B1027A" w:rsidP="00B1027A"/>
    <w:p w14:paraId="3156C76F" w14:textId="77777777" w:rsidR="00B1027A" w:rsidRDefault="00B1027A" w:rsidP="00B1027A"/>
    <w:p w14:paraId="692DC357" w14:textId="77777777" w:rsidR="00B1027A" w:rsidRDefault="00B1027A" w:rsidP="00B1027A"/>
    <w:p w14:paraId="1BABCE87" w14:textId="77777777" w:rsidR="00B1027A" w:rsidRDefault="00B1027A" w:rsidP="00B1027A"/>
    <w:p w14:paraId="291ED66E" w14:textId="77777777" w:rsidR="00B1027A" w:rsidRDefault="00B1027A" w:rsidP="00B1027A"/>
    <w:p w14:paraId="1F14F515" w14:textId="77777777" w:rsidR="00B1027A" w:rsidRDefault="00B1027A" w:rsidP="00B1027A"/>
    <w:p w14:paraId="020AE62C" w14:textId="5A68286B" w:rsidR="00B1027A" w:rsidRDefault="00B1027A" w:rsidP="00B1027A">
      <w:pPr>
        <w:rPr>
          <w:rFonts w:ascii="Calibri" w:eastAsia="Calibri" w:hAnsi="Calibri" w:cs="Times New Roman"/>
          <w:w w:val="104"/>
          <w:sz w:val="20"/>
          <w:szCs w:val="20"/>
        </w:rPr>
      </w:pPr>
    </w:p>
    <w:p w14:paraId="68E37965" w14:textId="2DE39F91" w:rsidR="00B1027A" w:rsidRDefault="00B1027A" w:rsidP="00B1027A">
      <w:pPr>
        <w:rPr>
          <w:rFonts w:ascii="Calibri" w:eastAsia="Calibri" w:hAnsi="Calibri" w:cs="Times New Roman"/>
          <w:w w:val="104"/>
          <w:sz w:val="20"/>
          <w:szCs w:val="20"/>
        </w:rPr>
      </w:pPr>
    </w:p>
    <w:p w14:paraId="106D422A" w14:textId="3925BFE3" w:rsidR="00B1027A" w:rsidRDefault="00B1027A" w:rsidP="00B1027A">
      <w:pPr>
        <w:rPr>
          <w:rFonts w:ascii="Calibri" w:eastAsia="Calibri" w:hAnsi="Calibri" w:cs="Times New Roman"/>
          <w:w w:val="104"/>
          <w:sz w:val="20"/>
          <w:szCs w:val="20"/>
        </w:rPr>
      </w:pPr>
    </w:p>
    <w:p w14:paraId="783F2EF1" w14:textId="51BF4A60" w:rsidR="00B1027A" w:rsidRDefault="00B1027A" w:rsidP="00B1027A">
      <w:pPr>
        <w:rPr>
          <w:rFonts w:ascii="Calibri" w:eastAsia="Calibri" w:hAnsi="Calibri" w:cs="Times New Roman"/>
          <w:w w:val="104"/>
          <w:sz w:val="20"/>
          <w:szCs w:val="20"/>
        </w:rPr>
      </w:pPr>
    </w:p>
    <w:p w14:paraId="329528C1" w14:textId="39B95D63" w:rsidR="00B1027A" w:rsidRDefault="00B1027A" w:rsidP="00B1027A">
      <w:pPr>
        <w:rPr>
          <w:rFonts w:ascii="Calibri" w:eastAsia="Calibri" w:hAnsi="Calibri" w:cs="Times New Roman"/>
          <w:w w:val="104"/>
          <w:sz w:val="20"/>
          <w:szCs w:val="20"/>
        </w:rPr>
      </w:pPr>
    </w:p>
    <w:p w14:paraId="2B282548" w14:textId="77777777" w:rsidR="00B1027A" w:rsidRDefault="00B1027A" w:rsidP="00B1027A">
      <w:pPr>
        <w:rPr>
          <w:rFonts w:ascii="Calibri" w:eastAsia="Calibri" w:hAnsi="Calibri" w:cs="Times New Roman"/>
          <w:w w:val="104"/>
          <w:sz w:val="20"/>
          <w:szCs w:val="20"/>
        </w:rPr>
      </w:pPr>
    </w:p>
    <w:p w14:paraId="14407966" w14:textId="77777777" w:rsidR="003D39F1" w:rsidRDefault="003D39F1" w:rsidP="00B1027A">
      <w:pPr>
        <w:rPr>
          <w:rFonts w:ascii="Calibri" w:eastAsia="Calibri" w:hAnsi="Calibri" w:cs="Times New Roman"/>
          <w:w w:val="104"/>
          <w:sz w:val="20"/>
          <w:szCs w:val="20"/>
        </w:rPr>
      </w:pPr>
    </w:p>
    <w:p w14:paraId="655F60C7" w14:textId="77777777" w:rsidR="003D39F1" w:rsidRDefault="003D39F1" w:rsidP="00B1027A">
      <w:pPr>
        <w:rPr>
          <w:rFonts w:ascii="Calibri" w:eastAsia="Calibri" w:hAnsi="Calibri" w:cs="Times New Roman"/>
          <w:w w:val="104"/>
          <w:sz w:val="20"/>
          <w:szCs w:val="20"/>
        </w:rPr>
      </w:pPr>
    </w:p>
    <w:p w14:paraId="772CDAA8" w14:textId="087E03AB" w:rsidR="00B1027A" w:rsidRDefault="00B1027A" w:rsidP="00B1027A">
      <w:pPr>
        <w:rPr>
          <w:rFonts w:ascii="Calibri" w:eastAsia="Calibri" w:hAnsi="Calibri" w:cs="Times New Roman"/>
          <w:w w:val="105"/>
          <w:sz w:val="20"/>
          <w:szCs w:val="20"/>
        </w:rPr>
      </w:pPr>
      <w:r w:rsidRPr="00C9775B">
        <w:rPr>
          <w:rFonts w:ascii="Calibri" w:eastAsia="Calibri" w:hAnsi="Calibri" w:cs="Times New Roman"/>
          <w:w w:val="104"/>
          <w:sz w:val="20"/>
          <w:szCs w:val="20"/>
        </w:rPr>
        <w:t>In</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diesem</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Leitfaden</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wird</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bei</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Nennung</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der</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pharmazeutischen</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Darreichungsform</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zur</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besseren</w:t>
      </w:r>
      <w:r w:rsidRPr="00C9775B">
        <w:rPr>
          <w:rFonts w:ascii="Calibri" w:eastAsia="Calibri" w:hAnsi="Calibri" w:cs="Times New Roman"/>
          <w:spacing w:val="18"/>
          <w:w w:val="104"/>
          <w:sz w:val="20"/>
          <w:szCs w:val="20"/>
        </w:rPr>
        <w:t xml:space="preserve"> </w:t>
      </w:r>
      <w:r w:rsidRPr="00C9775B">
        <w:rPr>
          <w:rFonts w:ascii="Calibri" w:eastAsia="Calibri" w:hAnsi="Calibri" w:cs="Times New Roman"/>
          <w:w w:val="104"/>
          <w:sz w:val="20"/>
          <w:szCs w:val="20"/>
        </w:rPr>
        <w:t>Über</w:t>
      </w:r>
      <w:r w:rsidRPr="00C9775B">
        <w:rPr>
          <w:rFonts w:ascii="Calibri" w:eastAsia="Calibri" w:hAnsi="Calibri" w:cs="Times New Roman"/>
          <w:w w:val="105"/>
          <w:sz w:val="20"/>
          <w:szCs w:val="20"/>
        </w:rPr>
        <w:t>sichtlichkeit</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anstelle</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des</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Begriffes</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w:t>
      </w:r>
      <w:r>
        <w:rPr>
          <w:rFonts w:ascii="Calibri" w:eastAsia="Calibri" w:hAnsi="Calibri" w:cs="Times New Roman"/>
          <w:w w:val="105"/>
          <w:sz w:val="20"/>
          <w:szCs w:val="20"/>
        </w:rPr>
        <w:t>Hartkapsel</w:t>
      </w:r>
      <w:r w:rsidRPr="00C9775B">
        <w:rPr>
          <w:rFonts w:ascii="Calibri" w:eastAsia="Calibri" w:hAnsi="Calibri" w:cs="Times New Roman"/>
          <w:w w:val="105"/>
          <w:sz w:val="20"/>
          <w:szCs w:val="20"/>
        </w:rPr>
        <w:t>“</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die</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allgemeine</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Angabe</w:t>
      </w:r>
      <w:r w:rsidRPr="00C9775B">
        <w:rPr>
          <w:rFonts w:ascii="Calibri" w:eastAsia="Calibri" w:hAnsi="Calibri" w:cs="Times New Roman"/>
          <w:spacing w:val="9"/>
          <w:w w:val="105"/>
          <w:sz w:val="20"/>
          <w:szCs w:val="20"/>
        </w:rPr>
        <w:t xml:space="preserve"> </w:t>
      </w:r>
      <w:r w:rsidRPr="00C9775B">
        <w:rPr>
          <w:rFonts w:ascii="Calibri" w:eastAsia="Calibri" w:hAnsi="Calibri" w:cs="Times New Roman"/>
          <w:w w:val="105"/>
          <w:sz w:val="20"/>
          <w:szCs w:val="20"/>
        </w:rPr>
        <w:t>„</w:t>
      </w:r>
      <w:r>
        <w:rPr>
          <w:rFonts w:ascii="Calibri" w:eastAsia="Calibri" w:hAnsi="Calibri" w:cs="Times New Roman"/>
          <w:w w:val="105"/>
          <w:sz w:val="20"/>
          <w:szCs w:val="20"/>
        </w:rPr>
        <w:t>Kapsel</w:t>
      </w:r>
      <w:r w:rsidRPr="00C9775B">
        <w:rPr>
          <w:rFonts w:ascii="Calibri" w:eastAsia="Calibri" w:hAnsi="Calibri" w:cs="Times New Roman"/>
          <w:w w:val="105"/>
          <w:sz w:val="20"/>
          <w:szCs w:val="20"/>
        </w:rPr>
        <w:t>“ verwendet</w:t>
      </w:r>
      <w:r>
        <w:rPr>
          <w:rFonts w:ascii="Calibri" w:eastAsia="Calibri" w:hAnsi="Calibri" w:cs="Times New Roman"/>
          <w:w w:val="105"/>
          <w:sz w:val="20"/>
          <w:szCs w:val="20"/>
        </w:rPr>
        <w:t xml:space="preserve">. </w:t>
      </w:r>
    </w:p>
    <w:p w14:paraId="3B88DD4F" w14:textId="77777777" w:rsidR="00B1027A" w:rsidRDefault="00B1027A" w:rsidP="00C52B21">
      <w:pPr>
        <w:rPr>
          <w:b/>
          <w:bCs/>
        </w:rPr>
      </w:pPr>
    </w:p>
    <w:p w14:paraId="33A176C9" w14:textId="77777777" w:rsidR="000A2D1A" w:rsidRDefault="000A2D1A" w:rsidP="00C52B21">
      <w:pPr>
        <w:rPr>
          <w:b/>
          <w:bCs/>
        </w:rPr>
      </w:pPr>
    </w:p>
    <w:p w14:paraId="09C71FFC" w14:textId="77777777" w:rsidR="000A2D1A" w:rsidRDefault="000A2D1A" w:rsidP="000A2D1A">
      <w:pPr>
        <w:pStyle w:val="Inhaltsverzeichnisberschrift"/>
      </w:pPr>
      <w:r>
        <w:lastRenderedPageBreak/>
        <w:t>Inhaltsverzeichnis</w:t>
      </w:r>
    </w:p>
    <w:sdt>
      <w:sdtPr>
        <w:rPr>
          <w:rFonts w:asciiTheme="minorHAnsi" w:eastAsiaTheme="minorHAnsi" w:hAnsiTheme="minorHAnsi" w:cstheme="minorBidi"/>
          <w:color w:val="auto"/>
          <w:sz w:val="22"/>
          <w:szCs w:val="22"/>
          <w:lang w:val="de-DE"/>
        </w:rPr>
        <w:id w:val="-1802759157"/>
        <w:docPartObj>
          <w:docPartGallery w:val="Table of Contents"/>
          <w:docPartUnique/>
        </w:docPartObj>
      </w:sdtPr>
      <w:sdtEndPr>
        <w:rPr>
          <w:b/>
          <w:bCs/>
          <w:noProof/>
        </w:rPr>
      </w:sdtEndPr>
      <w:sdtContent>
        <w:p w14:paraId="5FB12989" w14:textId="51A1194F" w:rsidR="00B1027A" w:rsidRDefault="00B1027A">
          <w:pPr>
            <w:pStyle w:val="Inhaltsverzeichnisberschrift"/>
          </w:pPr>
        </w:p>
        <w:p w14:paraId="279CDD76" w14:textId="05F820F7" w:rsidR="00997212" w:rsidRDefault="00B1027A">
          <w:pPr>
            <w:pStyle w:val="Verzeichnis1"/>
            <w:tabs>
              <w:tab w:val="right" w:leader="dot" w:pos="9062"/>
            </w:tabs>
            <w:rPr>
              <w:noProof/>
            </w:rPr>
          </w:pPr>
          <w:r>
            <w:fldChar w:fldCharType="begin"/>
          </w:r>
          <w:r w:rsidRPr="006D3808">
            <w:rPr>
              <w:lang w:val="en-US"/>
            </w:rPr>
            <w:instrText xml:space="preserve"> TOC \o "1-3" \h \z \u </w:instrText>
          </w:r>
          <w:r>
            <w:fldChar w:fldCharType="separate"/>
          </w:r>
          <w:hyperlink w:anchor="_Toc137056307" w:history="1">
            <w:r w:rsidR="00997212" w:rsidRPr="00AE19E1">
              <w:rPr>
                <w:rStyle w:val="Hyperlink"/>
                <w:noProof/>
              </w:rPr>
              <w:t>Indikation</w:t>
            </w:r>
            <w:r w:rsidR="00997212">
              <w:rPr>
                <w:noProof/>
                <w:webHidden/>
              </w:rPr>
              <w:tab/>
            </w:r>
            <w:r w:rsidR="00997212">
              <w:rPr>
                <w:noProof/>
                <w:webHidden/>
              </w:rPr>
              <w:fldChar w:fldCharType="begin"/>
            </w:r>
            <w:r w:rsidR="00997212">
              <w:rPr>
                <w:noProof/>
                <w:webHidden/>
              </w:rPr>
              <w:instrText xml:space="preserve"> PAGEREF _Toc137056307 \h </w:instrText>
            </w:r>
            <w:r w:rsidR="00997212">
              <w:rPr>
                <w:noProof/>
                <w:webHidden/>
              </w:rPr>
            </w:r>
            <w:r w:rsidR="00997212">
              <w:rPr>
                <w:noProof/>
                <w:webHidden/>
              </w:rPr>
              <w:fldChar w:fldCharType="separate"/>
            </w:r>
            <w:r w:rsidR="00997212">
              <w:rPr>
                <w:noProof/>
                <w:webHidden/>
              </w:rPr>
              <w:t>3</w:t>
            </w:r>
            <w:r w:rsidR="00997212">
              <w:rPr>
                <w:noProof/>
                <w:webHidden/>
              </w:rPr>
              <w:fldChar w:fldCharType="end"/>
            </w:r>
          </w:hyperlink>
        </w:p>
        <w:p w14:paraId="47E8BEAD" w14:textId="38144DDC" w:rsidR="00997212" w:rsidRDefault="00B5488E">
          <w:pPr>
            <w:pStyle w:val="Verzeichnis1"/>
            <w:tabs>
              <w:tab w:val="right" w:leader="dot" w:pos="9062"/>
            </w:tabs>
            <w:rPr>
              <w:noProof/>
            </w:rPr>
          </w:pPr>
          <w:hyperlink w:anchor="_Toc137056308" w:history="1">
            <w:r w:rsidR="00997212" w:rsidRPr="00AE19E1">
              <w:rPr>
                <w:rStyle w:val="Hyperlink"/>
                <w:noProof/>
              </w:rPr>
              <w:t>Kontraindikationen</w:t>
            </w:r>
            <w:r w:rsidR="00997212">
              <w:rPr>
                <w:noProof/>
                <w:webHidden/>
              </w:rPr>
              <w:tab/>
            </w:r>
            <w:r w:rsidR="00997212">
              <w:rPr>
                <w:noProof/>
                <w:webHidden/>
              </w:rPr>
              <w:fldChar w:fldCharType="begin"/>
            </w:r>
            <w:r w:rsidR="00997212">
              <w:rPr>
                <w:noProof/>
                <w:webHidden/>
              </w:rPr>
              <w:instrText xml:space="preserve"> PAGEREF _Toc137056308 \h </w:instrText>
            </w:r>
            <w:r w:rsidR="00997212">
              <w:rPr>
                <w:noProof/>
                <w:webHidden/>
              </w:rPr>
            </w:r>
            <w:r w:rsidR="00997212">
              <w:rPr>
                <w:noProof/>
                <w:webHidden/>
              </w:rPr>
              <w:fldChar w:fldCharType="separate"/>
            </w:r>
            <w:r w:rsidR="00997212">
              <w:rPr>
                <w:noProof/>
                <w:webHidden/>
              </w:rPr>
              <w:t>3</w:t>
            </w:r>
            <w:r w:rsidR="00997212">
              <w:rPr>
                <w:noProof/>
                <w:webHidden/>
              </w:rPr>
              <w:fldChar w:fldCharType="end"/>
            </w:r>
          </w:hyperlink>
        </w:p>
        <w:p w14:paraId="46E7BF46" w14:textId="7851CFE8" w:rsidR="00997212" w:rsidRDefault="00B5488E">
          <w:pPr>
            <w:pStyle w:val="Verzeichnis1"/>
            <w:tabs>
              <w:tab w:val="right" w:leader="dot" w:pos="9062"/>
            </w:tabs>
            <w:rPr>
              <w:noProof/>
            </w:rPr>
          </w:pPr>
          <w:hyperlink w:anchor="_Toc137056309" w:history="1">
            <w:r w:rsidR="00997212" w:rsidRPr="00AE19E1">
              <w:rPr>
                <w:rStyle w:val="Hyperlink"/>
                <w:noProof/>
              </w:rPr>
              <w:t>Dosierung</w:t>
            </w:r>
            <w:r w:rsidR="00997212">
              <w:rPr>
                <w:noProof/>
                <w:webHidden/>
              </w:rPr>
              <w:tab/>
            </w:r>
            <w:r w:rsidR="00997212">
              <w:rPr>
                <w:noProof/>
                <w:webHidden/>
              </w:rPr>
              <w:fldChar w:fldCharType="begin"/>
            </w:r>
            <w:r w:rsidR="00997212">
              <w:rPr>
                <w:noProof/>
                <w:webHidden/>
              </w:rPr>
              <w:instrText xml:space="preserve"> PAGEREF _Toc137056309 \h </w:instrText>
            </w:r>
            <w:r w:rsidR="00997212">
              <w:rPr>
                <w:noProof/>
                <w:webHidden/>
              </w:rPr>
            </w:r>
            <w:r w:rsidR="00997212">
              <w:rPr>
                <w:noProof/>
                <w:webHidden/>
              </w:rPr>
              <w:fldChar w:fldCharType="separate"/>
            </w:r>
            <w:r w:rsidR="00997212">
              <w:rPr>
                <w:noProof/>
                <w:webHidden/>
              </w:rPr>
              <w:t>4</w:t>
            </w:r>
            <w:r w:rsidR="00997212">
              <w:rPr>
                <w:noProof/>
                <w:webHidden/>
              </w:rPr>
              <w:fldChar w:fldCharType="end"/>
            </w:r>
          </w:hyperlink>
        </w:p>
        <w:p w14:paraId="43A1C4C2" w14:textId="624E460D" w:rsidR="00997212" w:rsidRDefault="00B5488E">
          <w:pPr>
            <w:pStyle w:val="Verzeichnis1"/>
            <w:tabs>
              <w:tab w:val="right" w:leader="dot" w:pos="9062"/>
            </w:tabs>
            <w:rPr>
              <w:noProof/>
            </w:rPr>
          </w:pPr>
          <w:hyperlink w:anchor="_Toc137056310" w:history="1">
            <w:r w:rsidR="00997212" w:rsidRPr="00AE19E1">
              <w:rPr>
                <w:rStyle w:val="Hyperlink"/>
                <w:noProof/>
              </w:rPr>
              <w:t>Besondere Patientengruppen mit potenziell erhöhtem Blutungsrisiko</w:t>
            </w:r>
            <w:r w:rsidR="00997212">
              <w:rPr>
                <w:noProof/>
                <w:webHidden/>
              </w:rPr>
              <w:tab/>
            </w:r>
            <w:r w:rsidR="00997212">
              <w:rPr>
                <w:noProof/>
                <w:webHidden/>
              </w:rPr>
              <w:fldChar w:fldCharType="begin"/>
            </w:r>
            <w:r w:rsidR="00997212">
              <w:rPr>
                <w:noProof/>
                <w:webHidden/>
              </w:rPr>
              <w:instrText xml:space="preserve"> PAGEREF _Toc137056310 \h </w:instrText>
            </w:r>
            <w:r w:rsidR="00997212">
              <w:rPr>
                <w:noProof/>
                <w:webHidden/>
              </w:rPr>
            </w:r>
            <w:r w:rsidR="00997212">
              <w:rPr>
                <w:noProof/>
                <w:webHidden/>
              </w:rPr>
              <w:fldChar w:fldCharType="separate"/>
            </w:r>
            <w:r w:rsidR="00997212">
              <w:rPr>
                <w:noProof/>
                <w:webHidden/>
              </w:rPr>
              <w:t>6</w:t>
            </w:r>
            <w:r w:rsidR="00997212">
              <w:rPr>
                <w:noProof/>
                <w:webHidden/>
              </w:rPr>
              <w:fldChar w:fldCharType="end"/>
            </w:r>
          </w:hyperlink>
        </w:p>
        <w:p w14:paraId="300628A2" w14:textId="04AE0AF8" w:rsidR="00997212" w:rsidRDefault="00B5488E">
          <w:pPr>
            <w:pStyle w:val="Verzeichnis1"/>
            <w:tabs>
              <w:tab w:val="right" w:leader="dot" w:pos="9062"/>
            </w:tabs>
            <w:rPr>
              <w:noProof/>
            </w:rPr>
          </w:pPr>
          <w:hyperlink w:anchor="_Toc137056311" w:history="1">
            <w:r w:rsidR="00997212" w:rsidRPr="00AE19E1">
              <w:rPr>
                <w:rStyle w:val="Hyperlink"/>
                <w:noProof/>
              </w:rPr>
              <w:t>Perioperatives Management der Antikoagulation</w:t>
            </w:r>
            <w:r w:rsidR="00997212">
              <w:rPr>
                <w:noProof/>
                <w:webHidden/>
              </w:rPr>
              <w:tab/>
            </w:r>
            <w:r w:rsidR="00997212">
              <w:rPr>
                <w:noProof/>
                <w:webHidden/>
              </w:rPr>
              <w:fldChar w:fldCharType="begin"/>
            </w:r>
            <w:r w:rsidR="00997212">
              <w:rPr>
                <w:noProof/>
                <w:webHidden/>
              </w:rPr>
              <w:instrText xml:space="preserve"> PAGEREF _Toc137056311 \h </w:instrText>
            </w:r>
            <w:r w:rsidR="00997212">
              <w:rPr>
                <w:noProof/>
                <w:webHidden/>
              </w:rPr>
            </w:r>
            <w:r w:rsidR="00997212">
              <w:rPr>
                <w:noProof/>
                <w:webHidden/>
              </w:rPr>
              <w:fldChar w:fldCharType="separate"/>
            </w:r>
            <w:r w:rsidR="00997212">
              <w:rPr>
                <w:noProof/>
                <w:webHidden/>
              </w:rPr>
              <w:t>7</w:t>
            </w:r>
            <w:r w:rsidR="00997212">
              <w:rPr>
                <w:noProof/>
                <w:webHidden/>
              </w:rPr>
              <w:fldChar w:fldCharType="end"/>
            </w:r>
          </w:hyperlink>
        </w:p>
        <w:p w14:paraId="7751A6BD" w14:textId="5682EE17" w:rsidR="00997212" w:rsidRDefault="00B5488E">
          <w:pPr>
            <w:pStyle w:val="Verzeichnis1"/>
            <w:tabs>
              <w:tab w:val="right" w:leader="dot" w:pos="9062"/>
            </w:tabs>
            <w:rPr>
              <w:noProof/>
            </w:rPr>
          </w:pPr>
          <w:hyperlink w:anchor="_Toc137056312" w:history="1">
            <w:r w:rsidR="00997212" w:rsidRPr="00AE19E1">
              <w:rPr>
                <w:rStyle w:val="Hyperlink"/>
                <w:noProof/>
              </w:rPr>
              <w:t>Gerinnungstests und deren Interpretation</w:t>
            </w:r>
            <w:r w:rsidR="00997212">
              <w:rPr>
                <w:noProof/>
                <w:webHidden/>
              </w:rPr>
              <w:tab/>
            </w:r>
            <w:r w:rsidR="00997212">
              <w:rPr>
                <w:noProof/>
                <w:webHidden/>
              </w:rPr>
              <w:fldChar w:fldCharType="begin"/>
            </w:r>
            <w:r w:rsidR="00997212">
              <w:rPr>
                <w:noProof/>
                <w:webHidden/>
              </w:rPr>
              <w:instrText xml:space="preserve"> PAGEREF _Toc137056312 \h </w:instrText>
            </w:r>
            <w:r w:rsidR="00997212">
              <w:rPr>
                <w:noProof/>
                <w:webHidden/>
              </w:rPr>
            </w:r>
            <w:r w:rsidR="00997212">
              <w:rPr>
                <w:noProof/>
                <w:webHidden/>
              </w:rPr>
              <w:fldChar w:fldCharType="separate"/>
            </w:r>
            <w:r w:rsidR="00997212">
              <w:rPr>
                <w:noProof/>
                <w:webHidden/>
              </w:rPr>
              <w:t>8</w:t>
            </w:r>
            <w:r w:rsidR="00997212">
              <w:rPr>
                <w:noProof/>
                <w:webHidden/>
              </w:rPr>
              <w:fldChar w:fldCharType="end"/>
            </w:r>
          </w:hyperlink>
        </w:p>
        <w:p w14:paraId="1276A357" w14:textId="46A204B8" w:rsidR="00997212" w:rsidRDefault="00B5488E">
          <w:pPr>
            <w:pStyle w:val="Verzeichnis1"/>
            <w:tabs>
              <w:tab w:val="right" w:leader="dot" w:pos="9062"/>
            </w:tabs>
            <w:rPr>
              <w:noProof/>
            </w:rPr>
          </w:pPr>
          <w:hyperlink w:anchor="_Toc137056313" w:history="1">
            <w:r w:rsidR="00997212" w:rsidRPr="00AE19E1">
              <w:rPr>
                <w:rStyle w:val="Hyperlink"/>
                <w:noProof/>
              </w:rPr>
              <w:t>Überdosierung</w:t>
            </w:r>
            <w:r w:rsidR="00997212">
              <w:rPr>
                <w:noProof/>
                <w:webHidden/>
              </w:rPr>
              <w:tab/>
            </w:r>
            <w:r w:rsidR="00997212">
              <w:rPr>
                <w:noProof/>
                <w:webHidden/>
              </w:rPr>
              <w:fldChar w:fldCharType="begin"/>
            </w:r>
            <w:r w:rsidR="00997212">
              <w:rPr>
                <w:noProof/>
                <w:webHidden/>
              </w:rPr>
              <w:instrText xml:space="preserve"> PAGEREF _Toc137056313 \h </w:instrText>
            </w:r>
            <w:r w:rsidR="00997212">
              <w:rPr>
                <w:noProof/>
                <w:webHidden/>
              </w:rPr>
            </w:r>
            <w:r w:rsidR="00997212">
              <w:rPr>
                <w:noProof/>
                <w:webHidden/>
              </w:rPr>
              <w:fldChar w:fldCharType="separate"/>
            </w:r>
            <w:r w:rsidR="00997212">
              <w:rPr>
                <w:noProof/>
                <w:webHidden/>
              </w:rPr>
              <w:t>9</w:t>
            </w:r>
            <w:r w:rsidR="00997212">
              <w:rPr>
                <w:noProof/>
                <w:webHidden/>
              </w:rPr>
              <w:fldChar w:fldCharType="end"/>
            </w:r>
          </w:hyperlink>
        </w:p>
        <w:p w14:paraId="6C64EBB0" w14:textId="5718E9D2" w:rsidR="00997212" w:rsidRDefault="00B5488E">
          <w:pPr>
            <w:pStyle w:val="Verzeichnis1"/>
            <w:tabs>
              <w:tab w:val="right" w:leader="dot" w:pos="9062"/>
            </w:tabs>
            <w:rPr>
              <w:noProof/>
            </w:rPr>
          </w:pPr>
          <w:hyperlink w:anchor="_Toc137056314" w:history="1">
            <w:r w:rsidR="00997212" w:rsidRPr="00AE19E1">
              <w:rPr>
                <w:rStyle w:val="Hyperlink"/>
                <w:noProof/>
              </w:rPr>
              <w:t>Management von Blutungskomplikationen</w:t>
            </w:r>
            <w:r w:rsidR="00997212">
              <w:rPr>
                <w:noProof/>
                <w:webHidden/>
              </w:rPr>
              <w:tab/>
            </w:r>
            <w:r w:rsidR="00997212">
              <w:rPr>
                <w:noProof/>
                <w:webHidden/>
              </w:rPr>
              <w:fldChar w:fldCharType="begin"/>
            </w:r>
            <w:r w:rsidR="00997212">
              <w:rPr>
                <w:noProof/>
                <w:webHidden/>
              </w:rPr>
              <w:instrText xml:space="preserve"> PAGEREF _Toc137056314 \h </w:instrText>
            </w:r>
            <w:r w:rsidR="00997212">
              <w:rPr>
                <w:noProof/>
                <w:webHidden/>
              </w:rPr>
            </w:r>
            <w:r w:rsidR="00997212">
              <w:rPr>
                <w:noProof/>
                <w:webHidden/>
              </w:rPr>
              <w:fldChar w:fldCharType="separate"/>
            </w:r>
            <w:r w:rsidR="00997212">
              <w:rPr>
                <w:noProof/>
                <w:webHidden/>
              </w:rPr>
              <w:t>10</w:t>
            </w:r>
            <w:r w:rsidR="00997212">
              <w:rPr>
                <w:noProof/>
                <w:webHidden/>
              </w:rPr>
              <w:fldChar w:fldCharType="end"/>
            </w:r>
          </w:hyperlink>
        </w:p>
        <w:p w14:paraId="76B2A9C8" w14:textId="723492BF" w:rsidR="00997212" w:rsidRDefault="00B5488E">
          <w:pPr>
            <w:pStyle w:val="Verzeichnis1"/>
            <w:tabs>
              <w:tab w:val="right" w:leader="dot" w:pos="9062"/>
            </w:tabs>
            <w:rPr>
              <w:noProof/>
            </w:rPr>
          </w:pPr>
          <w:hyperlink w:anchor="_Toc137056315" w:history="1">
            <w:r w:rsidR="00997212" w:rsidRPr="00AE19E1">
              <w:rPr>
                <w:rStyle w:val="Hyperlink"/>
                <w:noProof/>
              </w:rPr>
              <w:t>Patientenausweis und Patientenberatung</w:t>
            </w:r>
            <w:r w:rsidR="00997212">
              <w:rPr>
                <w:noProof/>
                <w:webHidden/>
              </w:rPr>
              <w:tab/>
            </w:r>
            <w:r w:rsidR="00997212">
              <w:rPr>
                <w:noProof/>
                <w:webHidden/>
              </w:rPr>
              <w:fldChar w:fldCharType="begin"/>
            </w:r>
            <w:r w:rsidR="00997212">
              <w:rPr>
                <w:noProof/>
                <w:webHidden/>
              </w:rPr>
              <w:instrText xml:space="preserve"> PAGEREF _Toc137056315 \h </w:instrText>
            </w:r>
            <w:r w:rsidR="00997212">
              <w:rPr>
                <w:noProof/>
                <w:webHidden/>
              </w:rPr>
            </w:r>
            <w:r w:rsidR="00997212">
              <w:rPr>
                <w:noProof/>
                <w:webHidden/>
              </w:rPr>
              <w:fldChar w:fldCharType="separate"/>
            </w:r>
            <w:r w:rsidR="00997212">
              <w:rPr>
                <w:noProof/>
                <w:webHidden/>
              </w:rPr>
              <w:t>10</w:t>
            </w:r>
            <w:r w:rsidR="00997212">
              <w:rPr>
                <w:noProof/>
                <w:webHidden/>
              </w:rPr>
              <w:fldChar w:fldCharType="end"/>
            </w:r>
          </w:hyperlink>
        </w:p>
        <w:p w14:paraId="3F285EC2" w14:textId="1DACA8F1" w:rsidR="00997212" w:rsidRDefault="00B5488E">
          <w:pPr>
            <w:pStyle w:val="Verzeichnis1"/>
            <w:tabs>
              <w:tab w:val="right" w:leader="dot" w:pos="9062"/>
            </w:tabs>
            <w:rPr>
              <w:noProof/>
            </w:rPr>
          </w:pPr>
          <w:hyperlink w:anchor="_Toc137056316" w:history="1">
            <w:r w:rsidR="00997212" w:rsidRPr="00AE19E1">
              <w:rPr>
                <w:rStyle w:val="Hyperlink"/>
                <w:rFonts w:asciiTheme="majorHAnsi" w:eastAsiaTheme="majorEastAsia" w:hAnsiTheme="majorHAnsi" w:cstheme="majorBidi"/>
                <w:noProof/>
              </w:rPr>
              <w:t>Meldung von Nebenwirkungen</w:t>
            </w:r>
            <w:r w:rsidR="00997212">
              <w:rPr>
                <w:noProof/>
                <w:webHidden/>
              </w:rPr>
              <w:tab/>
            </w:r>
            <w:r w:rsidR="00997212">
              <w:rPr>
                <w:noProof/>
                <w:webHidden/>
              </w:rPr>
              <w:fldChar w:fldCharType="begin"/>
            </w:r>
            <w:r w:rsidR="00997212">
              <w:rPr>
                <w:noProof/>
                <w:webHidden/>
              </w:rPr>
              <w:instrText xml:space="preserve"> PAGEREF _Toc137056316 \h </w:instrText>
            </w:r>
            <w:r w:rsidR="00997212">
              <w:rPr>
                <w:noProof/>
                <w:webHidden/>
              </w:rPr>
            </w:r>
            <w:r w:rsidR="00997212">
              <w:rPr>
                <w:noProof/>
                <w:webHidden/>
              </w:rPr>
              <w:fldChar w:fldCharType="separate"/>
            </w:r>
            <w:r w:rsidR="00997212">
              <w:rPr>
                <w:noProof/>
                <w:webHidden/>
              </w:rPr>
              <w:t>10</w:t>
            </w:r>
            <w:r w:rsidR="00997212">
              <w:rPr>
                <w:noProof/>
                <w:webHidden/>
              </w:rPr>
              <w:fldChar w:fldCharType="end"/>
            </w:r>
          </w:hyperlink>
        </w:p>
        <w:p w14:paraId="0AC8111F" w14:textId="6307C0D2" w:rsidR="00997212" w:rsidRDefault="00B5488E">
          <w:pPr>
            <w:pStyle w:val="Verzeichnis1"/>
            <w:tabs>
              <w:tab w:val="right" w:leader="dot" w:pos="9062"/>
            </w:tabs>
            <w:rPr>
              <w:noProof/>
            </w:rPr>
          </w:pPr>
          <w:hyperlink w:anchor="_Toc137056317" w:history="1">
            <w:r w:rsidR="00997212" w:rsidRPr="00AE19E1">
              <w:rPr>
                <w:rStyle w:val="Hyperlink"/>
                <w:noProof/>
              </w:rPr>
              <w:t>Literaturverzeichnis</w:t>
            </w:r>
            <w:r w:rsidR="00997212">
              <w:rPr>
                <w:noProof/>
                <w:webHidden/>
              </w:rPr>
              <w:tab/>
            </w:r>
            <w:r w:rsidR="00997212">
              <w:rPr>
                <w:noProof/>
                <w:webHidden/>
              </w:rPr>
              <w:fldChar w:fldCharType="begin"/>
            </w:r>
            <w:r w:rsidR="00997212">
              <w:rPr>
                <w:noProof/>
                <w:webHidden/>
              </w:rPr>
              <w:instrText xml:space="preserve"> PAGEREF _Toc137056317 \h </w:instrText>
            </w:r>
            <w:r w:rsidR="00997212">
              <w:rPr>
                <w:noProof/>
                <w:webHidden/>
              </w:rPr>
            </w:r>
            <w:r w:rsidR="00997212">
              <w:rPr>
                <w:noProof/>
                <w:webHidden/>
              </w:rPr>
              <w:fldChar w:fldCharType="separate"/>
            </w:r>
            <w:r w:rsidR="00997212">
              <w:rPr>
                <w:noProof/>
                <w:webHidden/>
              </w:rPr>
              <w:t>11</w:t>
            </w:r>
            <w:r w:rsidR="00997212">
              <w:rPr>
                <w:noProof/>
                <w:webHidden/>
              </w:rPr>
              <w:fldChar w:fldCharType="end"/>
            </w:r>
          </w:hyperlink>
        </w:p>
        <w:p w14:paraId="2A9343D6" w14:textId="2EA36FEA" w:rsidR="00B1027A" w:rsidRPr="006D3808" w:rsidRDefault="00B1027A">
          <w:pPr>
            <w:rPr>
              <w:lang w:val="en-US"/>
            </w:rPr>
          </w:pPr>
          <w:r>
            <w:rPr>
              <w:b/>
              <w:bCs/>
              <w:noProof/>
            </w:rPr>
            <w:fldChar w:fldCharType="end"/>
          </w:r>
        </w:p>
      </w:sdtContent>
    </w:sdt>
    <w:p w14:paraId="0E1CF213" w14:textId="077F6FF0" w:rsidR="00C52B21" w:rsidRPr="006D3808" w:rsidRDefault="00C52B21">
      <w:pPr>
        <w:rPr>
          <w:lang w:val="en-US"/>
        </w:rPr>
      </w:pPr>
    </w:p>
    <w:p w14:paraId="46B95BAA" w14:textId="77777777" w:rsidR="00C52B21" w:rsidRPr="006D3808" w:rsidRDefault="00C52B21" w:rsidP="00C52B21">
      <w:pPr>
        <w:rPr>
          <w:lang w:val="en-US"/>
        </w:rPr>
      </w:pPr>
    </w:p>
    <w:p w14:paraId="16A59373" w14:textId="77777777" w:rsidR="00B1027A" w:rsidRPr="006D3808" w:rsidRDefault="00B1027A" w:rsidP="00C52B21">
      <w:pPr>
        <w:rPr>
          <w:b/>
          <w:bCs/>
          <w:lang w:val="en-US"/>
        </w:rPr>
      </w:pPr>
    </w:p>
    <w:p w14:paraId="5A6FAF58" w14:textId="77777777" w:rsidR="003D39F1" w:rsidRDefault="003D39F1" w:rsidP="00C52B21"/>
    <w:p w14:paraId="58E5D6D8" w14:textId="77777777" w:rsidR="003D39F1" w:rsidRDefault="003D39F1" w:rsidP="00C52B21"/>
    <w:p w14:paraId="56462680" w14:textId="77777777" w:rsidR="003D39F1" w:rsidRDefault="003D39F1" w:rsidP="00C52B21"/>
    <w:p w14:paraId="189B72F1" w14:textId="77777777" w:rsidR="003D39F1" w:rsidRDefault="003D39F1" w:rsidP="00C52B21"/>
    <w:p w14:paraId="6230BD3C" w14:textId="77777777" w:rsidR="003D39F1" w:rsidRDefault="003D39F1" w:rsidP="00C52B21"/>
    <w:p w14:paraId="479215F7" w14:textId="77777777" w:rsidR="003D39F1" w:rsidRDefault="003D39F1" w:rsidP="00C52B21"/>
    <w:p w14:paraId="16D1CBC8" w14:textId="77777777" w:rsidR="003D39F1" w:rsidRDefault="003D39F1" w:rsidP="00C52B21"/>
    <w:p w14:paraId="120DC4E3" w14:textId="77777777" w:rsidR="003D39F1" w:rsidRDefault="003D39F1" w:rsidP="00C52B21"/>
    <w:p w14:paraId="0000E9C2" w14:textId="77777777" w:rsidR="003D39F1" w:rsidRDefault="003D39F1" w:rsidP="00C52B21"/>
    <w:p w14:paraId="2E97787D" w14:textId="77777777" w:rsidR="003D39F1" w:rsidRDefault="003D39F1" w:rsidP="00C52B21"/>
    <w:p w14:paraId="16CDFAF1" w14:textId="77777777" w:rsidR="003D39F1" w:rsidRDefault="003D39F1" w:rsidP="00C52B21"/>
    <w:p w14:paraId="1896B5F2" w14:textId="77777777" w:rsidR="003D39F1" w:rsidRDefault="003D39F1" w:rsidP="00C52B21"/>
    <w:p w14:paraId="0EDA95BE" w14:textId="68CECF9E" w:rsidR="00B1027A" w:rsidRPr="006D3808" w:rsidRDefault="00855351" w:rsidP="00C52B21">
      <w:r w:rsidRPr="006D3808">
        <w:t>Dieser Ratgeber zur Anwendung von Dabigatranetexilat enthält Sicherheitshinweise, um das Blutungsrisiko zu vermindern.</w:t>
      </w:r>
    </w:p>
    <w:p w14:paraId="3EF60408" w14:textId="78E2B785" w:rsidR="00C52B21" w:rsidRPr="00C52B21" w:rsidRDefault="00C52B21" w:rsidP="00C52B21">
      <w:pPr>
        <w:rPr>
          <w:b/>
          <w:bCs/>
        </w:rPr>
      </w:pPr>
      <w:r w:rsidRPr="00C52B21">
        <w:rPr>
          <w:b/>
          <w:bCs/>
        </w:rPr>
        <w:t>Bitte beachten Sie diese Sicherheitshinweise in Ergänzung zu den Fachinformationen</w:t>
      </w:r>
      <w:r w:rsidRPr="00C52B21">
        <w:rPr>
          <w:b/>
          <w:bCs/>
          <w:vertAlign w:val="superscript"/>
        </w:rPr>
        <w:t>1</w:t>
      </w:r>
      <w:r w:rsidRPr="00C52B21">
        <w:rPr>
          <w:b/>
          <w:bCs/>
        </w:rPr>
        <w:t>.</w:t>
      </w:r>
    </w:p>
    <w:p w14:paraId="76910453" w14:textId="77777777" w:rsidR="003D39F1" w:rsidRDefault="003D39F1">
      <w:pPr>
        <w:rPr>
          <w:rStyle w:val="berschrift1Zchn"/>
        </w:rPr>
      </w:pPr>
      <w:bookmarkStart w:id="1" w:name="_Toc137056307"/>
      <w:r>
        <w:rPr>
          <w:rStyle w:val="berschrift1Zchn"/>
        </w:rPr>
        <w:br w:type="page"/>
      </w:r>
    </w:p>
    <w:p w14:paraId="24E9D65F" w14:textId="1710B233" w:rsidR="00C52B21" w:rsidRPr="00BB5616" w:rsidRDefault="00C52B21" w:rsidP="00C52B21">
      <w:pPr>
        <w:rPr>
          <w:b/>
          <w:bCs/>
          <w:sz w:val="28"/>
          <w:szCs w:val="28"/>
        </w:rPr>
      </w:pPr>
      <w:r w:rsidRPr="006D3808">
        <w:rPr>
          <w:rStyle w:val="berschrift1Zchn"/>
        </w:rPr>
        <w:lastRenderedPageBreak/>
        <w:t>Indikation</w:t>
      </w:r>
      <w:bookmarkEnd w:id="1"/>
      <w:r w:rsidRPr="00BB5616">
        <w:rPr>
          <w:b/>
          <w:bCs/>
          <w:sz w:val="28"/>
          <w:szCs w:val="28"/>
          <w:vertAlign w:val="superscript"/>
        </w:rPr>
        <w:t>1</w:t>
      </w:r>
    </w:p>
    <w:p w14:paraId="3365C009" w14:textId="714C8536" w:rsidR="00C52B21" w:rsidRDefault="009C76CA" w:rsidP="00C52B21">
      <w:r w:rsidRPr="009C76CA">
        <w:t>Primärprävention von venösen thromboembolischen Ereignissen bei erwachsenen Patienten nach elektivem chirurgischen Hüft- oder Kniegelenksersatz.</w:t>
      </w:r>
    </w:p>
    <w:p w14:paraId="14295B56" w14:textId="77777777" w:rsidR="009C76CA" w:rsidRDefault="009C76CA" w:rsidP="00C52B21">
      <w:pPr>
        <w:rPr>
          <w:b/>
          <w:bCs/>
          <w:sz w:val="28"/>
          <w:szCs w:val="28"/>
        </w:rPr>
      </w:pPr>
    </w:p>
    <w:p w14:paraId="6CAAAFAE" w14:textId="6B46BF64" w:rsidR="00C52B21" w:rsidRPr="00BB5616" w:rsidRDefault="00C52B21" w:rsidP="00C52B21">
      <w:pPr>
        <w:rPr>
          <w:b/>
          <w:bCs/>
          <w:sz w:val="28"/>
          <w:szCs w:val="28"/>
        </w:rPr>
      </w:pPr>
      <w:bookmarkStart w:id="2" w:name="_Toc137056308"/>
      <w:r w:rsidRPr="006D3808">
        <w:rPr>
          <w:rStyle w:val="berschrift1Zchn"/>
        </w:rPr>
        <w:t>K</w:t>
      </w:r>
      <w:r w:rsidR="007B60F3" w:rsidRPr="006D3808">
        <w:rPr>
          <w:rStyle w:val="berschrift1Zchn"/>
        </w:rPr>
        <w:t>ontraindikationen</w:t>
      </w:r>
      <w:bookmarkEnd w:id="2"/>
      <w:r w:rsidRPr="00BB5616">
        <w:rPr>
          <w:b/>
          <w:bCs/>
          <w:sz w:val="28"/>
          <w:szCs w:val="28"/>
          <w:vertAlign w:val="superscript"/>
        </w:rPr>
        <w:t>1</w:t>
      </w:r>
    </w:p>
    <w:p w14:paraId="6B22A5BD" w14:textId="506FB5A9" w:rsidR="00C52B21" w:rsidRDefault="00C52B21" w:rsidP="00C52B21">
      <w:r>
        <w:t>•</w:t>
      </w:r>
      <w:r w:rsidR="007B60F3">
        <w:t xml:space="preserve"> </w:t>
      </w:r>
      <w:r>
        <w:t>Überempfindlichkeit gegen den Wirkstoff oder gegen sonstige Bestandteile</w:t>
      </w:r>
    </w:p>
    <w:p w14:paraId="2B3D237F" w14:textId="4FFDAE30" w:rsidR="00C52B21" w:rsidRDefault="00C52B21" w:rsidP="00C52B21">
      <w:r>
        <w:t>•</w:t>
      </w:r>
      <w:r w:rsidR="007B60F3">
        <w:t xml:space="preserve"> </w:t>
      </w:r>
      <w:r>
        <w:t>Schwere Beeinträchtigung der Nierenfunktion (CrCl &lt; 30 ml/min)</w:t>
      </w:r>
    </w:p>
    <w:p w14:paraId="63877EE6" w14:textId="58652745" w:rsidR="00C52B21" w:rsidRDefault="00C52B21" w:rsidP="00C52B21">
      <w:r>
        <w:t>•</w:t>
      </w:r>
      <w:r w:rsidR="007B60F3">
        <w:t xml:space="preserve"> </w:t>
      </w:r>
      <w:r>
        <w:t>Akute, klinisch relevante Blutung</w:t>
      </w:r>
    </w:p>
    <w:p w14:paraId="601C2D7F" w14:textId="12939DB7" w:rsidR="00C52B21" w:rsidRDefault="00C52B21" w:rsidP="00C52B21">
      <w:r>
        <w:t>•</w:t>
      </w:r>
      <w:r w:rsidR="007B60F3">
        <w:t xml:space="preserve"> </w:t>
      </w:r>
      <w:r>
        <w:t>Läsionen oder klinische Situationen, die als signifikanter Risikofaktor einer schweren Blutung angesehen werden. Diese können z. B. sein:</w:t>
      </w:r>
    </w:p>
    <w:p w14:paraId="340A4937" w14:textId="77777777" w:rsidR="00C52B21" w:rsidRDefault="00C52B21" w:rsidP="00C52B21">
      <w:r>
        <w:t>− akute oder kürzlich aufgetretene gastrointestinale Ulzerationen</w:t>
      </w:r>
    </w:p>
    <w:p w14:paraId="09A781ED" w14:textId="77777777" w:rsidR="00C52B21" w:rsidRDefault="00C52B21" w:rsidP="00C52B21">
      <w:r>
        <w:t>− maligne Neoplasien mit hohem Blutungsrisiko</w:t>
      </w:r>
    </w:p>
    <w:p w14:paraId="7A300463" w14:textId="77777777" w:rsidR="00C52B21" w:rsidRDefault="00C52B21" w:rsidP="00C52B21">
      <w:r>
        <w:t>− kürzlich aufgetretene Hirn- oder Rückenmarksverletzungen</w:t>
      </w:r>
    </w:p>
    <w:p w14:paraId="1F253903" w14:textId="77777777" w:rsidR="00C52B21" w:rsidRDefault="00C52B21" w:rsidP="00C52B21">
      <w:r>
        <w:t>− kürzlich erfolgte chirurgische Eingriffe an Gehirn, Rückenmark oder Augen</w:t>
      </w:r>
    </w:p>
    <w:p w14:paraId="7208E30E" w14:textId="77777777" w:rsidR="00C52B21" w:rsidRDefault="00C52B21" w:rsidP="00C52B21">
      <w:r>
        <w:t>− kürzlich aufgetretene intrakranielle Blutungen</w:t>
      </w:r>
    </w:p>
    <w:p w14:paraId="59FB8E6A" w14:textId="77777777" w:rsidR="00C52B21" w:rsidRDefault="00C52B21" w:rsidP="00C52B21">
      <w:r>
        <w:t>− bekannte oder vermutete Ösophagusvarizen</w:t>
      </w:r>
    </w:p>
    <w:p w14:paraId="22935BF1" w14:textId="77777777" w:rsidR="00C52B21" w:rsidRDefault="00C52B21" w:rsidP="00C52B21">
      <w:r>
        <w:t>− arteriovenöse Fehlbildungen</w:t>
      </w:r>
    </w:p>
    <w:p w14:paraId="0A3AE174" w14:textId="77777777" w:rsidR="00C52B21" w:rsidRDefault="00C52B21" w:rsidP="00C52B21">
      <w:r>
        <w:t>− vaskuläre Aneurysmen oder größere intraspinale oder intrazerebrale vaskuläre Anomalien</w:t>
      </w:r>
    </w:p>
    <w:p w14:paraId="40C80797" w14:textId="2105D27D" w:rsidR="00C52B21" w:rsidRDefault="00C52B21" w:rsidP="00C52B21">
      <w:r>
        <w:t>•</w:t>
      </w:r>
      <w:r w:rsidR="007B60F3">
        <w:t xml:space="preserve"> </w:t>
      </w:r>
      <w:r>
        <w:t>Die gleichzeitige Anwendung von anderen Antikoagulantien z. B.</w:t>
      </w:r>
    </w:p>
    <w:p w14:paraId="54D8016C" w14:textId="77777777" w:rsidR="00C52B21" w:rsidRDefault="00C52B21" w:rsidP="00C52B21">
      <w:r>
        <w:t>− unfraktionierte Heparine</w:t>
      </w:r>
    </w:p>
    <w:p w14:paraId="7DBB76B4" w14:textId="77777777" w:rsidR="00C52B21" w:rsidRDefault="00C52B21" w:rsidP="00C52B21">
      <w:r>
        <w:t>− niedermolekulare Heparine (Enoxaparin, Dalteparin etc.)</w:t>
      </w:r>
    </w:p>
    <w:p w14:paraId="1BC5DBDE" w14:textId="77777777" w:rsidR="00C52B21" w:rsidRDefault="00C52B21" w:rsidP="00C52B21">
      <w:r>
        <w:t>− Heparinderivate (Fondaparinux etc.)</w:t>
      </w:r>
    </w:p>
    <w:p w14:paraId="10908C86" w14:textId="41E7E2DF" w:rsidR="00C52B21" w:rsidRDefault="00C52B21" w:rsidP="00C52B21">
      <w:r>
        <w:t>− orale Antikoagulantien (Warfarin, Rivaroxaban, Apixaban etc.), außer unter besonderen Umständen. Dazu gehören die Umstellung der Antikoagulationstherapie, wenn unfraktioniertes Heparin in Dosen gegeben wird, die notwendig sind, um die Durchgängigkeit eines zentralvenösen- oder arteriellen Katheters zu erhalten, oder wenn unfraktioniertes Heparin während der Katheterablation von Vorhofflimmern gegeben wird</w:t>
      </w:r>
    </w:p>
    <w:p w14:paraId="146B9EFD" w14:textId="0A5E0D8D" w:rsidR="00C52B21" w:rsidRDefault="00C52B21" w:rsidP="00C52B21">
      <w:r>
        <w:t>•</w:t>
      </w:r>
      <w:r w:rsidR="007B60F3">
        <w:t xml:space="preserve"> </w:t>
      </w:r>
      <w:r>
        <w:t>Beeinträchtigung der Leberfunktion oder Lebererkrankung, die Auswirkungen auf das Überleben erwarten lässt</w:t>
      </w:r>
    </w:p>
    <w:p w14:paraId="5F676DD3" w14:textId="04EBACA7" w:rsidR="00C52B21" w:rsidRDefault="00C52B21" w:rsidP="00C52B21">
      <w:r>
        <w:t>•</w:t>
      </w:r>
      <w:r w:rsidR="007B60F3">
        <w:t xml:space="preserve"> </w:t>
      </w:r>
      <w:r>
        <w:t>Gleichzeitige Behandlung mit den folgenden starken</w:t>
      </w:r>
      <w:r w:rsidR="007B60F3">
        <w:t xml:space="preserve"> </w:t>
      </w:r>
      <w:r>
        <w:t>P-Glykoproteinhemmern: systemisch verabreichtes Ketoconazol, Ciclosporin, Itraconazol, Dronedaron und die Fixkombination aus Glecaprevir/Pibrentasvir</w:t>
      </w:r>
      <w:r w:rsidR="009C76CA">
        <w:t>.</w:t>
      </w:r>
    </w:p>
    <w:p w14:paraId="412DB059" w14:textId="11A1BD66" w:rsidR="00C52B21" w:rsidRDefault="00C52B21" w:rsidP="00C52B21">
      <w:r>
        <w:t>•</w:t>
      </w:r>
      <w:r w:rsidR="007B60F3">
        <w:t xml:space="preserve"> </w:t>
      </w:r>
      <w:r>
        <w:t>Patienten mit künstlichen Herzklappen, die eine gerinnungshemmende Therapie benötigen</w:t>
      </w:r>
      <w:r w:rsidR="009C76CA">
        <w:t>.</w:t>
      </w:r>
    </w:p>
    <w:p w14:paraId="0F550059" w14:textId="4AFB138C" w:rsidR="00C52B21" w:rsidRDefault="00C52B21" w:rsidP="00C52B21"/>
    <w:p w14:paraId="1D29CB10" w14:textId="2CCF35B8" w:rsidR="00C52B21" w:rsidRPr="00BB5616" w:rsidRDefault="003E5220" w:rsidP="00C52B21">
      <w:pPr>
        <w:rPr>
          <w:b/>
          <w:bCs/>
          <w:sz w:val="28"/>
          <w:szCs w:val="28"/>
        </w:rPr>
      </w:pPr>
      <w:bookmarkStart w:id="3" w:name="_Toc137056309"/>
      <w:r w:rsidRPr="006D3808">
        <w:rPr>
          <w:rStyle w:val="berschrift1Zchn"/>
        </w:rPr>
        <w:lastRenderedPageBreak/>
        <w:t>Dosierung</w:t>
      </w:r>
      <w:bookmarkEnd w:id="3"/>
      <w:r w:rsidRPr="00BB5616">
        <w:rPr>
          <w:b/>
          <w:bCs/>
          <w:sz w:val="28"/>
          <w:szCs w:val="28"/>
          <w:vertAlign w:val="superscript"/>
        </w:rPr>
        <w:t>1</w:t>
      </w:r>
    </w:p>
    <w:tbl>
      <w:tblPr>
        <w:tblStyle w:val="Tabellenraster"/>
        <w:tblW w:w="0" w:type="auto"/>
        <w:tblLook w:val="04A0" w:firstRow="1" w:lastRow="0" w:firstColumn="1" w:lastColumn="0" w:noHBand="0" w:noVBand="1"/>
      </w:tblPr>
      <w:tblGrid>
        <w:gridCol w:w="2265"/>
        <w:gridCol w:w="2265"/>
        <w:gridCol w:w="2266"/>
        <w:gridCol w:w="2266"/>
      </w:tblGrid>
      <w:tr w:rsidR="009C76CA" w14:paraId="1F115F38" w14:textId="77777777" w:rsidTr="009C76CA">
        <w:tc>
          <w:tcPr>
            <w:tcW w:w="2265" w:type="dxa"/>
          </w:tcPr>
          <w:p w14:paraId="3779C01E" w14:textId="77777777" w:rsidR="009C76CA" w:rsidRDefault="009C76CA" w:rsidP="00C52B21"/>
        </w:tc>
        <w:tc>
          <w:tcPr>
            <w:tcW w:w="2265" w:type="dxa"/>
          </w:tcPr>
          <w:p w14:paraId="54CC010F" w14:textId="6F04E8F8" w:rsidR="009C76CA" w:rsidRDefault="009C76CA" w:rsidP="009C76CA">
            <w:r w:rsidRPr="009C76CA">
              <w:rPr>
                <w:b/>
                <w:bCs/>
              </w:rPr>
              <w:t>Einleitung der Behandlung</w:t>
            </w:r>
            <w:r>
              <w:t xml:space="preserve"> am Tag des chirurgischen Eingriffs 1–4 Stunden postoperativ</w:t>
            </w:r>
          </w:p>
        </w:tc>
        <w:tc>
          <w:tcPr>
            <w:tcW w:w="2266" w:type="dxa"/>
          </w:tcPr>
          <w:p w14:paraId="31518533" w14:textId="01658169" w:rsidR="009C76CA" w:rsidRDefault="009C76CA" w:rsidP="00C52B21">
            <w:r w:rsidRPr="009C76CA">
              <w:rPr>
                <w:b/>
                <w:bCs/>
              </w:rPr>
              <w:t>Erhaltungsdosis</w:t>
            </w:r>
            <w:r w:rsidRPr="009C76CA">
              <w:t xml:space="preserve"> ab dem ersten Tag nach dem Eingriff</w:t>
            </w:r>
          </w:p>
        </w:tc>
        <w:tc>
          <w:tcPr>
            <w:tcW w:w="2266" w:type="dxa"/>
          </w:tcPr>
          <w:p w14:paraId="1F6FCCD2" w14:textId="20A90D69" w:rsidR="009C76CA" w:rsidRDefault="009C76CA" w:rsidP="00C52B21">
            <w:r w:rsidRPr="009C76CA">
              <w:rPr>
                <w:b/>
                <w:bCs/>
              </w:rPr>
              <w:t>Anwendungsdauer</w:t>
            </w:r>
            <w:r w:rsidRPr="009C76CA">
              <w:t xml:space="preserve"> der Erhaltungsdosis</w:t>
            </w:r>
          </w:p>
        </w:tc>
      </w:tr>
      <w:tr w:rsidR="009C76CA" w14:paraId="3DDBF6F5" w14:textId="77777777" w:rsidTr="009C76CA">
        <w:tc>
          <w:tcPr>
            <w:tcW w:w="2265" w:type="dxa"/>
          </w:tcPr>
          <w:p w14:paraId="787EB365" w14:textId="3E920DD4" w:rsidR="009C76CA" w:rsidRDefault="009C76CA" w:rsidP="00C52B21">
            <w:r w:rsidRPr="009C76CA">
              <w:t>Patienten nach elek- tivem chirurgischen Kniegelenksersatz</w:t>
            </w:r>
          </w:p>
        </w:tc>
        <w:tc>
          <w:tcPr>
            <w:tcW w:w="2265" w:type="dxa"/>
            <w:vMerge w:val="restart"/>
          </w:tcPr>
          <w:p w14:paraId="2FB5118B" w14:textId="6170B70D" w:rsidR="009C76CA" w:rsidRDefault="009C76CA" w:rsidP="00C52B21">
            <w:r w:rsidRPr="009C76CA">
              <w:t xml:space="preserve">1 Kapsel </w:t>
            </w:r>
            <w:r w:rsidR="00025F3D" w:rsidRPr="00025F3D">
              <w:t>Dabigatran</w:t>
            </w:r>
            <w:r w:rsidR="00025F3D">
              <w:t>-</w:t>
            </w:r>
            <w:r w:rsidR="00025F3D" w:rsidRPr="00025F3D">
              <w:t>etexilat</w:t>
            </w:r>
            <w:r w:rsidRPr="009C76CA">
              <w:t xml:space="preserve"> zu 110 mg</w:t>
            </w:r>
          </w:p>
        </w:tc>
        <w:tc>
          <w:tcPr>
            <w:tcW w:w="2266" w:type="dxa"/>
            <w:vMerge w:val="restart"/>
          </w:tcPr>
          <w:p w14:paraId="506ED20B" w14:textId="3C2B4BAF" w:rsidR="009C76CA" w:rsidRDefault="009C76CA" w:rsidP="00C52B21">
            <w:r w:rsidRPr="009C76CA">
              <w:t xml:space="preserve">220 mg </w:t>
            </w:r>
            <w:r w:rsidR="00025F3D" w:rsidRPr="00025F3D">
              <w:t>Dabigatran</w:t>
            </w:r>
            <w:r w:rsidR="00025F3D">
              <w:t>-</w:t>
            </w:r>
            <w:r w:rsidR="00025F3D" w:rsidRPr="00025F3D">
              <w:t>etexilat</w:t>
            </w:r>
            <w:r w:rsidRPr="009C76CA">
              <w:t xml:space="preserve"> einmal täglich, eingenommen als 2 Kapseln zu 110 mg</w:t>
            </w:r>
          </w:p>
        </w:tc>
        <w:tc>
          <w:tcPr>
            <w:tcW w:w="2266" w:type="dxa"/>
          </w:tcPr>
          <w:p w14:paraId="467CD3F3" w14:textId="1D3E6E2E" w:rsidR="009C76CA" w:rsidRDefault="009C76CA" w:rsidP="00C52B21">
            <w:r w:rsidRPr="009C76CA">
              <w:t>10 Tage</w:t>
            </w:r>
          </w:p>
        </w:tc>
      </w:tr>
      <w:tr w:rsidR="009C76CA" w14:paraId="3E1FF2FF" w14:textId="77777777" w:rsidTr="009C76CA">
        <w:tc>
          <w:tcPr>
            <w:tcW w:w="2265" w:type="dxa"/>
          </w:tcPr>
          <w:p w14:paraId="3A9DDB23" w14:textId="02C7336E" w:rsidR="009C76CA" w:rsidRDefault="009C76CA" w:rsidP="00C52B21">
            <w:r w:rsidRPr="009C76CA">
              <w:t>Patienten nach elek- tivem chirurgischen Hüftgelenksersatz</w:t>
            </w:r>
          </w:p>
        </w:tc>
        <w:tc>
          <w:tcPr>
            <w:tcW w:w="2265" w:type="dxa"/>
            <w:vMerge/>
          </w:tcPr>
          <w:p w14:paraId="54ECA827" w14:textId="77777777" w:rsidR="009C76CA" w:rsidRDefault="009C76CA" w:rsidP="00C52B21"/>
        </w:tc>
        <w:tc>
          <w:tcPr>
            <w:tcW w:w="2266" w:type="dxa"/>
            <w:vMerge/>
          </w:tcPr>
          <w:p w14:paraId="15FBC33A" w14:textId="77777777" w:rsidR="009C76CA" w:rsidRDefault="009C76CA" w:rsidP="00C52B21"/>
        </w:tc>
        <w:tc>
          <w:tcPr>
            <w:tcW w:w="2266" w:type="dxa"/>
          </w:tcPr>
          <w:p w14:paraId="767D407D" w14:textId="014629C7" w:rsidR="009C76CA" w:rsidRDefault="009C76CA" w:rsidP="00C52B21">
            <w:r w:rsidRPr="009C76CA">
              <w:t>28–35 Tage</w:t>
            </w:r>
          </w:p>
        </w:tc>
      </w:tr>
    </w:tbl>
    <w:p w14:paraId="77F0B0F9" w14:textId="67C23CFC" w:rsidR="003E5220" w:rsidRDefault="003E5220" w:rsidP="00C52B21"/>
    <w:p w14:paraId="21AA8B8E" w14:textId="07432DED" w:rsidR="003E5220" w:rsidRPr="00BB5616" w:rsidRDefault="00BB5616" w:rsidP="00C52B21">
      <w:pPr>
        <w:rPr>
          <w:b/>
          <w:bCs/>
        </w:rPr>
      </w:pPr>
      <w:r w:rsidRPr="00BB5616">
        <w:rPr>
          <w:rFonts w:cstheme="minorHAnsi"/>
          <w:b/>
          <w:bCs/>
          <w:spacing w:val="-2"/>
        </w:rPr>
        <w:t>Dosisreduktion</w:t>
      </w:r>
    </w:p>
    <w:tbl>
      <w:tblPr>
        <w:tblStyle w:val="Tabellenraster"/>
        <w:tblW w:w="0" w:type="auto"/>
        <w:tblLook w:val="04A0" w:firstRow="1" w:lastRow="0" w:firstColumn="1" w:lastColumn="0" w:noHBand="0" w:noVBand="1"/>
      </w:tblPr>
      <w:tblGrid>
        <w:gridCol w:w="2265"/>
        <w:gridCol w:w="2265"/>
        <w:gridCol w:w="2266"/>
        <w:gridCol w:w="2266"/>
      </w:tblGrid>
      <w:tr w:rsidR="009C76CA" w14:paraId="7A7F3D24" w14:textId="77777777" w:rsidTr="009C76CA">
        <w:tc>
          <w:tcPr>
            <w:tcW w:w="2265" w:type="dxa"/>
          </w:tcPr>
          <w:p w14:paraId="2FDF6F4B" w14:textId="77777777" w:rsidR="009C76CA" w:rsidRDefault="009C76CA" w:rsidP="00C52B21"/>
        </w:tc>
        <w:tc>
          <w:tcPr>
            <w:tcW w:w="2265" w:type="dxa"/>
          </w:tcPr>
          <w:p w14:paraId="29BD521C" w14:textId="6ED05975" w:rsidR="009C76CA" w:rsidRDefault="009C76CA" w:rsidP="009C76CA">
            <w:r w:rsidRPr="009C76CA">
              <w:rPr>
                <w:b/>
                <w:bCs/>
              </w:rPr>
              <w:t>Einleitung der Behandlung</w:t>
            </w:r>
            <w:r>
              <w:t xml:space="preserve"> am Tag des chirurgischen Eingriffs 1–4 Stunden postoperativ</w:t>
            </w:r>
          </w:p>
        </w:tc>
        <w:tc>
          <w:tcPr>
            <w:tcW w:w="2266" w:type="dxa"/>
          </w:tcPr>
          <w:p w14:paraId="5F03C90C" w14:textId="07816976" w:rsidR="009C76CA" w:rsidRDefault="009C76CA" w:rsidP="00C52B21">
            <w:r w:rsidRPr="009C76CA">
              <w:rPr>
                <w:b/>
                <w:bCs/>
              </w:rPr>
              <w:t>Erhaltungsdosis</w:t>
            </w:r>
            <w:r w:rsidRPr="009C76CA">
              <w:t xml:space="preserve"> ab dem ersten Tag nach dem Eingriff</w:t>
            </w:r>
          </w:p>
        </w:tc>
        <w:tc>
          <w:tcPr>
            <w:tcW w:w="2266" w:type="dxa"/>
          </w:tcPr>
          <w:p w14:paraId="2F44B923" w14:textId="0E6A8ADF" w:rsidR="009C76CA" w:rsidRDefault="009C76CA" w:rsidP="00C52B21">
            <w:r w:rsidRPr="009C76CA">
              <w:rPr>
                <w:b/>
                <w:bCs/>
              </w:rPr>
              <w:t>Anwendungsdauer</w:t>
            </w:r>
            <w:r w:rsidRPr="009C76CA">
              <w:t xml:space="preserve"> der Erhaltungsdosis</w:t>
            </w:r>
          </w:p>
        </w:tc>
      </w:tr>
      <w:tr w:rsidR="009C76CA" w14:paraId="08C68734" w14:textId="77777777" w:rsidTr="009C76CA">
        <w:tc>
          <w:tcPr>
            <w:tcW w:w="2265" w:type="dxa"/>
          </w:tcPr>
          <w:p w14:paraId="7E598E94" w14:textId="77EF74F3" w:rsidR="009C76CA" w:rsidRDefault="009C76CA" w:rsidP="009C76CA">
            <w:r>
              <w:t>Patienten mit mäßig beeinträchtigter Nierenfunktion (Kreatinin-Clearance, CrCl 30-50 ml/min)</w:t>
            </w:r>
          </w:p>
        </w:tc>
        <w:tc>
          <w:tcPr>
            <w:tcW w:w="2265" w:type="dxa"/>
            <w:vMerge w:val="restart"/>
          </w:tcPr>
          <w:p w14:paraId="4CBFB163" w14:textId="72999464" w:rsidR="009C76CA" w:rsidRDefault="009C76CA" w:rsidP="009C76CA">
            <w:r>
              <w:t>1 Kapsel</w:t>
            </w:r>
            <w:r w:rsidR="00376F80">
              <w:t xml:space="preserve"> </w:t>
            </w:r>
            <w:r w:rsidR="00025F3D" w:rsidRPr="00025F3D">
              <w:t>Dabigatran</w:t>
            </w:r>
            <w:r w:rsidR="00025F3D">
              <w:t>-</w:t>
            </w:r>
            <w:r w:rsidR="00025F3D" w:rsidRPr="00025F3D">
              <w:t>etexilat</w:t>
            </w:r>
            <w:r>
              <w:t xml:space="preserve"> zu</w:t>
            </w:r>
            <w:r w:rsidR="00376F80">
              <w:t xml:space="preserve"> </w:t>
            </w:r>
            <w:r>
              <w:t>75 mg</w:t>
            </w:r>
          </w:p>
        </w:tc>
        <w:tc>
          <w:tcPr>
            <w:tcW w:w="2266" w:type="dxa"/>
            <w:vMerge w:val="restart"/>
          </w:tcPr>
          <w:p w14:paraId="7104F2E9" w14:textId="08DEABC7" w:rsidR="009C76CA" w:rsidRDefault="009C76CA" w:rsidP="009C76CA">
            <w:r>
              <w:t xml:space="preserve">150 mg </w:t>
            </w:r>
            <w:r w:rsidR="00025F3D" w:rsidRPr="00025F3D">
              <w:t>Dabigatran</w:t>
            </w:r>
            <w:r w:rsidR="00025F3D">
              <w:t>-</w:t>
            </w:r>
            <w:r w:rsidR="00025F3D" w:rsidRPr="00025F3D">
              <w:t>etexilat</w:t>
            </w:r>
            <w:r w:rsidR="00376F80">
              <w:t xml:space="preserve"> </w:t>
            </w:r>
            <w:r>
              <w:t>einmal täglich,</w:t>
            </w:r>
            <w:r w:rsidR="00376F80">
              <w:t xml:space="preserve"> </w:t>
            </w:r>
            <w:r>
              <w:t>eingenommen</w:t>
            </w:r>
            <w:r w:rsidR="00376F80">
              <w:t xml:space="preserve"> </w:t>
            </w:r>
            <w:r>
              <w:t>als 2 Kapseln zu</w:t>
            </w:r>
            <w:r w:rsidR="00376F80">
              <w:t xml:space="preserve"> </w:t>
            </w:r>
            <w:r>
              <w:t>75 mg</w:t>
            </w:r>
          </w:p>
        </w:tc>
        <w:tc>
          <w:tcPr>
            <w:tcW w:w="2266" w:type="dxa"/>
            <w:vMerge w:val="restart"/>
          </w:tcPr>
          <w:p w14:paraId="65E7CD94" w14:textId="128417A0" w:rsidR="009C76CA" w:rsidRDefault="009C76CA" w:rsidP="009C76CA">
            <w:r>
              <w:t>10 Tage</w:t>
            </w:r>
            <w:r w:rsidR="00376F80">
              <w:t xml:space="preserve"> </w:t>
            </w:r>
            <w:r>
              <w:t>(elektiver Kniegelenksersatz)</w:t>
            </w:r>
            <w:r w:rsidR="00376F80">
              <w:t xml:space="preserve"> </w:t>
            </w:r>
            <w:r>
              <w:t>oder</w:t>
            </w:r>
            <w:r w:rsidR="00376F80">
              <w:t xml:space="preserve"> </w:t>
            </w:r>
            <w:r>
              <w:t>28–35 Tage</w:t>
            </w:r>
            <w:r w:rsidR="00376F80">
              <w:t xml:space="preserve"> </w:t>
            </w:r>
            <w:r>
              <w:t>(elektiver Hüftgelenksersatz)</w:t>
            </w:r>
          </w:p>
        </w:tc>
      </w:tr>
      <w:tr w:rsidR="009C76CA" w14:paraId="6B13D857" w14:textId="77777777" w:rsidTr="009C76CA">
        <w:tc>
          <w:tcPr>
            <w:tcW w:w="2265" w:type="dxa"/>
          </w:tcPr>
          <w:p w14:paraId="433D809A" w14:textId="793674BA" w:rsidR="009C76CA" w:rsidRDefault="009C76CA" w:rsidP="009C76CA">
            <w:r>
              <w:t>Patienten, die gleichzeitig Verapamil, Amiodaron oder Chinidin erhalten</w:t>
            </w:r>
          </w:p>
        </w:tc>
        <w:tc>
          <w:tcPr>
            <w:tcW w:w="2265" w:type="dxa"/>
            <w:vMerge/>
          </w:tcPr>
          <w:p w14:paraId="297B5BF4" w14:textId="77777777" w:rsidR="009C76CA" w:rsidRDefault="009C76CA" w:rsidP="009C76CA"/>
        </w:tc>
        <w:tc>
          <w:tcPr>
            <w:tcW w:w="2266" w:type="dxa"/>
            <w:vMerge/>
          </w:tcPr>
          <w:p w14:paraId="7C836878" w14:textId="77777777" w:rsidR="009C76CA" w:rsidRDefault="009C76CA" w:rsidP="009C76CA"/>
        </w:tc>
        <w:tc>
          <w:tcPr>
            <w:tcW w:w="2266" w:type="dxa"/>
            <w:vMerge/>
          </w:tcPr>
          <w:p w14:paraId="584BB2B6" w14:textId="77777777" w:rsidR="009C76CA" w:rsidRDefault="009C76CA" w:rsidP="009C76CA"/>
        </w:tc>
      </w:tr>
      <w:tr w:rsidR="009C76CA" w14:paraId="42151127" w14:textId="77777777" w:rsidTr="009C76CA">
        <w:tc>
          <w:tcPr>
            <w:tcW w:w="2265" w:type="dxa"/>
          </w:tcPr>
          <w:p w14:paraId="735F74D8" w14:textId="767EF95B" w:rsidR="009C76CA" w:rsidRDefault="009C76CA" w:rsidP="009C76CA">
            <w:r>
              <w:t>Patienten &gt; 75 Jahren</w:t>
            </w:r>
          </w:p>
        </w:tc>
        <w:tc>
          <w:tcPr>
            <w:tcW w:w="2265" w:type="dxa"/>
            <w:vMerge/>
          </w:tcPr>
          <w:p w14:paraId="30126A65" w14:textId="77777777" w:rsidR="009C76CA" w:rsidRDefault="009C76CA" w:rsidP="009C76CA"/>
        </w:tc>
        <w:tc>
          <w:tcPr>
            <w:tcW w:w="2266" w:type="dxa"/>
            <w:vMerge/>
          </w:tcPr>
          <w:p w14:paraId="4D887C22" w14:textId="77777777" w:rsidR="009C76CA" w:rsidRDefault="009C76CA" w:rsidP="009C76CA"/>
        </w:tc>
        <w:tc>
          <w:tcPr>
            <w:tcW w:w="2266" w:type="dxa"/>
            <w:vMerge/>
          </w:tcPr>
          <w:p w14:paraId="080EFD38" w14:textId="77777777" w:rsidR="009C76CA" w:rsidRDefault="009C76CA" w:rsidP="009C76CA"/>
        </w:tc>
      </w:tr>
    </w:tbl>
    <w:p w14:paraId="2DE85DD5" w14:textId="46647D49" w:rsidR="00BB5616" w:rsidRDefault="00BB5616" w:rsidP="00C52B21"/>
    <w:p w14:paraId="557052DC" w14:textId="41A7907C" w:rsidR="00376F80" w:rsidRDefault="00376F80" w:rsidP="00376F80">
      <w:r>
        <w:t>Bei Patienten mit mäßig eingeschränkter Nierenfunktion und einer Komedikation mit Verapamil sollte eine weitere Reduzierung auf 75 mg einmal täglich in Erwägung gezogen werden.</w:t>
      </w:r>
    </w:p>
    <w:p w14:paraId="3408F4DF" w14:textId="5127A1AE" w:rsidR="00BB5616" w:rsidRDefault="00376F80" w:rsidP="00376F80">
      <w:r>
        <w:t>Für beide chirurgische Eingriffe gilt: Bei nicht gesicherter Hämostase ist die Einleitung der Behandlung aufzuschieben. Wird die Behandlung nicht am Tag des chirurgischen Eingriffs begonnen, sollte der Therapiebeginn mit 2 Kapseln einmal täglich erfolgen.</w:t>
      </w:r>
    </w:p>
    <w:p w14:paraId="5405E7EF" w14:textId="5369C54B" w:rsidR="00DC7E4B" w:rsidRDefault="00DC7E4B" w:rsidP="00C52B21"/>
    <w:p w14:paraId="77EF2BCF" w14:textId="77777777" w:rsidR="00755DD1" w:rsidRPr="00755DD1" w:rsidRDefault="00755DD1" w:rsidP="00755DD1">
      <w:pPr>
        <w:rPr>
          <w:b/>
          <w:bCs/>
        </w:rPr>
      </w:pPr>
      <w:r w:rsidRPr="00755DD1">
        <w:rPr>
          <w:b/>
          <w:bCs/>
        </w:rPr>
        <w:t>Empfehlung zur Überprüfung der Nierenfunktion für alle Patienten</w:t>
      </w:r>
    </w:p>
    <w:p w14:paraId="565FA994" w14:textId="34FD1BC2" w:rsidR="00755DD1" w:rsidRDefault="00755DD1" w:rsidP="00755DD1">
      <w:r>
        <w:t>• Vor einer Behandlung mit Dabigatranetexilat sollte die Nierenfunktion durch die Bestimmung der Kreatinin-Clearance mittels der Cockcroft-Gault-Formel* überprüft werden, um Patienten mit schwer beeinträchtigter Nierenfunktion (Kreatinin-Clearance &lt; 30 ml/min) auszuschließen.</w:t>
      </w:r>
    </w:p>
    <w:p w14:paraId="2EF97D04" w14:textId="3602F595" w:rsidR="00755DD1" w:rsidRDefault="00755DD1" w:rsidP="00755DD1">
      <w:r>
        <w:t>• Die Nierenfunktion sollte in klinischen Situationen, in denen eine mögliche Abnahme oder Verschlechterung der Nierenfunktion zu vermuten ist (z. B. Hypovolämie, Dehydratation und bestimmte Komedikation), überprüft werden.</w:t>
      </w:r>
    </w:p>
    <w:p w14:paraId="41BAD7A1" w14:textId="77777777" w:rsidR="00755DD1" w:rsidRDefault="00755DD1" w:rsidP="00755DD1"/>
    <w:p w14:paraId="1BC2A876" w14:textId="37EF0F09" w:rsidR="00755DD1" w:rsidRPr="00755DD1" w:rsidRDefault="00755DD1" w:rsidP="00755DD1">
      <w:pPr>
        <w:rPr>
          <w:b/>
          <w:bCs/>
        </w:rPr>
      </w:pPr>
      <w:r w:rsidRPr="00755DD1">
        <w:rPr>
          <w:b/>
          <w:bCs/>
        </w:rPr>
        <w:lastRenderedPageBreak/>
        <w:t>*Cockcroft-Gault-Formel</w:t>
      </w:r>
    </w:p>
    <w:p w14:paraId="7EF130A4" w14:textId="1B102F48" w:rsidR="00755DD1" w:rsidRDefault="004D641D" w:rsidP="00C52B21">
      <w:r>
        <w:t>Bei Angabe des Serumkreatinins in mg/dl:</w:t>
      </w:r>
    </w:p>
    <w:p w14:paraId="70251432" w14:textId="692D71CC" w:rsidR="004D641D" w:rsidRDefault="00BB4B1D" w:rsidP="00C52B21">
      <m:oMathPara>
        <m:oMath>
          <m:r>
            <w:rPr>
              <w:rFonts w:ascii="Cambria Math" w:hAnsi="Cambria Math"/>
            </w:rPr>
            <m:t>CrCl (ml/min)=</m:t>
          </m:r>
          <m:f>
            <m:fPr>
              <m:ctrlPr>
                <w:rPr>
                  <w:rFonts w:ascii="Cambria Math" w:hAnsi="Cambria Math"/>
                </w:rPr>
              </m:ctrlPr>
            </m:fPr>
            <m:num>
              <m:d>
                <m:dPr>
                  <m:ctrlPr>
                    <w:rPr>
                      <w:rFonts w:ascii="Cambria Math" w:hAnsi="Cambria Math"/>
                      <w:i/>
                    </w:rPr>
                  </m:ctrlPr>
                </m:dPr>
                <m:e>
                  <m:r>
                    <w:rPr>
                      <w:rFonts w:ascii="Cambria Math" w:hAnsi="Cambria Math"/>
                    </w:rPr>
                    <m:t>140-Alter</m:t>
                  </m:r>
                </m:e>
              </m:d>
              <m:r>
                <w:rPr>
                  <w:rFonts w:ascii="Cambria Math" w:hAnsi="Cambria Math"/>
                </w:rPr>
                <m:t xml:space="preserve"> x Gewicht </m:t>
              </m:r>
              <m:d>
                <m:dPr>
                  <m:ctrlPr>
                    <w:rPr>
                      <w:rFonts w:ascii="Cambria Math" w:hAnsi="Cambria Math"/>
                      <w:i/>
                    </w:rPr>
                  </m:ctrlPr>
                </m:dPr>
                <m:e>
                  <m:r>
                    <w:rPr>
                      <w:rFonts w:ascii="Cambria Math" w:hAnsi="Cambria Math"/>
                    </w:rPr>
                    <m:t>kg</m:t>
                  </m:r>
                </m:e>
              </m:d>
            </m:num>
            <m:den>
              <m:r>
                <w:rPr>
                  <w:rFonts w:ascii="Cambria Math" w:hAnsi="Cambria Math"/>
                </w:rPr>
                <m:t xml:space="preserve">72 x Serumkreatinin </m:t>
              </m:r>
              <m:d>
                <m:dPr>
                  <m:ctrlPr>
                    <w:rPr>
                      <w:rFonts w:ascii="Cambria Math" w:hAnsi="Cambria Math"/>
                      <w:i/>
                    </w:rPr>
                  </m:ctrlPr>
                </m:dPr>
                <m:e>
                  <m:r>
                    <w:rPr>
                      <w:rFonts w:ascii="Cambria Math" w:hAnsi="Cambria Math"/>
                    </w:rPr>
                    <m:t>mg /dl</m:t>
                  </m:r>
                </m:e>
              </m:d>
            </m:den>
          </m:f>
          <m:r>
            <w:rPr>
              <w:rFonts w:ascii="Cambria Math" w:hAnsi="Cambria Math"/>
            </w:rPr>
            <m:t xml:space="preserve"> (x 0,85 bei Frauen)  </m:t>
          </m:r>
        </m:oMath>
      </m:oMathPara>
    </w:p>
    <w:p w14:paraId="1C556B93" w14:textId="19671B27" w:rsidR="004D641D" w:rsidRDefault="004D641D" w:rsidP="004D641D">
      <w:r>
        <w:t xml:space="preserve">Bei Angabe des Serumkreatinins in </w:t>
      </w:r>
      <w:r>
        <w:rPr>
          <w:rFonts w:cstheme="minorHAnsi"/>
        </w:rPr>
        <w:t>µ</w:t>
      </w:r>
      <w:r>
        <w:t>mol/l:</w:t>
      </w:r>
    </w:p>
    <w:p w14:paraId="52C5BD0E" w14:textId="0F73834B" w:rsidR="004D641D" w:rsidRDefault="00730D14" w:rsidP="00C52B21">
      <m:oMathPara>
        <m:oMath>
          <m:r>
            <w:rPr>
              <w:rFonts w:ascii="Cambria Math" w:hAnsi="Cambria Math"/>
            </w:rPr>
            <m:t>CrCl (ml/min)=</m:t>
          </m:r>
          <m:f>
            <m:fPr>
              <m:ctrlPr>
                <w:rPr>
                  <w:rFonts w:ascii="Cambria Math" w:hAnsi="Cambria Math"/>
                </w:rPr>
              </m:ctrlPr>
            </m:fPr>
            <m:num>
              <m:r>
                <w:rPr>
                  <w:rFonts w:ascii="Cambria Math" w:hAnsi="Cambria Math"/>
                </w:rPr>
                <m:t xml:space="preserve">1,23 x </m:t>
              </m:r>
              <m:d>
                <m:dPr>
                  <m:ctrlPr>
                    <w:rPr>
                      <w:rFonts w:ascii="Cambria Math" w:hAnsi="Cambria Math"/>
                      <w:i/>
                    </w:rPr>
                  </m:ctrlPr>
                </m:dPr>
                <m:e>
                  <m:r>
                    <w:rPr>
                      <w:rFonts w:ascii="Cambria Math" w:hAnsi="Cambria Math"/>
                    </w:rPr>
                    <m:t>140-Alter</m:t>
                  </m:r>
                </m:e>
              </m:d>
              <m:r>
                <w:rPr>
                  <w:rFonts w:ascii="Cambria Math" w:hAnsi="Cambria Math"/>
                </w:rPr>
                <m:t xml:space="preserve"> x Gewicht </m:t>
              </m:r>
              <m:d>
                <m:dPr>
                  <m:ctrlPr>
                    <w:rPr>
                      <w:rFonts w:ascii="Cambria Math" w:hAnsi="Cambria Math"/>
                      <w:i/>
                    </w:rPr>
                  </m:ctrlPr>
                </m:dPr>
                <m:e>
                  <m:r>
                    <w:rPr>
                      <w:rFonts w:ascii="Cambria Math" w:hAnsi="Cambria Math"/>
                    </w:rPr>
                    <m:t>kg</m:t>
                  </m:r>
                </m:e>
              </m:d>
            </m:num>
            <m:den>
              <m:r>
                <w:rPr>
                  <w:rFonts w:ascii="Cambria Math" w:hAnsi="Cambria Math"/>
                </w:rPr>
                <m:t xml:space="preserve">Serumkreatinin </m:t>
              </m:r>
              <m:d>
                <m:dPr>
                  <m:ctrlPr>
                    <w:rPr>
                      <w:rFonts w:ascii="Cambria Math" w:hAnsi="Cambria Math"/>
                      <w:i/>
                    </w:rPr>
                  </m:ctrlPr>
                </m:dPr>
                <m:e>
                  <m:r>
                    <m:rPr>
                      <m:sty m:val="p"/>
                    </m:rPr>
                    <w:rPr>
                      <w:rFonts w:ascii="Cambria Math" w:hAnsi="Cambria Math" w:cstheme="minorHAnsi"/>
                    </w:rPr>
                    <m:t>µ</m:t>
                  </m:r>
                  <m:r>
                    <m:rPr>
                      <m:sty m:val="p"/>
                    </m:rPr>
                    <w:rPr>
                      <w:rFonts w:ascii="Cambria Math" w:hAnsi="Cambria Math"/>
                    </w:rPr>
                    <m:t>mol/l</m:t>
                  </m:r>
                </m:e>
              </m:d>
            </m:den>
          </m:f>
          <m:r>
            <w:rPr>
              <w:rFonts w:ascii="Cambria Math" w:hAnsi="Cambria Math"/>
            </w:rPr>
            <m:t xml:space="preserve"> (x 0,85 bei Frauen)  </m:t>
          </m:r>
        </m:oMath>
      </m:oMathPara>
    </w:p>
    <w:p w14:paraId="22C516BF" w14:textId="00C987C1" w:rsidR="004D641D" w:rsidRDefault="004D641D" w:rsidP="00C52B21">
      <w:r>
        <w:t>Bei Frauen wird wegen des geringeren Muskelanteils der errechnete Wert mit 0,85 multipliziert.</w:t>
      </w:r>
    </w:p>
    <w:p w14:paraId="1621909D" w14:textId="20B58771" w:rsidR="00755DD1" w:rsidRDefault="00755DD1" w:rsidP="00C52B21"/>
    <w:p w14:paraId="6F19BA90" w14:textId="1A77885E" w:rsidR="00755DD1" w:rsidRDefault="004D641D" w:rsidP="004D641D">
      <w:r>
        <w:t xml:space="preserve">* Da in den Studien mit Dabigatranetexilat die </w:t>
      </w:r>
      <w:r w:rsidRPr="00BD3886">
        <w:rPr>
          <w:i/>
          <w:iCs/>
        </w:rPr>
        <w:t>Kreatinin-Clearance</w:t>
      </w:r>
      <w:r>
        <w:t xml:space="preserve"> anhand des Serumkreatininspiegels mittels der </w:t>
      </w:r>
      <w:r w:rsidRPr="00BD3886">
        <w:rPr>
          <w:i/>
          <w:iCs/>
        </w:rPr>
        <w:t>Cockcroft-Gault-Formel</w:t>
      </w:r>
      <w:r>
        <w:t xml:space="preserve"> berechnet wurde, beziehen sich auch die weltweiten Empfehlungen in der Fachinformation von Dabigatranetexilat zur Einschätzung der Nierenfunktion immer auf die mittels der Cockcroft-Gault-Formel abgeschätzte Kreatinin-Clearance.</w:t>
      </w:r>
    </w:p>
    <w:p w14:paraId="14AF6FD9" w14:textId="29629A85" w:rsidR="00755DD1" w:rsidRDefault="00755DD1" w:rsidP="00C52B21"/>
    <w:p w14:paraId="1DA76150" w14:textId="77777777" w:rsidR="008659B7" w:rsidRPr="008659B7" w:rsidRDefault="008659B7" w:rsidP="008659B7">
      <w:pPr>
        <w:rPr>
          <w:b/>
          <w:bCs/>
        </w:rPr>
      </w:pPr>
      <w:r w:rsidRPr="008659B7">
        <w:rPr>
          <w:b/>
          <w:bCs/>
        </w:rPr>
        <w:t>Umstellung</w:t>
      </w:r>
    </w:p>
    <w:p w14:paraId="394D055E" w14:textId="77777777" w:rsidR="008659B7" w:rsidRPr="008659B7" w:rsidRDefault="008659B7" w:rsidP="008659B7">
      <w:pPr>
        <w:rPr>
          <w:i/>
          <w:iCs/>
        </w:rPr>
      </w:pPr>
      <w:r w:rsidRPr="008659B7">
        <w:rPr>
          <w:i/>
          <w:iCs/>
        </w:rPr>
        <w:t>Von Dabigatranetexilat auf ein parenterales Antikoagulans</w:t>
      </w:r>
    </w:p>
    <w:p w14:paraId="5AD3AFAD" w14:textId="57DC5B4B" w:rsidR="008659B7" w:rsidRDefault="008659B7" w:rsidP="008659B7">
      <w:r>
        <w:t xml:space="preserve">Es wird empfohlen nach der letzten Dosis </w:t>
      </w:r>
      <w:r w:rsidR="00690BCB">
        <w:t>24</w:t>
      </w:r>
      <w:r>
        <w:t xml:space="preserve"> Stunden zu warten, bevor von Dabigatranetexilat auf ein parenterales Antikoagulans umgestellt wird.</w:t>
      </w:r>
    </w:p>
    <w:p w14:paraId="4D576E80" w14:textId="77777777" w:rsidR="008659B7" w:rsidRDefault="008659B7" w:rsidP="008659B7">
      <w:pPr>
        <w:rPr>
          <w:i/>
          <w:iCs/>
        </w:rPr>
      </w:pPr>
    </w:p>
    <w:p w14:paraId="06077976" w14:textId="2F904943" w:rsidR="008659B7" w:rsidRPr="008659B7" w:rsidRDefault="008659B7" w:rsidP="008659B7">
      <w:pPr>
        <w:rPr>
          <w:i/>
          <w:iCs/>
        </w:rPr>
      </w:pPr>
      <w:r w:rsidRPr="008659B7">
        <w:rPr>
          <w:i/>
          <w:iCs/>
        </w:rPr>
        <w:t>Von einem parenteralen Antikoagulans auf Dabigatranetexilat</w:t>
      </w:r>
    </w:p>
    <w:p w14:paraId="67CB4FC6" w14:textId="77777777" w:rsidR="008659B7" w:rsidRDefault="008659B7" w:rsidP="008659B7">
      <w:r>
        <w:t>Die parenterale Antikoagulation ist zu beenden. Dabigatranetexilat ist 0–2 Stunden vor der nächsten vorgesehenen Anwendung des Alternativpräparates oder bei fortlaufender Behandlung (z. B. intravenöse Behandlung mit unfraktioniertem Heparin) zum Zeitpunkt des Absetzens zu geben.</w:t>
      </w:r>
    </w:p>
    <w:p w14:paraId="0CF6763B" w14:textId="77777777" w:rsidR="008659B7" w:rsidRDefault="008659B7" w:rsidP="008659B7"/>
    <w:p w14:paraId="0A30FBF3" w14:textId="5C08A229" w:rsidR="008659B7" w:rsidRPr="0079187C" w:rsidRDefault="008659B7" w:rsidP="008659B7">
      <w:pPr>
        <w:rPr>
          <w:i/>
          <w:iCs/>
        </w:rPr>
      </w:pPr>
      <w:r w:rsidRPr="0079187C">
        <w:rPr>
          <w:i/>
          <w:iCs/>
        </w:rPr>
        <w:t>Art der Anwendung</w:t>
      </w:r>
    </w:p>
    <w:p w14:paraId="143E567F" w14:textId="77777777" w:rsidR="008659B7" w:rsidRDefault="008659B7" w:rsidP="008659B7">
      <w:r>
        <w:t>Dabigatranetexilat ist zum Einnehmen bestimmt.</w:t>
      </w:r>
    </w:p>
    <w:p w14:paraId="368908F9" w14:textId="3922C7A0" w:rsidR="008659B7" w:rsidRDefault="008659B7" w:rsidP="008659B7">
      <w:r>
        <w:t>•</w:t>
      </w:r>
      <w:r w:rsidR="00667F69">
        <w:t xml:space="preserve"> </w:t>
      </w:r>
      <w:r>
        <w:t>Die Kapseln können zu oder unabhängig von den Mahlzeiten eingenommen werden. Dabigatranetexilat sollte unzerkaut mit einem Glas Wasser geschluckt werden, um den Transport in den Magen zu gewährleisten.</w:t>
      </w:r>
    </w:p>
    <w:p w14:paraId="422A1332" w14:textId="57A9DC34" w:rsidR="008659B7" w:rsidRDefault="008659B7" w:rsidP="008659B7">
      <w:r>
        <w:t>•</w:t>
      </w:r>
      <w:r w:rsidR="00667F69">
        <w:t xml:space="preserve"> </w:t>
      </w:r>
      <w:r>
        <w:t>Die Kapsel nicht zerbrechen oder kauen und den Kapselinhalt nicht ausleeren, weil dies das Risiko für Blutungen erhöhen kann.</w:t>
      </w:r>
    </w:p>
    <w:p w14:paraId="632F3DBA" w14:textId="7113EB2C" w:rsidR="008659B7" w:rsidRDefault="008659B7" w:rsidP="008659B7"/>
    <w:p w14:paraId="2431D83E" w14:textId="1F43BE3D" w:rsidR="008659B7" w:rsidRPr="008659B7" w:rsidRDefault="008659B7" w:rsidP="008659B7">
      <w:pPr>
        <w:rPr>
          <w:b/>
          <w:bCs/>
          <w:sz w:val="28"/>
          <w:szCs w:val="28"/>
        </w:rPr>
      </w:pPr>
      <w:bookmarkStart w:id="4" w:name="_Toc137056310"/>
      <w:r w:rsidRPr="006D3808">
        <w:rPr>
          <w:rStyle w:val="berschrift1Zchn"/>
        </w:rPr>
        <w:t>Besondere Patientengruppen mit potenziell erhöhtem Blutungsrisiko</w:t>
      </w:r>
      <w:bookmarkEnd w:id="4"/>
      <w:r w:rsidRPr="008659B7">
        <w:rPr>
          <w:b/>
          <w:bCs/>
          <w:sz w:val="28"/>
          <w:szCs w:val="28"/>
          <w:vertAlign w:val="superscript"/>
        </w:rPr>
        <w:t>1</w:t>
      </w:r>
    </w:p>
    <w:p w14:paraId="569963C1" w14:textId="349A3812" w:rsidR="008C7377" w:rsidRDefault="008659B7" w:rsidP="008C7377">
      <w:r>
        <w:t xml:space="preserve">Bei Patienten mit einem erhöhten Blutungsrisiko (siehe Tabelle 1) wird eine engmaschige Überwachung empfohlen (Anzeichen oder Symptome von Blutungen oder Anaemie), insbesondere bei Kombination von Risikofaktoren. Bei einem ungeklärten Abfall der Hämoglobin- und/oder </w:t>
      </w:r>
      <w:r>
        <w:lastRenderedPageBreak/>
        <w:t>Hämatokrit-Werte oder des</w:t>
      </w:r>
      <w:r w:rsidR="008C7377">
        <w:t xml:space="preserve"> Blutdrucks sollte nach einer Blutungsstelle gesucht werden. Eine Dosisanpassung sollte nach sorgfältiger Abschätzung des Therapienutzens für den einzelnen Patienten im Ermessen des Arztes erfolgen (siehe oben). Ein Gerinnungstest (siehe Abschnitt zu Gerinnungstests und deren Interpretation) kann dazu beitragen, Patienten zu identifizieren, die ein höheres Blutungsrisiko durch eine überhöhte Dabigatran-Exposition haben.</w:t>
      </w:r>
    </w:p>
    <w:p w14:paraId="5594BF80" w14:textId="1B65E042" w:rsidR="008C7377" w:rsidRDefault="008C7377" w:rsidP="008C7377">
      <w:r>
        <w:t>Bei Auftreten einer klinisch relevanten Blutung sollte die Behandlung unterbrochen werden.</w:t>
      </w:r>
    </w:p>
    <w:p w14:paraId="468369EA" w14:textId="6EF0D2F2" w:rsidR="008C7377" w:rsidRDefault="008C7377" w:rsidP="008C7377">
      <w:r>
        <w:t>Wenn in Situationen mit lebensbedrohlichen oder nicht beherrschbaren Blutungen eine rasche Aufhebung der antikoagulatorischen Wirkung von Dabigatran erforderlich ist, steht ein spezifisches Antidot (Idarucizumab) zur Verfügung.</w:t>
      </w:r>
    </w:p>
    <w:p w14:paraId="3A831CBC" w14:textId="77777777" w:rsidR="008C7377" w:rsidRDefault="008C7377" w:rsidP="008C7377"/>
    <w:p w14:paraId="46531AC0" w14:textId="332BFDBF" w:rsidR="008659B7" w:rsidRDefault="008C7377" w:rsidP="008C7377">
      <w:pPr>
        <w:rPr>
          <w:b/>
          <w:bCs/>
        </w:rPr>
      </w:pPr>
      <w:r w:rsidRPr="00864DFA">
        <w:rPr>
          <w:b/>
          <w:bCs/>
        </w:rPr>
        <w:t>Tabelle 1: Faktoren, die das Blutungsrisiko erhöhen können*</w:t>
      </w:r>
    </w:p>
    <w:tbl>
      <w:tblPr>
        <w:tblStyle w:val="Tabellenraster"/>
        <w:tblW w:w="0" w:type="auto"/>
        <w:tblLook w:val="04A0" w:firstRow="1" w:lastRow="0" w:firstColumn="1" w:lastColumn="0" w:noHBand="0" w:noVBand="1"/>
      </w:tblPr>
      <w:tblGrid>
        <w:gridCol w:w="4531"/>
        <w:gridCol w:w="4531"/>
      </w:tblGrid>
      <w:tr w:rsidR="00864DFA" w14:paraId="1B4B642D" w14:textId="77777777" w:rsidTr="00864DFA">
        <w:tc>
          <w:tcPr>
            <w:tcW w:w="4531" w:type="dxa"/>
          </w:tcPr>
          <w:p w14:paraId="50CF0685" w14:textId="6785A7D8" w:rsidR="00864DFA" w:rsidRDefault="00864DFA" w:rsidP="008C7377">
            <w:r w:rsidRPr="00864DFA">
              <w:t>Pharmakodynamische und pharmakokinetische Faktoren</w:t>
            </w:r>
          </w:p>
        </w:tc>
        <w:tc>
          <w:tcPr>
            <w:tcW w:w="4531" w:type="dxa"/>
          </w:tcPr>
          <w:p w14:paraId="313A0E82" w14:textId="408B5FF9" w:rsidR="00864DFA" w:rsidRDefault="00864DFA" w:rsidP="008C7377">
            <w:r w:rsidRPr="00864DFA">
              <w:t>Alter ≥ 75 Jahre</w:t>
            </w:r>
          </w:p>
        </w:tc>
      </w:tr>
      <w:tr w:rsidR="00864DFA" w14:paraId="25E1C848" w14:textId="77777777" w:rsidTr="00864DFA">
        <w:tc>
          <w:tcPr>
            <w:tcW w:w="4531" w:type="dxa"/>
          </w:tcPr>
          <w:p w14:paraId="364EC8BF" w14:textId="5A18C942" w:rsidR="00864DFA" w:rsidRDefault="00864DFA" w:rsidP="008C7377">
            <w:r w:rsidRPr="00864DFA">
              <w:t>Faktoren, die den Dabigatran- Plasmaspiegel erhöhen</w:t>
            </w:r>
          </w:p>
        </w:tc>
        <w:tc>
          <w:tcPr>
            <w:tcW w:w="4531" w:type="dxa"/>
          </w:tcPr>
          <w:p w14:paraId="7CC99DD4" w14:textId="77777777" w:rsidR="00864DFA" w:rsidRPr="0079187C" w:rsidRDefault="00864DFA" w:rsidP="00864DFA">
            <w:pPr>
              <w:rPr>
                <w:b/>
                <w:bCs/>
              </w:rPr>
            </w:pPr>
            <w:r w:rsidRPr="0079187C">
              <w:rPr>
                <w:b/>
                <w:bCs/>
              </w:rPr>
              <w:t>Erhebliche Risikofaktoren:</w:t>
            </w:r>
          </w:p>
          <w:p w14:paraId="5DB8C0E1" w14:textId="21339AA1" w:rsidR="00864DFA" w:rsidRDefault="00864DFA" w:rsidP="00864DFA">
            <w:r>
              <w:t>• Mäßig beeinträchtigte Nierenfunktion (CrCl† 30–50 ml/min)</w:t>
            </w:r>
          </w:p>
          <w:p w14:paraId="13CC631D" w14:textId="5E53558E" w:rsidR="00864DFA" w:rsidRDefault="00864DFA" w:rsidP="00864DFA">
            <w:r>
              <w:t>• Starke P-Glykoproteinhemmer (siehe Abschnitt Kontraindikation)</w:t>
            </w:r>
          </w:p>
          <w:p w14:paraId="23030E2D" w14:textId="47E1CF4B" w:rsidR="00864DFA" w:rsidRDefault="00864DFA" w:rsidP="00864DFA">
            <w:r>
              <w:t>• Gleichzeitige Behandlung mit leichten bis mäßigen P-Glykoproteinhemmern (z. B. Amio- daron, Verapamil, Chinidin und Ticagrelor</w:t>
            </w:r>
            <w:r w:rsidR="00B7496C">
              <w:t>)</w:t>
            </w:r>
          </w:p>
          <w:p w14:paraId="4743A87E" w14:textId="77777777" w:rsidR="00864DFA" w:rsidRPr="0079187C" w:rsidRDefault="00864DFA" w:rsidP="00864DFA">
            <w:pPr>
              <w:rPr>
                <w:b/>
                <w:bCs/>
              </w:rPr>
            </w:pPr>
            <w:r w:rsidRPr="0079187C">
              <w:rPr>
                <w:b/>
                <w:bCs/>
              </w:rPr>
              <w:t>Geringfügige Risikofaktoren:</w:t>
            </w:r>
          </w:p>
          <w:p w14:paraId="07781C49" w14:textId="15AE8548" w:rsidR="00864DFA" w:rsidRDefault="00864DFA" w:rsidP="00864DFA">
            <w:r>
              <w:t>• Niedriges Körpergewicht (&lt; 50 kg)</w:t>
            </w:r>
          </w:p>
        </w:tc>
      </w:tr>
      <w:tr w:rsidR="00A24445" w14:paraId="1F377FFD" w14:textId="77777777" w:rsidTr="00A24445">
        <w:tc>
          <w:tcPr>
            <w:tcW w:w="4531" w:type="dxa"/>
          </w:tcPr>
          <w:p w14:paraId="4C0F7274" w14:textId="5D51CCB9" w:rsidR="00A24445" w:rsidRDefault="00A24445" w:rsidP="008C7377">
            <w:r w:rsidRPr="00A24445">
              <w:t>Pharmakodynamische Wechselwirkungen</w:t>
            </w:r>
          </w:p>
        </w:tc>
        <w:tc>
          <w:tcPr>
            <w:tcW w:w="4531" w:type="dxa"/>
          </w:tcPr>
          <w:p w14:paraId="34E4FDD3" w14:textId="2224CEEC" w:rsidR="00A24445" w:rsidRDefault="00A24445" w:rsidP="00A24445">
            <w:r>
              <w:t>• Acetylsalicylsäure und andere Thrombozytenaggregationshemmer wie Clopidogrel</w:t>
            </w:r>
          </w:p>
          <w:p w14:paraId="4FEA62D7" w14:textId="29664DE9" w:rsidR="00A24445" w:rsidRDefault="00A24445" w:rsidP="00A24445">
            <w:r>
              <w:t>• NSAR</w:t>
            </w:r>
            <w:r w:rsidR="00855351">
              <w:t>†</w:t>
            </w:r>
          </w:p>
          <w:p w14:paraId="6DDEAE1D" w14:textId="18731724" w:rsidR="00A24445" w:rsidRDefault="00A24445" w:rsidP="00A24445">
            <w:r>
              <w:t>• SSRIs oder SNRIs†</w:t>
            </w:r>
          </w:p>
          <w:p w14:paraId="07A6A5E9" w14:textId="58F3B9A6" w:rsidR="00A24445" w:rsidRDefault="00A24445" w:rsidP="00A24445">
            <w:r>
              <w:t>• Weitere Arzneimittel, welche die Hämostase beeinträchtigen können</w:t>
            </w:r>
          </w:p>
        </w:tc>
      </w:tr>
      <w:tr w:rsidR="00A24445" w14:paraId="2A68F640" w14:textId="77777777" w:rsidTr="00A24445">
        <w:tc>
          <w:tcPr>
            <w:tcW w:w="4531" w:type="dxa"/>
          </w:tcPr>
          <w:p w14:paraId="2F35C40F" w14:textId="2BE299D8" w:rsidR="00A24445" w:rsidRDefault="00A24445" w:rsidP="008C7377">
            <w:r w:rsidRPr="00A24445">
              <w:t>Erkrankungen/Eingriffe mit besonderem Blutungsrisiko</w:t>
            </w:r>
          </w:p>
        </w:tc>
        <w:tc>
          <w:tcPr>
            <w:tcW w:w="4531" w:type="dxa"/>
          </w:tcPr>
          <w:p w14:paraId="5ED0F54B" w14:textId="5BCE4F0A" w:rsidR="00A24445" w:rsidRDefault="00A24445" w:rsidP="00A24445">
            <w:r>
              <w:t>• Angeborene oder erworbene Gerinnungsstörungen</w:t>
            </w:r>
          </w:p>
          <w:p w14:paraId="115F1C5C" w14:textId="1B3CAE85" w:rsidR="00A24445" w:rsidRDefault="00A24445" w:rsidP="00A24445">
            <w:r>
              <w:t>• Thrombozytopenie oder funktionelle Thrombozytendefekte</w:t>
            </w:r>
          </w:p>
          <w:p w14:paraId="08CFAE4C" w14:textId="5022EB9D" w:rsidR="00A24445" w:rsidRDefault="00A24445" w:rsidP="00A24445">
            <w:r>
              <w:t>• Kürzlich durchgeführte Biopsie oder kürzlich aufgetretenes schweres Trauma</w:t>
            </w:r>
          </w:p>
          <w:p w14:paraId="225E47EB" w14:textId="679725A4" w:rsidR="00A24445" w:rsidRDefault="00A24445" w:rsidP="00A24445">
            <w:r>
              <w:t>• Bakterielle Endokarditis</w:t>
            </w:r>
          </w:p>
          <w:p w14:paraId="3CAF414D" w14:textId="0EA6AC1D" w:rsidR="00A24445" w:rsidRDefault="00A24445" w:rsidP="00A24445">
            <w:r>
              <w:t>• Ösophagitis, Gastritis oder gastro-ösophagealer Reflux</w:t>
            </w:r>
          </w:p>
        </w:tc>
      </w:tr>
    </w:tbl>
    <w:p w14:paraId="26A5F4EE" w14:textId="784DEE72" w:rsidR="00265906" w:rsidRDefault="00265906" w:rsidP="00265906">
      <w:r>
        <w:t>* Für spezielle Patientenpopulationen, die eine reduzierte Dosis benötigen, siehe Abschnitt Dosierung.</w:t>
      </w:r>
    </w:p>
    <w:p w14:paraId="2E58BBB7" w14:textId="245A606C" w:rsidR="00A24445" w:rsidRDefault="00265906" w:rsidP="00265906">
      <w:r>
        <w:t xml:space="preserve">† CrCL: Kreatinin-Clearance; </w:t>
      </w:r>
      <w:r w:rsidR="00855351" w:rsidRPr="00B23689">
        <w:t>NSAR: nicht-steroidale Antirheumatika</w:t>
      </w:r>
      <w:r w:rsidR="00855351">
        <w:t xml:space="preserve">; </w:t>
      </w:r>
      <w:r>
        <w:t>SSRI: Selektive-Serotonin-Wiederaufnahmehemmer; SNRI: Serotonin-Noradrenalin-Wiederaufnahmehemmer.</w:t>
      </w:r>
    </w:p>
    <w:p w14:paraId="57392B08" w14:textId="5631A514" w:rsidR="00690BCB" w:rsidRDefault="00690BCB">
      <w:r>
        <w:br w:type="page"/>
      </w:r>
    </w:p>
    <w:p w14:paraId="41D1036E" w14:textId="7D48F117" w:rsidR="0079187C" w:rsidRPr="0079187C" w:rsidRDefault="0079187C" w:rsidP="008C7377">
      <w:pPr>
        <w:rPr>
          <w:b/>
          <w:bCs/>
          <w:sz w:val="28"/>
          <w:szCs w:val="28"/>
        </w:rPr>
      </w:pPr>
      <w:bookmarkStart w:id="5" w:name="_Toc137056311"/>
      <w:r w:rsidRPr="006D3808">
        <w:rPr>
          <w:rStyle w:val="berschrift1Zchn"/>
        </w:rPr>
        <w:lastRenderedPageBreak/>
        <w:t>Perioperatives Management der Antikoagulation</w:t>
      </w:r>
      <w:bookmarkEnd w:id="5"/>
      <w:r w:rsidRPr="0079187C">
        <w:rPr>
          <w:b/>
          <w:bCs/>
          <w:sz w:val="28"/>
          <w:szCs w:val="28"/>
          <w:vertAlign w:val="superscript"/>
        </w:rPr>
        <w:t>1</w:t>
      </w:r>
    </w:p>
    <w:p w14:paraId="670EF025" w14:textId="4F2AC2B4" w:rsidR="0079187C" w:rsidRDefault="0079187C" w:rsidP="00B8420D">
      <w:pPr>
        <w:rPr>
          <w:b/>
          <w:bCs/>
        </w:rPr>
      </w:pPr>
      <w:r w:rsidRPr="0079187C">
        <w:rPr>
          <w:b/>
          <w:bCs/>
        </w:rPr>
        <w:t>Chirurgische und invasive interventionelle Eingriffe</w:t>
      </w:r>
    </w:p>
    <w:p w14:paraId="23E7112A" w14:textId="7255F7C3" w:rsidR="00B8420D" w:rsidRDefault="00B8420D" w:rsidP="00B8420D">
      <w:r>
        <w:t>Bei Patienten, die sich einem chirurgischen oder invasiven Eingriff unterziehen müssen, besteht ein erhöhtes Blutungsrisiko. Daher ist in diesen Fällen möglicherweise ein vorübergehendes Absetzen von Dabigatranetexilat erforderlich.</w:t>
      </w:r>
    </w:p>
    <w:p w14:paraId="3A1B78B4" w14:textId="1919E178" w:rsidR="00B8420D" w:rsidRDefault="00B8420D" w:rsidP="00B8420D">
      <w:r>
        <w:t>Bei Patienten mit Niereninsuffizienz kann die Dabigatran-Clearance verlängert sein. Dies sollte stets bei der Planung eines Eingriffs im Vorfeld berücksichtigt werden.</w:t>
      </w:r>
    </w:p>
    <w:p w14:paraId="4AF255F3" w14:textId="77777777" w:rsidR="00B8420D" w:rsidRDefault="00B8420D" w:rsidP="00B8420D"/>
    <w:p w14:paraId="4DD82CD5" w14:textId="77777777" w:rsidR="00B8420D" w:rsidRPr="00B8420D" w:rsidRDefault="00B8420D" w:rsidP="00B8420D">
      <w:pPr>
        <w:rPr>
          <w:b/>
          <w:bCs/>
        </w:rPr>
      </w:pPr>
      <w:r w:rsidRPr="00B8420D">
        <w:rPr>
          <w:b/>
          <w:bCs/>
        </w:rPr>
        <w:t>Notfalloperationen oder dringende Eingriffe</w:t>
      </w:r>
    </w:p>
    <w:p w14:paraId="793CD43F" w14:textId="36FED947" w:rsidR="00B8420D" w:rsidRDefault="00B8420D" w:rsidP="00B8420D">
      <w:r>
        <w:t>Die Anwendung von Dabigatranetexilat sollte vorübergehend unterbrochen werden. Wenn eine rasche Aufhebung der antikoagulatorischen Wirkung erforderlich ist, steht ein spezifisches Antidot (Idarucizumab) für Dabigatranetexilat zur Verfügung.</w:t>
      </w:r>
    </w:p>
    <w:p w14:paraId="2DA7722B" w14:textId="77777777" w:rsidR="00B8420D" w:rsidRDefault="00B8420D" w:rsidP="00B8420D">
      <w:r>
        <w:t>Durch die Aufhebung der Dabigatran-Therapie werden die Patienten dem thrombotischen Risiko ihrer Grunderkrankung ausgesetzt. Die Behandlung mit Dabigatranetexilat kann 24 Stunden nach Anwendung von Idarucizumab wieder aufgenommen werden, wenn der Patient klinisch stabil ist und eine ausreichende Hämostase erzielt wurde.</w:t>
      </w:r>
    </w:p>
    <w:p w14:paraId="0BD3AA13" w14:textId="77777777" w:rsidR="00B8420D" w:rsidRDefault="00B8420D" w:rsidP="00B8420D"/>
    <w:p w14:paraId="52305532" w14:textId="77777777" w:rsidR="00B8420D" w:rsidRPr="00B8420D" w:rsidRDefault="00B8420D" w:rsidP="00B8420D">
      <w:pPr>
        <w:rPr>
          <w:b/>
          <w:bCs/>
        </w:rPr>
      </w:pPr>
      <w:r w:rsidRPr="00B8420D">
        <w:rPr>
          <w:b/>
          <w:bCs/>
        </w:rPr>
        <w:t>Subakute chirurgische Eingriffe / Operationen</w:t>
      </w:r>
    </w:p>
    <w:p w14:paraId="4E0069C7" w14:textId="5D8F8A80" w:rsidR="00265906" w:rsidRDefault="00B8420D" w:rsidP="00B8420D">
      <w:r>
        <w:t>Die Anwendung von Dabigatranetexilat sollte vorübergehend unterbrochen werden. Ein Eingriff sollte, wenn möglich, frühestens 12 Stunden nach der letzten Dosis erfolgen. Wenn der Eingriff nicht verschoben werden kann, kann ein erhöhtes Blutungsrisiko bestehen. Das Blutungsrisiko und die Dringlichkeit des Eingriffs sollten gegeneinander abgewogen werden.</w:t>
      </w:r>
    </w:p>
    <w:p w14:paraId="06A69DB5" w14:textId="40FCCD18" w:rsidR="00B8420D" w:rsidRDefault="00B8420D" w:rsidP="008C7377"/>
    <w:p w14:paraId="69682E99" w14:textId="77777777" w:rsidR="00B8420D" w:rsidRPr="00B8420D" w:rsidRDefault="00B8420D" w:rsidP="00B8420D">
      <w:pPr>
        <w:rPr>
          <w:b/>
          <w:bCs/>
        </w:rPr>
      </w:pPr>
      <w:r w:rsidRPr="00B8420D">
        <w:rPr>
          <w:b/>
          <w:bCs/>
        </w:rPr>
        <w:t>Elektive Operationen</w:t>
      </w:r>
    </w:p>
    <w:p w14:paraId="5CD08A28" w14:textId="06131954" w:rsidR="00B8420D" w:rsidRDefault="00B8420D" w:rsidP="00B8420D">
      <w:r>
        <w:t>Dabigatranetexilat sollte, wenn möglich, mindestens 24 Stunden vor einem invasiven oder chirurgischen Eingriff abgesetzt werden. Bei Patienten mit einem höheren Blutungsrisiko oder bei größeren Eingriffen, bei denen eine komplette Blutstillung erforderlich ist, kann es notwendig sein, die Anwendung von Dabigatranetexilat 2–4 Tage vor dem Eingriff zu beenden. Die Absetzregeln sind in Tabelle 2 beschrieben.</w:t>
      </w:r>
    </w:p>
    <w:p w14:paraId="11E29727" w14:textId="77777777" w:rsidR="00657EB2" w:rsidRDefault="00657EB2" w:rsidP="00B8420D"/>
    <w:p w14:paraId="25BF600B" w14:textId="5B9C2FCC" w:rsidR="00657EB2" w:rsidRPr="00657EB2" w:rsidRDefault="00657EB2" w:rsidP="00B8420D">
      <w:pPr>
        <w:rPr>
          <w:b/>
          <w:bCs/>
        </w:rPr>
      </w:pPr>
      <w:r w:rsidRPr="00657EB2">
        <w:rPr>
          <w:b/>
          <w:bCs/>
        </w:rPr>
        <w:t>Tabelle 2: Absetzregeln vor invasiven oder chirurgischen Eingriffen</w:t>
      </w:r>
    </w:p>
    <w:tbl>
      <w:tblPr>
        <w:tblStyle w:val="Tabellenraster"/>
        <w:tblW w:w="0" w:type="auto"/>
        <w:tblLook w:val="04A0" w:firstRow="1" w:lastRow="0" w:firstColumn="1" w:lastColumn="0" w:noHBand="0" w:noVBand="1"/>
      </w:tblPr>
      <w:tblGrid>
        <w:gridCol w:w="2265"/>
        <w:gridCol w:w="2265"/>
        <w:gridCol w:w="2266"/>
        <w:gridCol w:w="2266"/>
      </w:tblGrid>
      <w:tr w:rsidR="0080482C" w14:paraId="6CED9BAA" w14:textId="77777777" w:rsidTr="00B34859">
        <w:tc>
          <w:tcPr>
            <w:tcW w:w="2265" w:type="dxa"/>
          </w:tcPr>
          <w:p w14:paraId="7EC96671" w14:textId="5F667D2A" w:rsidR="0080482C" w:rsidRDefault="0080482C" w:rsidP="008C7377">
            <w:r w:rsidRPr="0022558B">
              <w:rPr>
                <w:rFonts w:cstheme="minorHAnsi"/>
                <w:spacing w:val="-2"/>
              </w:rPr>
              <w:t xml:space="preserve">Nierenfunktion </w:t>
            </w:r>
            <w:r w:rsidRPr="0022558B">
              <w:rPr>
                <w:rFonts w:cstheme="minorHAnsi"/>
                <w:spacing w:val="-6"/>
              </w:rPr>
              <w:t>(CrCl</w:t>
            </w:r>
            <w:r w:rsidRPr="0022558B">
              <w:rPr>
                <w:rFonts w:cstheme="minorHAnsi"/>
                <w:spacing w:val="-12"/>
              </w:rPr>
              <w:t xml:space="preserve"> </w:t>
            </w:r>
            <w:r w:rsidRPr="0022558B">
              <w:rPr>
                <w:rFonts w:cstheme="minorHAnsi"/>
                <w:spacing w:val="-6"/>
              </w:rPr>
              <w:t>in</w:t>
            </w:r>
            <w:r w:rsidRPr="0022558B">
              <w:rPr>
                <w:rFonts w:cstheme="minorHAnsi"/>
                <w:spacing w:val="-12"/>
              </w:rPr>
              <w:t xml:space="preserve"> </w:t>
            </w:r>
            <w:r w:rsidRPr="0022558B">
              <w:rPr>
                <w:rFonts w:cstheme="minorHAnsi"/>
                <w:spacing w:val="-6"/>
              </w:rPr>
              <w:t>ml/min)</w:t>
            </w:r>
          </w:p>
        </w:tc>
        <w:tc>
          <w:tcPr>
            <w:tcW w:w="2265" w:type="dxa"/>
          </w:tcPr>
          <w:p w14:paraId="0F6BEFEB" w14:textId="30C16C7B" w:rsidR="0080482C" w:rsidRDefault="0080482C" w:rsidP="008C7377">
            <w:r w:rsidRPr="0022558B">
              <w:rPr>
                <w:rFonts w:cstheme="minorHAnsi"/>
                <w:spacing w:val="-2"/>
              </w:rPr>
              <w:t xml:space="preserve">Geschätzte </w:t>
            </w:r>
            <w:r w:rsidRPr="0022558B">
              <w:rPr>
                <w:rFonts w:cstheme="minorHAnsi"/>
                <w:spacing w:val="-2"/>
                <w:w w:val="90"/>
              </w:rPr>
              <w:t xml:space="preserve">Halbwertszeit </w:t>
            </w:r>
            <w:r w:rsidRPr="0022558B">
              <w:rPr>
                <w:rFonts w:cstheme="minorHAnsi"/>
                <w:spacing w:val="-2"/>
              </w:rPr>
              <w:t>(Stunden)</w:t>
            </w:r>
          </w:p>
        </w:tc>
        <w:tc>
          <w:tcPr>
            <w:tcW w:w="4532" w:type="dxa"/>
            <w:gridSpan w:val="2"/>
          </w:tcPr>
          <w:p w14:paraId="3723A13E" w14:textId="4A9DEC12" w:rsidR="0080482C" w:rsidRDefault="0080482C" w:rsidP="008C7377">
            <w:r w:rsidRPr="0022558B">
              <w:rPr>
                <w:rFonts w:cstheme="minorHAnsi"/>
                <w:spacing w:val="-6"/>
              </w:rPr>
              <w:t>Zeitpunkt</w:t>
            </w:r>
            <w:r w:rsidRPr="0022558B">
              <w:rPr>
                <w:rFonts w:cstheme="minorHAnsi"/>
                <w:spacing w:val="-8"/>
              </w:rPr>
              <w:t xml:space="preserve"> </w:t>
            </w:r>
            <w:r w:rsidRPr="0022558B">
              <w:rPr>
                <w:rFonts w:cstheme="minorHAnsi"/>
                <w:spacing w:val="-6"/>
              </w:rPr>
              <w:t>für</w:t>
            </w:r>
            <w:r w:rsidRPr="0022558B">
              <w:rPr>
                <w:rFonts w:cstheme="minorHAnsi"/>
                <w:spacing w:val="-8"/>
              </w:rPr>
              <w:t xml:space="preserve"> </w:t>
            </w:r>
            <w:r w:rsidRPr="0022558B">
              <w:rPr>
                <w:rFonts w:cstheme="minorHAnsi"/>
                <w:spacing w:val="-6"/>
              </w:rPr>
              <w:t>das</w:t>
            </w:r>
            <w:r w:rsidRPr="0022558B">
              <w:rPr>
                <w:rFonts w:cstheme="minorHAnsi"/>
                <w:spacing w:val="-8"/>
              </w:rPr>
              <w:t xml:space="preserve"> </w:t>
            </w:r>
            <w:r w:rsidRPr="0022558B">
              <w:rPr>
                <w:rFonts w:cstheme="minorHAnsi"/>
                <w:spacing w:val="-6"/>
              </w:rPr>
              <w:t xml:space="preserve">Absetzen </w:t>
            </w:r>
            <w:r w:rsidRPr="0022558B">
              <w:rPr>
                <w:rFonts w:cstheme="minorHAnsi"/>
              </w:rPr>
              <w:t>von</w:t>
            </w:r>
            <w:r w:rsidRPr="0022558B">
              <w:rPr>
                <w:rFonts w:cstheme="minorHAnsi"/>
                <w:spacing w:val="-12"/>
              </w:rPr>
              <w:t xml:space="preserve"> </w:t>
            </w:r>
            <w:r w:rsidRPr="0022558B">
              <w:rPr>
                <w:rFonts w:cstheme="minorHAnsi"/>
              </w:rPr>
              <w:t>Dabigatran</w:t>
            </w:r>
            <w:r w:rsidRPr="0022558B">
              <w:rPr>
                <w:rFonts w:cstheme="minorHAnsi"/>
                <w:spacing w:val="-12"/>
              </w:rPr>
              <w:t xml:space="preserve"> </w:t>
            </w:r>
            <w:r w:rsidRPr="0022558B">
              <w:rPr>
                <w:rFonts w:cstheme="minorHAnsi"/>
              </w:rPr>
              <w:t>vor</w:t>
            </w:r>
            <w:r w:rsidRPr="0022558B">
              <w:rPr>
                <w:rFonts w:cstheme="minorHAnsi"/>
                <w:spacing w:val="-12"/>
              </w:rPr>
              <w:t xml:space="preserve"> </w:t>
            </w:r>
            <w:r w:rsidRPr="0022558B">
              <w:rPr>
                <w:rFonts w:cstheme="minorHAnsi"/>
              </w:rPr>
              <w:t>einem elektiven Eingriff</w:t>
            </w:r>
          </w:p>
        </w:tc>
      </w:tr>
      <w:tr w:rsidR="00B8420D" w14:paraId="7893D1A8" w14:textId="77777777" w:rsidTr="00B8420D">
        <w:tc>
          <w:tcPr>
            <w:tcW w:w="2265" w:type="dxa"/>
          </w:tcPr>
          <w:p w14:paraId="7279C848" w14:textId="77777777" w:rsidR="00B8420D" w:rsidRDefault="00B8420D" w:rsidP="008C7377"/>
        </w:tc>
        <w:tc>
          <w:tcPr>
            <w:tcW w:w="2265" w:type="dxa"/>
          </w:tcPr>
          <w:p w14:paraId="4505785A" w14:textId="77777777" w:rsidR="00B8420D" w:rsidRDefault="00B8420D" w:rsidP="008C7377"/>
        </w:tc>
        <w:tc>
          <w:tcPr>
            <w:tcW w:w="2266" w:type="dxa"/>
          </w:tcPr>
          <w:p w14:paraId="7DE6FAD2" w14:textId="213EBBDC" w:rsidR="00B8420D" w:rsidRDefault="0080482C" w:rsidP="008C7377">
            <w:r w:rsidRPr="0022558B">
              <w:rPr>
                <w:rFonts w:cstheme="minorHAnsi"/>
                <w:spacing w:val="-6"/>
              </w:rPr>
              <w:t>Hohes</w:t>
            </w:r>
            <w:r w:rsidRPr="0022558B">
              <w:rPr>
                <w:rFonts w:cstheme="minorHAnsi"/>
                <w:spacing w:val="-12"/>
              </w:rPr>
              <w:t xml:space="preserve"> </w:t>
            </w:r>
            <w:r w:rsidRPr="0022558B">
              <w:rPr>
                <w:rFonts w:cstheme="minorHAnsi"/>
                <w:spacing w:val="-6"/>
              </w:rPr>
              <w:t>Blutungs</w:t>
            </w:r>
            <w:r w:rsidRPr="0022558B">
              <w:rPr>
                <w:rFonts w:cstheme="minorHAnsi"/>
              </w:rPr>
              <w:t xml:space="preserve">risiko oder </w:t>
            </w:r>
            <w:r w:rsidRPr="0022558B">
              <w:rPr>
                <w:rFonts w:cstheme="minorHAnsi"/>
                <w:w w:val="90"/>
              </w:rPr>
              <w:t>größerer Eingriff</w:t>
            </w:r>
          </w:p>
        </w:tc>
        <w:tc>
          <w:tcPr>
            <w:tcW w:w="2266" w:type="dxa"/>
          </w:tcPr>
          <w:p w14:paraId="21313A3C" w14:textId="597F53CD" w:rsidR="00B8420D" w:rsidRDefault="0080482C" w:rsidP="008C7377">
            <w:r w:rsidRPr="0022558B">
              <w:rPr>
                <w:rFonts w:cstheme="minorHAnsi"/>
                <w:spacing w:val="-2"/>
              </w:rPr>
              <w:t>Normales Risiko</w:t>
            </w:r>
          </w:p>
        </w:tc>
      </w:tr>
      <w:tr w:rsidR="00B8420D" w14:paraId="546DF340" w14:textId="77777777" w:rsidTr="00B8420D">
        <w:tc>
          <w:tcPr>
            <w:tcW w:w="2265" w:type="dxa"/>
          </w:tcPr>
          <w:p w14:paraId="59DF0D45" w14:textId="6E5ACB23" w:rsidR="00B8420D" w:rsidRDefault="0080482C" w:rsidP="008C7377">
            <w:r w:rsidRPr="0080482C">
              <w:t>≥ 80</w:t>
            </w:r>
          </w:p>
        </w:tc>
        <w:tc>
          <w:tcPr>
            <w:tcW w:w="2265" w:type="dxa"/>
          </w:tcPr>
          <w:p w14:paraId="5D0CF7FE" w14:textId="547CF136" w:rsidR="00B8420D" w:rsidRDefault="0080482C" w:rsidP="008C7377">
            <w:r>
              <w:rPr>
                <w:rFonts w:cstheme="minorHAnsi"/>
              </w:rPr>
              <w:t>̴</w:t>
            </w:r>
            <w:r>
              <w:t>13</w:t>
            </w:r>
          </w:p>
        </w:tc>
        <w:tc>
          <w:tcPr>
            <w:tcW w:w="2266" w:type="dxa"/>
          </w:tcPr>
          <w:p w14:paraId="5592A2A4" w14:textId="1BF0E7DF" w:rsidR="00B8420D" w:rsidRDefault="00A6258C" w:rsidP="008C7377">
            <w:r w:rsidRPr="0022558B">
              <w:rPr>
                <w:rFonts w:cstheme="minorHAnsi"/>
              </w:rPr>
              <w:t>2</w:t>
            </w:r>
            <w:r w:rsidRPr="0022558B">
              <w:rPr>
                <w:rFonts w:cstheme="minorHAnsi"/>
                <w:spacing w:val="-15"/>
              </w:rPr>
              <w:t xml:space="preserve"> </w:t>
            </w:r>
            <w:r w:rsidRPr="0022558B">
              <w:rPr>
                <w:rFonts w:cstheme="minorHAnsi"/>
              </w:rPr>
              <w:t>Tage</w:t>
            </w:r>
            <w:r w:rsidRPr="0022558B">
              <w:rPr>
                <w:rFonts w:cstheme="minorHAnsi"/>
                <w:spacing w:val="-15"/>
              </w:rPr>
              <w:t xml:space="preserve"> </w:t>
            </w:r>
            <w:r w:rsidRPr="0022558B">
              <w:rPr>
                <w:rFonts w:cstheme="minorHAnsi"/>
                <w:spacing w:val="-2"/>
              </w:rPr>
              <w:t>vorher</w:t>
            </w:r>
          </w:p>
        </w:tc>
        <w:tc>
          <w:tcPr>
            <w:tcW w:w="2266" w:type="dxa"/>
          </w:tcPr>
          <w:p w14:paraId="75763F79" w14:textId="3EE8D3BE" w:rsidR="00B8420D" w:rsidRDefault="00A6258C" w:rsidP="008C7377">
            <w:r w:rsidRPr="0022558B">
              <w:rPr>
                <w:rFonts w:cstheme="minorHAnsi"/>
                <w:spacing w:val="-2"/>
              </w:rPr>
              <w:t>24</w:t>
            </w:r>
            <w:r w:rsidRPr="0022558B">
              <w:rPr>
                <w:rFonts w:cstheme="minorHAnsi"/>
                <w:spacing w:val="-15"/>
              </w:rPr>
              <w:t xml:space="preserve"> </w:t>
            </w:r>
            <w:r w:rsidRPr="0022558B">
              <w:rPr>
                <w:rFonts w:cstheme="minorHAnsi"/>
                <w:spacing w:val="-2"/>
              </w:rPr>
              <w:t>Stunden vorher</w:t>
            </w:r>
          </w:p>
        </w:tc>
      </w:tr>
      <w:tr w:rsidR="00B8420D" w14:paraId="26666153" w14:textId="77777777" w:rsidTr="00B8420D">
        <w:tc>
          <w:tcPr>
            <w:tcW w:w="2265" w:type="dxa"/>
          </w:tcPr>
          <w:p w14:paraId="1919C67A" w14:textId="2B441498" w:rsidR="00B8420D" w:rsidRDefault="0080482C" w:rsidP="008C7377">
            <w:r w:rsidRPr="0080482C">
              <w:t>≥ 50 bis &lt; 80</w:t>
            </w:r>
          </w:p>
        </w:tc>
        <w:tc>
          <w:tcPr>
            <w:tcW w:w="2265" w:type="dxa"/>
          </w:tcPr>
          <w:p w14:paraId="0CE00333" w14:textId="1FE48825" w:rsidR="00B8420D" w:rsidRDefault="0080482C" w:rsidP="008C7377">
            <w:r>
              <w:rPr>
                <w:rFonts w:cstheme="minorHAnsi"/>
              </w:rPr>
              <w:t>̴</w:t>
            </w:r>
            <w:r>
              <w:t>15</w:t>
            </w:r>
          </w:p>
        </w:tc>
        <w:tc>
          <w:tcPr>
            <w:tcW w:w="2266" w:type="dxa"/>
          </w:tcPr>
          <w:p w14:paraId="08E77CF2" w14:textId="361CCFE6" w:rsidR="00B8420D" w:rsidRDefault="00A6258C" w:rsidP="008C7377">
            <w:r w:rsidRPr="00A6258C">
              <w:rPr>
                <w:rFonts w:cstheme="minorHAnsi"/>
              </w:rPr>
              <w:t>2–3 Tage vorher</w:t>
            </w:r>
          </w:p>
        </w:tc>
        <w:tc>
          <w:tcPr>
            <w:tcW w:w="2266" w:type="dxa"/>
          </w:tcPr>
          <w:p w14:paraId="33B0F2FB" w14:textId="4263D0BC" w:rsidR="00B8420D" w:rsidRDefault="00A6258C" w:rsidP="008C7377">
            <w:r w:rsidRPr="0022558B">
              <w:rPr>
                <w:rFonts w:cstheme="minorHAnsi"/>
              </w:rPr>
              <w:t>1–2</w:t>
            </w:r>
            <w:r w:rsidRPr="0022558B">
              <w:rPr>
                <w:rFonts w:cstheme="minorHAnsi"/>
                <w:spacing w:val="-11"/>
              </w:rPr>
              <w:t xml:space="preserve"> </w:t>
            </w:r>
            <w:r w:rsidRPr="0022558B">
              <w:rPr>
                <w:rFonts w:cstheme="minorHAnsi"/>
              </w:rPr>
              <w:t>Tage</w:t>
            </w:r>
            <w:r w:rsidRPr="0022558B">
              <w:rPr>
                <w:rFonts w:cstheme="minorHAnsi"/>
                <w:spacing w:val="-10"/>
              </w:rPr>
              <w:t xml:space="preserve"> </w:t>
            </w:r>
            <w:r w:rsidRPr="0022558B">
              <w:rPr>
                <w:rFonts w:cstheme="minorHAnsi"/>
                <w:spacing w:val="-2"/>
              </w:rPr>
              <w:t>vorher</w:t>
            </w:r>
          </w:p>
        </w:tc>
      </w:tr>
      <w:tr w:rsidR="00B8420D" w14:paraId="33113B30" w14:textId="77777777" w:rsidTr="00B8420D">
        <w:tc>
          <w:tcPr>
            <w:tcW w:w="2265" w:type="dxa"/>
          </w:tcPr>
          <w:p w14:paraId="40B07456" w14:textId="792827B9" w:rsidR="00B8420D" w:rsidRDefault="0080482C" w:rsidP="008C7377">
            <w:r w:rsidRPr="0080482C">
              <w:t>≥ 30 bis &lt; 50</w:t>
            </w:r>
          </w:p>
        </w:tc>
        <w:tc>
          <w:tcPr>
            <w:tcW w:w="2265" w:type="dxa"/>
          </w:tcPr>
          <w:p w14:paraId="4C6BD026" w14:textId="1D47B29C" w:rsidR="00B8420D" w:rsidRDefault="0080482C" w:rsidP="008C7377">
            <w:r>
              <w:rPr>
                <w:rFonts w:cstheme="minorHAnsi"/>
              </w:rPr>
              <w:t>̴</w:t>
            </w:r>
            <w:r>
              <w:t>18</w:t>
            </w:r>
          </w:p>
        </w:tc>
        <w:tc>
          <w:tcPr>
            <w:tcW w:w="2266" w:type="dxa"/>
          </w:tcPr>
          <w:p w14:paraId="5F1D1187" w14:textId="271C23CD" w:rsidR="00B8420D" w:rsidRDefault="00A6258C" w:rsidP="008C7377">
            <w:r w:rsidRPr="0022558B">
              <w:rPr>
                <w:rFonts w:cstheme="minorHAnsi"/>
              </w:rPr>
              <w:t>4</w:t>
            </w:r>
            <w:r w:rsidRPr="0022558B">
              <w:rPr>
                <w:rFonts w:cstheme="minorHAnsi"/>
                <w:spacing w:val="-15"/>
              </w:rPr>
              <w:t xml:space="preserve"> </w:t>
            </w:r>
            <w:r w:rsidRPr="0022558B">
              <w:rPr>
                <w:rFonts w:cstheme="minorHAnsi"/>
              </w:rPr>
              <w:t>Tage</w:t>
            </w:r>
            <w:r w:rsidRPr="0022558B">
              <w:rPr>
                <w:rFonts w:cstheme="minorHAnsi"/>
                <w:spacing w:val="-15"/>
              </w:rPr>
              <w:t xml:space="preserve"> </w:t>
            </w:r>
            <w:r w:rsidRPr="0022558B">
              <w:rPr>
                <w:rFonts w:cstheme="minorHAnsi"/>
                <w:spacing w:val="-2"/>
              </w:rPr>
              <w:t>vorher</w:t>
            </w:r>
          </w:p>
        </w:tc>
        <w:tc>
          <w:tcPr>
            <w:tcW w:w="2266" w:type="dxa"/>
          </w:tcPr>
          <w:p w14:paraId="4DEDA142" w14:textId="77777777" w:rsidR="00A6258C" w:rsidRPr="0022558B" w:rsidRDefault="00A6258C" w:rsidP="00A6258C">
            <w:pPr>
              <w:pStyle w:val="TableParagraph"/>
              <w:spacing w:before="45" w:line="248" w:lineRule="exact"/>
              <w:ind w:left="0"/>
              <w:rPr>
                <w:rFonts w:asciiTheme="minorHAnsi" w:hAnsiTheme="minorHAnsi" w:cstheme="minorHAnsi"/>
              </w:rPr>
            </w:pPr>
            <w:r w:rsidRPr="0022558B">
              <w:rPr>
                <w:rFonts w:asciiTheme="minorHAnsi" w:hAnsiTheme="minorHAnsi" w:cstheme="minorHAnsi"/>
              </w:rPr>
              <w:t>2–3</w:t>
            </w:r>
            <w:r w:rsidRPr="0022558B">
              <w:rPr>
                <w:rFonts w:asciiTheme="minorHAnsi" w:hAnsiTheme="minorHAnsi" w:cstheme="minorHAnsi"/>
                <w:spacing w:val="-5"/>
              </w:rPr>
              <w:t xml:space="preserve"> </w:t>
            </w:r>
            <w:r w:rsidRPr="0022558B">
              <w:rPr>
                <w:rFonts w:asciiTheme="minorHAnsi" w:hAnsiTheme="minorHAnsi" w:cstheme="minorHAnsi"/>
              </w:rPr>
              <w:t>Tage</w:t>
            </w:r>
            <w:r w:rsidRPr="0022558B">
              <w:rPr>
                <w:rFonts w:asciiTheme="minorHAnsi" w:hAnsiTheme="minorHAnsi" w:cstheme="minorHAnsi"/>
                <w:spacing w:val="-5"/>
              </w:rPr>
              <w:t xml:space="preserve"> </w:t>
            </w:r>
            <w:r w:rsidRPr="0022558B">
              <w:rPr>
                <w:rFonts w:asciiTheme="minorHAnsi" w:hAnsiTheme="minorHAnsi" w:cstheme="minorHAnsi"/>
                <w:spacing w:val="-2"/>
              </w:rPr>
              <w:t>vorher</w:t>
            </w:r>
          </w:p>
          <w:p w14:paraId="79364C12" w14:textId="30504229" w:rsidR="00B8420D" w:rsidRDefault="00A6258C" w:rsidP="00A6258C">
            <w:r w:rsidRPr="0022558B">
              <w:rPr>
                <w:rFonts w:cstheme="minorHAnsi"/>
                <w:spacing w:val="-6"/>
              </w:rPr>
              <w:t>(&gt;</w:t>
            </w:r>
            <w:r w:rsidRPr="0022558B">
              <w:rPr>
                <w:rFonts w:cstheme="minorHAnsi"/>
                <w:spacing w:val="-11"/>
              </w:rPr>
              <w:t xml:space="preserve"> </w:t>
            </w:r>
            <w:r w:rsidRPr="0022558B">
              <w:rPr>
                <w:rFonts w:cstheme="minorHAnsi"/>
                <w:spacing w:val="-6"/>
              </w:rPr>
              <w:t>48</w:t>
            </w:r>
            <w:r w:rsidRPr="0022558B">
              <w:rPr>
                <w:rFonts w:cstheme="minorHAnsi"/>
                <w:spacing w:val="-11"/>
              </w:rPr>
              <w:t xml:space="preserve"> </w:t>
            </w:r>
            <w:r w:rsidRPr="0022558B">
              <w:rPr>
                <w:rFonts w:cstheme="minorHAnsi"/>
                <w:spacing w:val="-6"/>
              </w:rPr>
              <w:t>Stunden)</w:t>
            </w:r>
          </w:p>
        </w:tc>
      </w:tr>
    </w:tbl>
    <w:p w14:paraId="3D54EF3B" w14:textId="7E6A7848" w:rsidR="00B8420D" w:rsidRDefault="00B8420D" w:rsidP="008C7377"/>
    <w:p w14:paraId="7F054A4B" w14:textId="77777777" w:rsidR="00657EB2" w:rsidRPr="00657EB2" w:rsidRDefault="00657EB2" w:rsidP="00657EB2">
      <w:pPr>
        <w:rPr>
          <w:b/>
          <w:bCs/>
        </w:rPr>
      </w:pPr>
      <w:r w:rsidRPr="00657EB2">
        <w:rPr>
          <w:b/>
          <w:bCs/>
        </w:rPr>
        <w:lastRenderedPageBreak/>
        <w:t>Spinalanästhesie / Epiduralanästhesie / Lumbalpunktion</w:t>
      </w:r>
    </w:p>
    <w:p w14:paraId="559557CB" w14:textId="749196FF" w:rsidR="00B8420D" w:rsidRDefault="00657EB2" w:rsidP="00657EB2">
      <w:r>
        <w:t>Das Risiko von Spinal- oder Epiduralhämatomen kann bei traumatischer oder wiederholter Punktion und bei längerem Einsatz von Epiduralkathetern erhöht sein. Nach dem Entfernen eines Katheters sollte bis zur Einnahme der ersten Dabigatranetexilat</w:t>
      </w:r>
      <w:r w:rsidR="00B37229">
        <w:t>-</w:t>
      </w:r>
      <w:r>
        <w:t xml:space="preserve">Dosis ein Abstand von mindestens 2 Stunden eingehalten werden. Bei diesen </w:t>
      </w:r>
      <w:r w:rsidRPr="0022558B">
        <w:rPr>
          <w:rFonts w:cstheme="minorHAnsi"/>
          <w:spacing w:val="-2"/>
        </w:rPr>
        <w:t>Patienten</w:t>
      </w:r>
      <w:r w:rsidRPr="0022558B">
        <w:rPr>
          <w:rFonts w:cstheme="minorHAnsi"/>
          <w:spacing w:val="-11"/>
        </w:rPr>
        <w:t xml:space="preserve"> </w:t>
      </w:r>
      <w:r w:rsidRPr="0022558B">
        <w:rPr>
          <w:rFonts w:cstheme="minorHAnsi"/>
          <w:spacing w:val="-2"/>
        </w:rPr>
        <w:t>sind</w:t>
      </w:r>
      <w:r w:rsidRPr="0022558B">
        <w:rPr>
          <w:rFonts w:cstheme="minorHAnsi"/>
          <w:spacing w:val="-11"/>
        </w:rPr>
        <w:t xml:space="preserve"> </w:t>
      </w:r>
      <w:r w:rsidRPr="0022558B">
        <w:rPr>
          <w:rFonts w:cstheme="minorHAnsi"/>
          <w:spacing w:val="-2"/>
        </w:rPr>
        <w:t>häufige</w:t>
      </w:r>
      <w:r w:rsidRPr="0022558B">
        <w:rPr>
          <w:rFonts w:cstheme="minorHAnsi"/>
          <w:spacing w:val="-11"/>
        </w:rPr>
        <w:t xml:space="preserve"> </w:t>
      </w:r>
      <w:r w:rsidRPr="0022558B">
        <w:rPr>
          <w:rFonts w:cstheme="minorHAnsi"/>
          <w:spacing w:val="-2"/>
        </w:rPr>
        <w:t>Kontrollen</w:t>
      </w:r>
      <w:r w:rsidRPr="0022558B">
        <w:rPr>
          <w:rFonts w:cstheme="minorHAnsi"/>
          <w:spacing w:val="-11"/>
        </w:rPr>
        <w:t xml:space="preserve"> </w:t>
      </w:r>
      <w:r w:rsidRPr="0022558B">
        <w:rPr>
          <w:rFonts w:cstheme="minorHAnsi"/>
          <w:spacing w:val="-2"/>
        </w:rPr>
        <w:t>auf</w:t>
      </w:r>
      <w:r w:rsidRPr="0022558B">
        <w:rPr>
          <w:rFonts w:cstheme="minorHAnsi"/>
          <w:spacing w:val="-11"/>
        </w:rPr>
        <w:t xml:space="preserve"> </w:t>
      </w:r>
      <w:r w:rsidRPr="0022558B">
        <w:rPr>
          <w:rFonts w:cstheme="minorHAnsi"/>
          <w:spacing w:val="-2"/>
        </w:rPr>
        <w:t>neurologische</w:t>
      </w:r>
      <w:r w:rsidRPr="0022558B">
        <w:rPr>
          <w:rFonts w:cstheme="minorHAnsi"/>
          <w:spacing w:val="-11"/>
        </w:rPr>
        <w:t xml:space="preserve"> </w:t>
      </w:r>
      <w:r w:rsidRPr="0022558B">
        <w:rPr>
          <w:rFonts w:cstheme="minorHAnsi"/>
          <w:spacing w:val="-2"/>
        </w:rPr>
        <w:t>An</w:t>
      </w:r>
      <w:r w:rsidRPr="0022558B">
        <w:rPr>
          <w:rFonts w:cstheme="minorHAnsi"/>
        </w:rPr>
        <w:t xml:space="preserve">zeichen und Symptome von Spinal- oder Epiduralhämatomen </w:t>
      </w:r>
      <w:r w:rsidRPr="0022558B">
        <w:rPr>
          <w:rFonts w:cstheme="minorHAnsi"/>
          <w:spacing w:val="-2"/>
        </w:rPr>
        <w:t>erforderlich.</w:t>
      </w:r>
    </w:p>
    <w:p w14:paraId="439E2044" w14:textId="021FB67C" w:rsidR="00B8420D" w:rsidRDefault="00B8420D" w:rsidP="008C7377"/>
    <w:p w14:paraId="15A85FDB" w14:textId="4EF756B4" w:rsidR="00657EB2" w:rsidRPr="00740AE4" w:rsidRDefault="00657EB2" w:rsidP="008C7377">
      <w:pPr>
        <w:rPr>
          <w:b/>
          <w:bCs/>
          <w:sz w:val="28"/>
          <w:szCs w:val="28"/>
        </w:rPr>
      </w:pPr>
      <w:bookmarkStart w:id="6" w:name="_Toc137056312"/>
      <w:r w:rsidRPr="006D3808">
        <w:rPr>
          <w:rStyle w:val="berschrift1Zchn"/>
        </w:rPr>
        <w:t>Gerinnungstests</w:t>
      </w:r>
      <w:r w:rsidR="00740AE4" w:rsidRPr="006D3808">
        <w:rPr>
          <w:rStyle w:val="berschrift1Zchn"/>
        </w:rPr>
        <w:t xml:space="preserve"> und deren Interpretation</w:t>
      </w:r>
      <w:bookmarkEnd w:id="6"/>
      <w:r w:rsidR="00740AE4" w:rsidRPr="00740AE4">
        <w:rPr>
          <w:b/>
          <w:bCs/>
          <w:sz w:val="28"/>
          <w:szCs w:val="28"/>
          <w:vertAlign w:val="superscript"/>
        </w:rPr>
        <w:t>1,2</w:t>
      </w:r>
    </w:p>
    <w:p w14:paraId="1339DE67" w14:textId="367C6180" w:rsidR="00657EB2" w:rsidRDefault="00657EB2" w:rsidP="00657EB2">
      <w:r>
        <w:t>Ein Routine-Gerinnungsmonitoring ist bei Therapie mit Dabigatranetexilat nicht erforderlich</w:t>
      </w:r>
      <w:r w:rsidRPr="00740AE4">
        <w:rPr>
          <w:vertAlign w:val="superscript"/>
        </w:rPr>
        <w:t>3,4</w:t>
      </w:r>
      <w:r>
        <w:t>.</w:t>
      </w:r>
    </w:p>
    <w:p w14:paraId="2E15E30C" w14:textId="77777777" w:rsidR="00657EB2" w:rsidRDefault="00657EB2" w:rsidP="00657EB2">
      <w:r>
        <w:t>Bei Verdacht auf eine Überdosierung oder bei mit Dabigatranetexilat behandelten Patienten, die sich in der Notaufnahme vorstellen, kann die Durchführung von Gerinnungstests dazu beitragen den Gerinnungsstatus zu bestimmen.</w:t>
      </w:r>
    </w:p>
    <w:p w14:paraId="18B3FDBB" w14:textId="77777777" w:rsidR="00657EB2" w:rsidRDefault="00657EB2" w:rsidP="00657EB2"/>
    <w:p w14:paraId="4C19B584" w14:textId="77777777" w:rsidR="00657EB2" w:rsidRPr="00740AE4" w:rsidRDefault="00657EB2" w:rsidP="00657EB2">
      <w:pPr>
        <w:rPr>
          <w:b/>
          <w:bCs/>
        </w:rPr>
      </w:pPr>
      <w:r w:rsidRPr="00740AE4">
        <w:rPr>
          <w:b/>
          <w:bCs/>
        </w:rPr>
        <w:t>Globale (unspezifische) Gerinnungstests</w:t>
      </w:r>
    </w:p>
    <w:p w14:paraId="115566D7" w14:textId="07A37951" w:rsidR="00657EB2" w:rsidRPr="00740AE4" w:rsidRDefault="00657EB2" w:rsidP="00657EB2">
      <w:pPr>
        <w:rPr>
          <w:b/>
          <w:bCs/>
        </w:rPr>
      </w:pPr>
      <w:r>
        <w:t>•</w:t>
      </w:r>
      <w:r w:rsidR="00740AE4">
        <w:t xml:space="preserve"> </w:t>
      </w:r>
      <w:r w:rsidRPr="00740AE4">
        <w:rPr>
          <w:b/>
          <w:bCs/>
        </w:rPr>
        <w:t>Prothrombinzeit angegeben als International Normalised Ratio (INR)-Wert</w:t>
      </w:r>
    </w:p>
    <w:p w14:paraId="14571070" w14:textId="77777777" w:rsidR="00657EB2" w:rsidRDefault="00657EB2" w:rsidP="00657EB2">
      <w:r>
        <w:t>Die Messung der Prothrombinzeit, angegeben als INR-Wert, ist unzuverlässig und sollte für Dabigatranetexilat nicht durchgeführt werden.</w:t>
      </w:r>
    </w:p>
    <w:p w14:paraId="6B1E535B" w14:textId="1BCD35E4" w:rsidR="00657EB2" w:rsidRDefault="00657EB2" w:rsidP="00657EB2">
      <w:r>
        <w:t>•</w:t>
      </w:r>
      <w:r w:rsidR="00740AE4">
        <w:t xml:space="preserve"> </w:t>
      </w:r>
      <w:r w:rsidRPr="00740AE4">
        <w:rPr>
          <w:b/>
          <w:bCs/>
        </w:rPr>
        <w:t>Aktivierte partielle Thromboplastinzeit (aPTT)</w:t>
      </w:r>
    </w:p>
    <w:p w14:paraId="0570AC85" w14:textId="77777777" w:rsidR="00657EB2" w:rsidRDefault="00657EB2" w:rsidP="00657EB2">
      <w:r>
        <w:t>Der aPTT-Test bietet für Dabigatran eine ungefähre Abschätzung der Gerinnungshemmung. Dieser ist jedoch ungeeignet für eine genaue Quantifizierung der gerinnungshemmenden Wirkung.</w:t>
      </w:r>
    </w:p>
    <w:p w14:paraId="4E971181" w14:textId="77777777" w:rsidR="00657EB2" w:rsidRDefault="00657EB2" w:rsidP="00657EB2"/>
    <w:p w14:paraId="14875BA1" w14:textId="77777777" w:rsidR="00657EB2" w:rsidRPr="00740AE4" w:rsidRDefault="00657EB2" w:rsidP="00657EB2">
      <w:pPr>
        <w:rPr>
          <w:b/>
          <w:bCs/>
        </w:rPr>
      </w:pPr>
      <w:r w:rsidRPr="00740AE4">
        <w:rPr>
          <w:b/>
          <w:bCs/>
        </w:rPr>
        <w:t>Spezifische Gerinnungstests für Dabigatranetexilat</w:t>
      </w:r>
    </w:p>
    <w:p w14:paraId="63D5074F" w14:textId="2DDC32B0" w:rsidR="00657EB2" w:rsidRDefault="00657EB2" w:rsidP="00657EB2">
      <w:r>
        <w:t>Zur quantitativen Bestimmung der Dabigatran-Plasmakonzentration wurden mehrere Testverfahren</w:t>
      </w:r>
      <w:r w:rsidRPr="00740AE4">
        <w:rPr>
          <w:vertAlign w:val="superscript"/>
        </w:rPr>
        <w:t>5–8</w:t>
      </w:r>
      <w:r>
        <w:t xml:space="preserve"> entwickelt, die auf der Bestimmung der Thrombinzeit (TT) basieren.</w:t>
      </w:r>
      <w:r w:rsidR="0079187C">
        <w:t xml:space="preserve"> </w:t>
      </w:r>
      <w:r>
        <w:t>Zum Beispiel:</w:t>
      </w:r>
    </w:p>
    <w:p w14:paraId="7E8655E9" w14:textId="34CB401E" w:rsidR="00657EB2" w:rsidRPr="004567E9" w:rsidRDefault="00657EB2" w:rsidP="00657EB2">
      <w:pPr>
        <w:rPr>
          <w:b/>
          <w:bCs/>
        </w:rPr>
      </w:pPr>
      <w:r>
        <w:t>•</w:t>
      </w:r>
      <w:r w:rsidR="004567E9">
        <w:t xml:space="preserve"> </w:t>
      </w:r>
      <w:r w:rsidRPr="004567E9">
        <w:rPr>
          <w:b/>
          <w:bCs/>
        </w:rPr>
        <w:t>Thrombinzeit (TT), Ecarin-Clotting-Zeit (ECT), Thrombinzeit in verdünnten Plasmaproben (dTT)</w:t>
      </w:r>
    </w:p>
    <w:p w14:paraId="029AC149" w14:textId="37AEF5C6" w:rsidR="00657EB2" w:rsidRDefault="00657EB2" w:rsidP="00657EB2">
      <w:r>
        <w:t>Es besteht eine eindeutige Korrelation zwischen der Dabigatran-Plasmakonzentration und dem Grad der gerinnungshemmenden Wirkung</w:t>
      </w:r>
      <w:r w:rsidRPr="004567E9">
        <w:rPr>
          <w:vertAlign w:val="superscript"/>
        </w:rPr>
        <w:t>1,2</w:t>
      </w:r>
      <w:r>
        <w:t>.</w:t>
      </w:r>
    </w:p>
    <w:p w14:paraId="330B8A5A" w14:textId="5656C577" w:rsidR="00265906" w:rsidRDefault="00657EB2" w:rsidP="00657EB2">
      <w:r>
        <w:t xml:space="preserve">Ein normaler dTT-Messwert weist auf die Abwesenheit eines </w:t>
      </w:r>
      <w:r w:rsidRPr="00657EB2">
        <w:t>klinisch relevanten gerinnungshemmenden Effekts von Dabigatran hin. Die Thrombinzeit (TT) und die Ecarin-Clotting-Zeit (ECT) können nützliche Hinweise geben, diese Tests sind jedoch nicht standardisiert.</w:t>
      </w:r>
    </w:p>
    <w:p w14:paraId="21C336D2" w14:textId="284F6D03" w:rsidR="004567E9" w:rsidRPr="004567E9" w:rsidRDefault="004567E9" w:rsidP="004567E9">
      <w:pPr>
        <w:rPr>
          <w:b/>
          <w:bCs/>
        </w:rPr>
      </w:pPr>
      <w:r>
        <w:t xml:space="preserve">• </w:t>
      </w:r>
      <w:r w:rsidRPr="004567E9">
        <w:rPr>
          <w:b/>
          <w:bCs/>
        </w:rPr>
        <w:t>Thrombinzeit (TT)</w:t>
      </w:r>
    </w:p>
    <w:p w14:paraId="591AD1A2" w14:textId="069D244C" w:rsidR="004567E9" w:rsidRDefault="004567E9" w:rsidP="004567E9">
      <w:r>
        <w:t>Der tatsächliche Messwert der Thrombinzeit (TT) ist abhängig vom Koagulometer und der zur Messung verwendeten Thrombincharge. Es ist daher empfehlenswert, den kalibrierten Hemoclot-Thrombin-Inhibitor-Test</w:t>
      </w:r>
      <w:r w:rsidRPr="004567E9">
        <w:rPr>
          <w:vertAlign w:val="superscript"/>
        </w:rPr>
        <w:t>5</w:t>
      </w:r>
      <w:r>
        <w:t xml:space="preserve"> (dTT-Test) mit Dabigatran-Referenzwerten zu verwenden, um die Dabigatran-Plasmakonzentration zu bestimmen und nicht die Thrombinzeit (TT) zu messen.</w:t>
      </w:r>
    </w:p>
    <w:p w14:paraId="74E9084B" w14:textId="022BCF47" w:rsidR="004567E9" w:rsidRPr="004567E9" w:rsidRDefault="004567E9" w:rsidP="004567E9">
      <w:pPr>
        <w:rPr>
          <w:b/>
          <w:bCs/>
        </w:rPr>
      </w:pPr>
      <w:r>
        <w:t xml:space="preserve">• </w:t>
      </w:r>
      <w:r w:rsidRPr="004567E9">
        <w:rPr>
          <w:b/>
          <w:bCs/>
        </w:rPr>
        <w:t>Ecarin-Clotting-Zeit (ECT)</w:t>
      </w:r>
    </w:p>
    <w:p w14:paraId="2AF01A49" w14:textId="77777777" w:rsidR="004567E9" w:rsidRDefault="004567E9" w:rsidP="00EB5FB3">
      <w:pPr>
        <w:spacing w:after="0"/>
      </w:pPr>
      <w:r>
        <w:lastRenderedPageBreak/>
        <w:t>Die Ecarin-Clotting-Zeit (ECT) ermöglicht eine direkte Messung der Wirkung von direkten Thrombin-Inhibitoren.</w:t>
      </w:r>
    </w:p>
    <w:p w14:paraId="19C9608E" w14:textId="77777777" w:rsidR="00690BCB" w:rsidRDefault="00690BCB" w:rsidP="00EB5FB3">
      <w:pPr>
        <w:spacing w:after="0"/>
      </w:pPr>
      <w:r>
        <w:t>Diese wurde jedoch nicht in der Patientenpopulation unter einer Standarddosierung von 220 mg Dabigatranetexilat einmal täglich zur primären VTE-Prävention untersucht.</w:t>
      </w:r>
    </w:p>
    <w:p w14:paraId="3653DC59" w14:textId="77777777" w:rsidR="00690BCB" w:rsidRDefault="00690BCB" w:rsidP="004567E9"/>
    <w:p w14:paraId="582D31DE" w14:textId="68B3F3B8" w:rsidR="004567E9" w:rsidRDefault="004567E9" w:rsidP="004567E9">
      <w:r>
        <w:t xml:space="preserve">• </w:t>
      </w:r>
      <w:r w:rsidRPr="004567E9">
        <w:rPr>
          <w:b/>
          <w:bCs/>
        </w:rPr>
        <w:t>Thrombinzeit in verdünnten Plasmaproben (dTT)</w:t>
      </w:r>
    </w:p>
    <w:p w14:paraId="7726FB8D" w14:textId="4B18CFD4" w:rsidR="004567E9" w:rsidRDefault="004567E9" w:rsidP="004567E9">
      <w:r>
        <w:t>Die Bestimmung der Thrombinzeit in verdünnten Plasmaproben (dTT) mit dem kalibrierten Hemoclot-Thrombin- Inhibitor-Test</w:t>
      </w:r>
      <w:r w:rsidRPr="006D3808">
        <w:rPr>
          <w:vertAlign w:val="superscript"/>
        </w:rPr>
        <w:t>5</w:t>
      </w:r>
      <w:r>
        <w:t xml:space="preserve"> (Vertrieb in Deutschland über CoaChrom Diagnostica GmbH), die eine Dabigatran-Plasmakonzentration von &gt; </w:t>
      </w:r>
      <w:r w:rsidR="00690BCB">
        <w:t>67</w:t>
      </w:r>
      <w:r>
        <w:t xml:space="preserve"> ng/ml (ca. &gt; </w:t>
      </w:r>
      <w:r w:rsidR="00690BCB">
        <w:t>40</w:t>
      </w:r>
      <w:r>
        <w:t xml:space="preserve"> Sekunden) vor der Einnahme der nächsten Tagesdosis ergibt, weist auf ein erhöhtes Blutungsrisiko hin</w:t>
      </w:r>
      <w:r w:rsidRPr="00DA3026">
        <w:rPr>
          <w:vertAlign w:val="superscript"/>
        </w:rPr>
        <w:t>1</w:t>
      </w:r>
      <w:r>
        <w:t>.</w:t>
      </w:r>
    </w:p>
    <w:p w14:paraId="1E1D1C56" w14:textId="5DD4BE98" w:rsidR="004567E9" w:rsidRDefault="004567E9" w:rsidP="00657EB2"/>
    <w:p w14:paraId="04EBAD70" w14:textId="77777777" w:rsidR="004567E9" w:rsidRDefault="004567E9" w:rsidP="004567E9">
      <w:r w:rsidRPr="004567E9">
        <w:rPr>
          <w:b/>
          <w:bCs/>
        </w:rPr>
        <w:t>Tabelle 3:</w:t>
      </w:r>
      <w:r>
        <w:t xml:space="preserve"> Grenzwerte der Gerinnungstests, mit denen ein erhöhtes Blutungsrisiko assoziiert werden kann, im Talspiegel (z. B. vor Einnahme der nächsten Dosis) gemessen.</w:t>
      </w:r>
    </w:p>
    <w:p w14:paraId="0D250B1B" w14:textId="0E88A0E4" w:rsidR="004567E9" w:rsidRDefault="004567E9" w:rsidP="004567E9">
      <w:r w:rsidRPr="004567E9">
        <w:rPr>
          <w:b/>
          <w:bCs/>
        </w:rPr>
        <w:t>Hinweis:</w:t>
      </w:r>
      <w:r>
        <w:t xml:space="preserve"> In den ersten 2–3 Tagen nach einem chirurgischen Eingriff können inkorrekt verlängerte Messwerte der aPTT und der ECT auftreten.</w:t>
      </w:r>
      <w:r w:rsidRPr="004567E9">
        <w:rPr>
          <w:vertAlign w:val="superscript"/>
        </w:rPr>
        <w:t>2,3</w:t>
      </w:r>
    </w:p>
    <w:tbl>
      <w:tblPr>
        <w:tblStyle w:val="Tabellenraster"/>
        <w:tblW w:w="0" w:type="auto"/>
        <w:tblLook w:val="04A0" w:firstRow="1" w:lastRow="0" w:firstColumn="1" w:lastColumn="0" w:noHBand="0" w:noVBand="1"/>
      </w:tblPr>
      <w:tblGrid>
        <w:gridCol w:w="4531"/>
        <w:gridCol w:w="4531"/>
      </w:tblGrid>
      <w:tr w:rsidR="004567E9" w14:paraId="0DD67FB0" w14:textId="77777777" w:rsidTr="004567E9">
        <w:tc>
          <w:tcPr>
            <w:tcW w:w="4531" w:type="dxa"/>
          </w:tcPr>
          <w:p w14:paraId="3AD5DE2C" w14:textId="6141FD77" w:rsidR="004567E9" w:rsidRDefault="00325491" w:rsidP="004567E9">
            <w:r w:rsidRPr="00325491">
              <w:t>Test (Talspiegelmessung)</w:t>
            </w:r>
          </w:p>
        </w:tc>
        <w:tc>
          <w:tcPr>
            <w:tcW w:w="4531" w:type="dxa"/>
          </w:tcPr>
          <w:p w14:paraId="39B91E91" w14:textId="77777777" w:rsidR="004567E9" w:rsidRDefault="004567E9" w:rsidP="004567E9"/>
        </w:tc>
      </w:tr>
      <w:tr w:rsidR="004567E9" w14:paraId="39725E52" w14:textId="77777777" w:rsidTr="004567E9">
        <w:tc>
          <w:tcPr>
            <w:tcW w:w="4531" w:type="dxa"/>
          </w:tcPr>
          <w:p w14:paraId="78ED42B3" w14:textId="1DA31A26" w:rsidR="004567E9" w:rsidRDefault="00325491" w:rsidP="004567E9">
            <w:r w:rsidRPr="00325491">
              <w:t>dTT (ng/ml)</w:t>
            </w:r>
          </w:p>
        </w:tc>
        <w:tc>
          <w:tcPr>
            <w:tcW w:w="4531" w:type="dxa"/>
          </w:tcPr>
          <w:p w14:paraId="4124BCF8" w14:textId="07A64B87" w:rsidR="004567E9" w:rsidRDefault="00325491" w:rsidP="004567E9">
            <w:r w:rsidRPr="00325491">
              <w:t xml:space="preserve">&gt; </w:t>
            </w:r>
            <w:r w:rsidR="00B1365F">
              <w:t>67</w:t>
            </w:r>
          </w:p>
        </w:tc>
      </w:tr>
      <w:tr w:rsidR="004567E9" w14:paraId="5314AA46" w14:textId="77777777" w:rsidTr="004567E9">
        <w:tc>
          <w:tcPr>
            <w:tcW w:w="4531" w:type="dxa"/>
          </w:tcPr>
          <w:p w14:paraId="73993CAA" w14:textId="76426625" w:rsidR="004567E9" w:rsidRDefault="00325491" w:rsidP="004567E9">
            <w:r w:rsidRPr="00325491">
              <w:t>ECT (x-faches der oberen Norm)</w:t>
            </w:r>
          </w:p>
        </w:tc>
        <w:tc>
          <w:tcPr>
            <w:tcW w:w="4531" w:type="dxa"/>
          </w:tcPr>
          <w:p w14:paraId="58B92D88" w14:textId="47627F78" w:rsidR="004567E9" w:rsidRDefault="00B1365F" w:rsidP="004567E9">
            <w:r w:rsidRPr="00B1365F">
              <w:t>Keine Daten*</w:t>
            </w:r>
          </w:p>
        </w:tc>
      </w:tr>
      <w:tr w:rsidR="004567E9" w14:paraId="76F67471" w14:textId="77777777" w:rsidTr="004567E9">
        <w:tc>
          <w:tcPr>
            <w:tcW w:w="4531" w:type="dxa"/>
          </w:tcPr>
          <w:p w14:paraId="5AD52089" w14:textId="7BF7EFCD" w:rsidR="004567E9" w:rsidRDefault="00325491" w:rsidP="004567E9">
            <w:r w:rsidRPr="00325491">
              <w:t>aPTT (x-faches der oberen Norm)</w:t>
            </w:r>
          </w:p>
        </w:tc>
        <w:tc>
          <w:tcPr>
            <w:tcW w:w="4531" w:type="dxa"/>
          </w:tcPr>
          <w:p w14:paraId="3D4E1132" w14:textId="33E3DAAF" w:rsidR="004567E9" w:rsidRDefault="00325491" w:rsidP="004567E9">
            <w:r w:rsidRPr="00325491">
              <w:t xml:space="preserve">&gt; </w:t>
            </w:r>
            <w:r w:rsidR="00B1365F">
              <w:t>1,3</w:t>
            </w:r>
          </w:p>
        </w:tc>
      </w:tr>
      <w:tr w:rsidR="004567E9" w14:paraId="13DB3FAF" w14:textId="77777777" w:rsidTr="004567E9">
        <w:tc>
          <w:tcPr>
            <w:tcW w:w="4531" w:type="dxa"/>
          </w:tcPr>
          <w:p w14:paraId="67DE059D" w14:textId="1462A9E9" w:rsidR="004567E9" w:rsidRDefault="00325491" w:rsidP="004567E9">
            <w:r w:rsidRPr="00325491">
              <w:t>INR</w:t>
            </w:r>
          </w:p>
        </w:tc>
        <w:tc>
          <w:tcPr>
            <w:tcW w:w="4531" w:type="dxa"/>
          </w:tcPr>
          <w:p w14:paraId="4B8A4DE6" w14:textId="1C70FB72" w:rsidR="004567E9" w:rsidRDefault="00325491" w:rsidP="004567E9">
            <w:r w:rsidRPr="00325491">
              <w:t>Sollte nicht gemessen werden</w:t>
            </w:r>
          </w:p>
        </w:tc>
      </w:tr>
    </w:tbl>
    <w:p w14:paraId="4BE431E4" w14:textId="0C5AD365" w:rsidR="004567E9" w:rsidRDefault="004567E9" w:rsidP="004567E9"/>
    <w:p w14:paraId="136C7BD2" w14:textId="11E9C75E" w:rsidR="004567E9" w:rsidRDefault="00754B62" w:rsidP="004567E9">
      <w:r w:rsidRPr="00754B62">
        <w:rPr>
          <w:b/>
          <w:bCs/>
        </w:rPr>
        <w:t>Zeitpunkt:</w:t>
      </w:r>
      <w:r w:rsidRPr="00754B62">
        <w:t xml:space="preserve"> Die Gerinnungsparameter sind abhängig vom Zeitpunkt der Abnahme der Blutprobe und dem Zeitpunkt der Einnahme der letzten Dosis. Eine Blutprobe, die 2 Stunden nach der Einnahme von Dabigatranetexilat (maximaler Wirkstoffspiegel) abgenommen wurde, wird andere (höhere) Ergebnisse bei allen Gerinnungswerten erbringen als eine Blutprobe, die </w:t>
      </w:r>
      <w:r w:rsidR="00690BCB">
        <w:t>20-28</w:t>
      </w:r>
      <w:r w:rsidRPr="00754B62">
        <w:t xml:space="preserve"> Stunden nach Einnahme derselben Dosis (minimaler Wirkstoffspiegel) entnommen wurde.</w:t>
      </w:r>
    </w:p>
    <w:p w14:paraId="278D209B" w14:textId="55B89DEF" w:rsidR="004567E9" w:rsidRDefault="004567E9" w:rsidP="004567E9"/>
    <w:p w14:paraId="268FB563" w14:textId="2D899392" w:rsidR="00B1365F" w:rsidRDefault="00B1365F" w:rsidP="00B1365F">
      <w:r>
        <w:t>* nicht in der Patientenpopulation unter einer Standarddosierung von 220 mg Dabigatranetexilat einmal täglich zur primären VTE-Prävention untersucht</w:t>
      </w:r>
    </w:p>
    <w:p w14:paraId="000B1EF0" w14:textId="77777777" w:rsidR="003F2CEE" w:rsidRDefault="003F2CEE" w:rsidP="004567E9"/>
    <w:p w14:paraId="60737C55" w14:textId="53F698A8" w:rsidR="00754B62" w:rsidRPr="003F2CEE" w:rsidRDefault="003F2CEE" w:rsidP="004567E9">
      <w:pPr>
        <w:rPr>
          <w:b/>
          <w:bCs/>
          <w:sz w:val="28"/>
          <w:szCs w:val="28"/>
          <w:vertAlign w:val="superscript"/>
        </w:rPr>
      </w:pPr>
      <w:bookmarkStart w:id="7" w:name="_Toc137056313"/>
      <w:r w:rsidRPr="006D3808">
        <w:rPr>
          <w:rStyle w:val="berschrift1Zchn"/>
        </w:rPr>
        <w:t>Überdosierung</w:t>
      </w:r>
      <w:bookmarkEnd w:id="7"/>
      <w:r w:rsidRPr="003F2CEE">
        <w:rPr>
          <w:b/>
          <w:bCs/>
          <w:sz w:val="28"/>
          <w:szCs w:val="28"/>
          <w:vertAlign w:val="superscript"/>
        </w:rPr>
        <w:t>1,2</w:t>
      </w:r>
    </w:p>
    <w:p w14:paraId="1B28F483" w14:textId="77777777" w:rsidR="003F2CEE" w:rsidRDefault="003F2CEE" w:rsidP="003F2CEE">
      <w:r>
        <w:t>Bei Verdacht auf eine Überdosierung kann die Durchführung von Gerinnungstests dazu beitragen, das Blutungsrisiko abzuschätzen. Bei übermäßiger Gerinnungshemmung muss die Behandlung mit Dabigatranetexilat unter Umständen unterbrochen werden. Da Dabigatran überwiegend renal ausgeschieden wird, ist eine ausreichende Diurese sicherzustellen. Aufgrund der geringen Plasmabindung ist Dabigatran dialysefähig; es liegen begrenzte klinische Erfahrungen vor, die den Nutzen dieses Ansatzes in klinischen Prüfungen zeigen. Eine Überdosierung von Dabigatranetexilat kann zu Blutungen führen. Im Falle hämorrhagischer Komplikationen ist die Behandlung mit Dabigatranetexilat abzubrechen und die Blutungsquelle festzustellen (siehe Abschnitt Management von Blutungskomplikationen). Allgemein unterstützende Maßnahmen wie die Anwendung von Aktivkohle, um die Absorption zu reduzieren, können in Betracht gezogen werden.</w:t>
      </w:r>
    </w:p>
    <w:p w14:paraId="0D390B6D" w14:textId="729B9A0E" w:rsidR="003F2CEE" w:rsidRDefault="003F2CEE" w:rsidP="003F2CEE"/>
    <w:p w14:paraId="5671EDB1" w14:textId="24AE33DE" w:rsidR="003F2CEE" w:rsidRPr="003F2CEE" w:rsidRDefault="003F2CEE" w:rsidP="003F2CEE">
      <w:pPr>
        <w:rPr>
          <w:b/>
          <w:bCs/>
          <w:sz w:val="28"/>
          <w:szCs w:val="28"/>
        </w:rPr>
      </w:pPr>
      <w:bookmarkStart w:id="8" w:name="_Toc137056314"/>
      <w:r w:rsidRPr="006D3808">
        <w:rPr>
          <w:rStyle w:val="berschrift1Zchn"/>
        </w:rPr>
        <w:t>Management von Blutungskomplikationen</w:t>
      </w:r>
      <w:bookmarkEnd w:id="8"/>
      <w:r w:rsidRPr="003F2CEE">
        <w:rPr>
          <w:b/>
          <w:bCs/>
          <w:sz w:val="28"/>
          <w:szCs w:val="28"/>
          <w:vertAlign w:val="superscript"/>
        </w:rPr>
        <w:t>1,2,9</w:t>
      </w:r>
    </w:p>
    <w:p w14:paraId="7983FF6E" w14:textId="7363AA33" w:rsidR="003F2CEE" w:rsidRDefault="003F2CEE" w:rsidP="003F2CEE">
      <w:r>
        <w:t>Wenn in Situationen mit lebensbedrohlichen oder nicht beherrschbaren Blutungen eine rasche Aufhebung der antikoagulatorischen Wirkung von Dabigatran erforderlich ist, steht ein spezifisches Antidot (Idarucizumab) zur Verfügung.</w:t>
      </w:r>
    </w:p>
    <w:p w14:paraId="42C4C970" w14:textId="54342EEE" w:rsidR="00754B62" w:rsidRDefault="003F2CEE" w:rsidP="003F2CEE">
      <w:r>
        <w:t xml:space="preserve">Abhängig von der klinischen Situation sollte eine geeignete unterstützende Behandlung, z. B. chirurgische Hämostase oder Blutvolumenersatz eingeleitet werden. Ebenfalls in Betracht gezogen werden sollte die Anwendung von frischem Vollblut, gefrorenem Frischplasma und/oder Thrombozytenkonzentraten in Fällen, in denen eine Thrombozytopenie vorliegt oder lang wirksame plättchenhemmende Arzneimittel eingesetzt wurden. Gerinnungsfaktorenkonzentrate (aktiverte oder nicht-aktivierte) oder </w:t>
      </w:r>
      <w:r w:rsidRPr="003F2CEE">
        <w:t>rekombinanter Faktor VIIa können zur Behandlung in Betracht gezogen werden. Jedoch sind die Daten hinsichtlich des klinischen Nutzens sehr begrenzt.</w:t>
      </w:r>
    </w:p>
    <w:p w14:paraId="70F94DA1" w14:textId="0670D544" w:rsidR="003F2CEE" w:rsidRDefault="003F2CEE" w:rsidP="003F2CEE"/>
    <w:p w14:paraId="31B24D92" w14:textId="2B9C1E02" w:rsidR="003F2CEE" w:rsidRPr="003F2CEE" w:rsidRDefault="00855351" w:rsidP="006D3808">
      <w:pPr>
        <w:pStyle w:val="berschrift1"/>
      </w:pPr>
      <w:bookmarkStart w:id="9" w:name="_Toc137056315"/>
      <w:r w:rsidRPr="00855351">
        <w:t>Patientenkarte</w:t>
      </w:r>
      <w:r w:rsidR="003F2CEE" w:rsidRPr="003F2CEE">
        <w:t xml:space="preserve"> und Patientenberatung</w:t>
      </w:r>
      <w:bookmarkEnd w:id="9"/>
    </w:p>
    <w:p w14:paraId="1701A409" w14:textId="1BF1D275" w:rsidR="003F2CEE" w:rsidRPr="003F2CEE" w:rsidRDefault="003F2CEE" w:rsidP="003F2CEE">
      <w:r w:rsidRPr="003F2CEE">
        <w:t>Ein</w:t>
      </w:r>
      <w:r w:rsidR="00B1027A">
        <w:t>e</w:t>
      </w:r>
      <w:r w:rsidRPr="003F2CEE">
        <w:t xml:space="preserve"> </w:t>
      </w:r>
      <w:r w:rsidR="00B1027A" w:rsidRPr="00B1027A">
        <w:t>Patientenkarte zur sicheren Anwendung</w:t>
      </w:r>
      <w:r w:rsidRPr="003F2CEE">
        <w:t xml:space="preserve"> wird dem Patienten mit jeder Dabigatranetexilat Packung zur Verfügung gestellt. Patienten sollten darüber informiert werden, </w:t>
      </w:r>
      <w:r w:rsidR="00B1027A">
        <w:t>die</w:t>
      </w:r>
      <w:r w:rsidR="00B1027A" w:rsidRPr="003F2CEE">
        <w:t xml:space="preserve"> Patienten</w:t>
      </w:r>
      <w:r w:rsidR="00B1027A">
        <w:t>karte</w:t>
      </w:r>
      <w:r w:rsidR="00B1027A" w:rsidRPr="003F2CEE">
        <w:t xml:space="preserve"> </w:t>
      </w:r>
      <w:r w:rsidRPr="003F2CEE">
        <w:t>immer bei sich zu tragen und diese dem medizinischen Fachpersonal vor jeder Behandlung vorzuzeigen. Patienten sollen über Anzeichen und Symptome von Blutungen sowie Umstände, unter denen ein Arzt aufzusuchen ist, beraten werden.</w:t>
      </w:r>
    </w:p>
    <w:p w14:paraId="0C0476DA" w14:textId="77777777" w:rsidR="00997212" w:rsidRDefault="00997212" w:rsidP="006D3808">
      <w:bookmarkStart w:id="10" w:name="_Toc137055948"/>
    </w:p>
    <w:p w14:paraId="5A14AD5C" w14:textId="0589A17A" w:rsidR="00997212" w:rsidRPr="00997212" w:rsidRDefault="00997212" w:rsidP="00997212">
      <w:pPr>
        <w:keepNext/>
        <w:keepLines/>
        <w:spacing w:before="240" w:after="0"/>
        <w:outlineLvl w:val="0"/>
        <w:rPr>
          <w:rFonts w:asciiTheme="majorHAnsi" w:eastAsiaTheme="majorEastAsia" w:hAnsiTheme="majorHAnsi" w:cstheme="majorBidi"/>
          <w:color w:val="2F5496" w:themeColor="accent1" w:themeShade="BF"/>
          <w:sz w:val="32"/>
          <w:szCs w:val="32"/>
        </w:rPr>
      </w:pPr>
      <w:bookmarkStart w:id="11" w:name="_Toc137056316"/>
      <w:r w:rsidRPr="00997212">
        <w:rPr>
          <w:rFonts w:asciiTheme="majorHAnsi" w:eastAsiaTheme="majorEastAsia" w:hAnsiTheme="majorHAnsi" w:cstheme="majorBidi"/>
          <w:color w:val="2F5496" w:themeColor="accent1" w:themeShade="BF"/>
          <w:sz w:val="32"/>
          <w:szCs w:val="32"/>
        </w:rPr>
        <w:t>Meldung von Nebenwirkungen</w:t>
      </w:r>
      <w:bookmarkEnd w:id="10"/>
      <w:bookmarkEnd w:id="11"/>
    </w:p>
    <w:p w14:paraId="34FEBDF8" w14:textId="1795259F" w:rsidR="003F2CEE" w:rsidRDefault="00997212" w:rsidP="00997212">
      <w:r w:rsidRPr="00997212">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dem Bundesinstitut für Arzneimittel und Medizinprodukte, Abt. Pharmakovigilanz, Kurt-Georg-Kiesinger-Allee 3, D-53175 Bonn, http://www.bfarm.de, oder dem pharmazeutischen Unternehmen (siehe Fach- und Gebrauchsinformation) anzuzeigen.</w:t>
      </w:r>
    </w:p>
    <w:p w14:paraId="66536CBF" w14:textId="77777777" w:rsidR="00997212" w:rsidRDefault="00997212" w:rsidP="003F2CEE"/>
    <w:p w14:paraId="676544D5" w14:textId="77777777" w:rsidR="00997212" w:rsidRDefault="00997212">
      <w:pPr>
        <w:rPr>
          <w:rFonts w:asciiTheme="majorHAnsi" w:eastAsiaTheme="majorEastAsia" w:hAnsiTheme="majorHAnsi" w:cstheme="majorBidi"/>
          <w:color w:val="2F5496" w:themeColor="accent1" w:themeShade="BF"/>
          <w:sz w:val="32"/>
          <w:szCs w:val="32"/>
        </w:rPr>
      </w:pPr>
      <w:r>
        <w:br w:type="page"/>
      </w:r>
    </w:p>
    <w:p w14:paraId="487CA120" w14:textId="08C42251" w:rsidR="0076189B" w:rsidRPr="0076189B" w:rsidRDefault="0076189B" w:rsidP="006D3808">
      <w:pPr>
        <w:pStyle w:val="berschrift1"/>
      </w:pPr>
      <w:bookmarkStart w:id="12" w:name="_Toc137056317"/>
      <w:r w:rsidRPr="0076189B">
        <w:lastRenderedPageBreak/>
        <w:t>Literaturverzeichnis</w:t>
      </w:r>
      <w:bookmarkEnd w:id="12"/>
    </w:p>
    <w:p w14:paraId="17341733" w14:textId="530F18DA" w:rsidR="003F2CEE" w:rsidRPr="003F2CEE" w:rsidRDefault="003F2CEE" w:rsidP="003F2CEE">
      <w:r w:rsidRPr="003F2CEE">
        <w:t>1.</w:t>
      </w:r>
      <w:r w:rsidR="008425CA">
        <w:t xml:space="preserve"> </w:t>
      </w:r>
      <w:r w:rsidR="006708ED" w:rsidRPr="003F2CEE">
        <w:t>Dabigatranetexilat</w:t>
      </w:r>
      <w:r w:rsidRPr="003F2CEE">
        <w:t xml:space="preserve"> Fachinformation</w:t>
      </w:r>
    </w:p>
    <w:p w14:paraId="446AC669" w14:textId="171A9EF3" w:rsidR="003F2CEE" w:rsidRPr="003F2CEE" w:rsidRDefault="003F2CEE" w:rsidP="003F2CEE">
      <w:pPr>
        <w:rPr>
          <w:lang w:val="en-US"/>
        </w:rPr>
      </w:pPr>
      <w:r w:rsidRPr="00933A62">
        <w:t>2.</w:t>
      </w:r>
      <w:r w:rsidR="008425CA" w:rsidRPr="00933A62">
        <w:t xml:space="preserve"> </w:t>
      </w:r>
      <w:r w:rsidRPr="00933A62">
        <w:t xml:space="preserve">van Ryn J et al. </w:t>
      </w:r>
      <w:r w:rsidRPr="003F2CEE">
        <w:rPr>
          <w:lang w:val="en-US"/>
        </w:rPr>
        <w:t>Thromb Haemost 2010; 103: 1116–1127</w:t>
      </w:r>
    </w:p>
    <w:p w14:paraId="4F4A7D8A" w14:textId="7428DCC9" w:rsidR="003F2CEE" w:rsidRPr="003F2CEE" w:rsidRDefault="003F2CEE" w:rsidP="003F2CEE">
      <w:pPr>
        <w:rPr>
          <w:lang w:val="en-US"/>
        </w:rPr>
      </w:pPr>
      <w:r w:rsidRPr="003F2CEE">
        <w:rPr>
          <w:lang w:val="en-US"/>
        </w:rPr>
        <w:t>3.</w:t>
      </w:r>
      <w:r w:rsidR="008425CA">
        <w:rPr>
          <w:lang w:val="en-US"/>
        </w:rPr>
        <w:t xml:space="preserve"> </w:t>
      </w:r>
      <w:r w:rsidRPr="003F2CEE">
        <w:rPr>
          <w:lang w:val="en-US"/>
        </w:rPr>
        <w:t>Liesenfeld KH et al. Br J Clin Pharmacol 2006; 62: 527–537</w:t>
      </w:r>
    </w:p>
    <w:p w14:paraId="77BEF756" w14:textId="5EC9CA45" w:rsidR="003F2CEE" w:rsidRPr="003F2CEE" w:rsidRDefault="003F2CEE" w:rsidP="003F2CEE">
      <w:pPr>
        <w:rPr>
          <w:lang w:val="en-US"/>
        </w:rPr>
      </w:pPr>
      <w:r w:rsidRPr="003F2CEE">
        <w:rPr>
          <w:lang w:val="en-US"/>
        </w:rPr>
        <w:t>4.</w:t>
      </w:r>
      <w:r w:rsidR="008425CA">
        <w:rPr>
          <w:lang w:val="en-US"/>
        </w:rPr>
        <w:t xml:space="preserve"> </w:t>
      </w:r>
      <w:r w:rsidRPr="003F2CEE">
        <w:rPr>
          <w:lang w:val="en-US"/>
        </w:rPr>
        <w:t>Stangier J et al. Br J Clin Pharmacol 2007; 64: 292–303</w:t>
      </w:r>
    </w:p>
    <w:p w14:paraId="7423A722" w14:textId="7C764285" w:rsidR="003F2CEE" w:rsidRPr="003F2CEE" w:rsidRDefault="003F2CEE" w:rsidP="003F2CEE">
      <w:pPr>
        <w:rPr>
          <w:lang w:val="en-US"/>
        </w:rPr>
      </w:pPr>
      <w:r w:rsidRPr="003F2CEE">
        <w:rPr>
          <w:lang w:val="en-US"/>
        </w:rPr>
        <w:t>5.</w:t>
      </w:r>
      <w:r w:rsidR="008425CA">
        <w:rPr>
          <w:lang w:val="en-US"/>
        </w:rPr>
        <w:t xml:space="preserve"> </w:t>
      </w:r>
      <w:r w:rsidRPr="003F2CEE">
        <w:rPr>
          <w:lang w:val="en-US"/>
        </w:rPr>
        <w:t>Hemoclot thrombin inhibitor assay (Hyphen BioMed, Neuville-sur-Oise, France). www.clottingtesting.com/ www.coachrom.com</w:t>
      </w:r>
    </w:p>
    <w:p w14:paraId="16CFBE29" w14:textId="5FE2DC61" w:rsidR="003F2CEE" w:rsidRPr="003F2CEE" w:rsidRDefault="003F2CEE" w:rsidP="003F2CEE">
      <w:pPr>
        <w:rPr>
          <w:lang w:val="en-US"/>
        </w:rPr>
      </w:pPr>
      <w:r w:rsidRPr="003F2CEE">
        <w:rPr>
          <w:lang w:val="en-US"/>
        </w:rPr>
        <w:t>6.</w:t>
      </w:r>
      <w:r w:rsidR="008425CA">
        <w:rPr>
          <w:lang w:val="en-US"/>
        </w:rPr>
        <w:t xml:space="preserve"> </w:t>
      </w:r>
      <w:r w:rsidRPr="003F2CEE">
        <w:rPr>
          <w:lang w:val="en-US"/>
        </w:rPr>
        <w:t>HemosIL assay (Instumentation Laboratory, Werfen Group, Barcelona, Spain). www.instrumentationlaboratory.com</w:t>
      </w:r>
    </w:p>
    <w:p w14:paraId="3ABEF9A5" w14:textId="1D2D5D04" w:rsidR="003F2CEE" w:rsidRPr="003F2CEE" w:rsidRDefault="003F2CEE" w:rsidP="003F2CEE">
      <w:pPr>
        <w:rPr>
          <w:lang w:val="en-US"/>
        </w:rPr>
      </w:pPr>
      <w:r w:rsidRPr="003F2CEE">
        <w:rPr>
          <w:lang w:val="en-US"/>
        </w:rPr>
        <w:t>7.</w:t>
      </w:r>
      <w:r w:rsidR="008425CA">
        <w:rPr>
          <w:lang w:val="en-US"/>
        </w:rPr>
        <w:t xml:space="preserve"> </w:t>
      </w:r>
      <w:r w:rsidRPr="003F2CEE">
        <w:rPr>
          <w:lang w:val="en-US"/>
        </w:rPr>
        <w:t>Technoclot DTI Dabigatran assay (Technoclone GmbH, Vienna, Austria). http://www.technoclone.com/products/ coagulation/control-plasma/dabigatran-cont</w:t>
      </w:r>
    </w:p>
    <w:p w14:paraId="4B7C051C" w14:textId="70562BE1" w:rsidR="003F2CEE" w:rsidRPr="003F2CEE" w:rsidRDefault="003F2CEE" w:rsidP="003F2CEE">
      <w:pPr>
        <w:rPr>
          <w:lang w:val="en-US"/>
        </w:rPr>
      </w:pPr>
      <w:r w:rsidRPr="003F2CEE">
        <w:rPr>
          <w:lang w:val="en-US"/>
        </w:rPr>
        <w:t>8.</w:t>
      </w:r>
      <w:r w:rsidR="008425CA">
        <w:rPr>
          <w:lang w:val="en-US"/>
        </w:rPr>
        <w:t xml:space="preserve"> </w:t>
      </w:r>
      <w:r w:rsidRPr="003F2CEE">
        <w:rPr>
          <w:lang w:val="en-US"/>
        </w:rPr>
        <w:t>INNOVANCE DTI Assay (Siemens Healthineers GmbH, Erlangen, Germany). https://www.healthcare.siemens.com/ hemostasis</w:t>
      </w:r>
    </w:p>
    <w:p w14:paraId="2CF7E420" w14:textId="1908A35B" w:rsidR="003F2CEE" w:rsidRPr="003F2CEE" w:rsidRDefault="003F2CEE" w:rsidP="003F2CEE">
      <w:pPr>
        <w:rPr>
          <w:lang w:val="en-US"/>
        </w:rPr>
      </w:pPr>
      <w:r w:rsidRPr="003F2CEE">
        <w:rPr>
          <w:lang w:val="en-US"/>
        </w:rPr>
        <w:t>9.</w:t>
      </w:r>
      <w:r w:rsidR="008425CA">
        <w:rPr>
          <w:lang w:val="en-US"/>
        </w:rPr>
        <w:t xml:space="preserve"> </w:t>
      </w:r>
      <w:r w:rsidRPr="003F2CEE">
        <w:rPr>
          <w:lang w:val="en-US"/>
        </w:rPr>
        <w:t>Pollack C et al. NEJM 2015; 373: 511–20</w:t>
      </w:r>
    </w:p>
    <w:p w14:paraId="787AEFC2" w14:textId="6DCEA3CC" w:rsidR="003F2CEE" w:rsidRDefault="003F2CEE" w:rsidP="003F2CEE">
      <w:pPr>
        <w:rPr>
          <w:lang w:val="en-US"/>
        </w:rPr>
      </w:pPr>
    </w:p>
    <w:p w14:paraId="2B6EA9A8" w14:textId="4F6F5A7C" w:rsidR="000C245B" w:rsidRDefault="000C245B" w:rsidP="003F2CEE">
      <w:pPr>
        <w:rPr>
          <w:lang w:val="en-US"/>
        </w:rPr>
      </w:pPr>
    </w:p>
    <w:p w14:paraId="7DEF39AF" w14:textId="585E26B6" w:rsidR="000C245B" w:rsidRPr="000C245B" w:rsidRDefault="000C245B" w:rsidP="003F2CEE">
      <w:pPr>
        <w:rPr>
          <w:rFonts w:cstheme="minorHAnsi"/>
          <w:b/>
          <w:bCs/>
          <w:spacing w:val="-2"/>
          <w:w w:val="95"/>
          <w:sz w:val="28"/>
          <w:szCs w:val="28"/>
        </w:rPr>
      </w:pPr>
      <w:r w:rsidRPr="000C245B">
        <w:rPr>
          <w:rFonts w:cstheme="minorHAnsi"/>
          <w:b/>
          <w:bCs/>
          <w:spacing w:val="-2"/>
          <w:w w:val="95"/>
          <w:sz w:val="28"/>
          <w:szCs w:val="28"/>
        </w:rPr>
        <w:t>Notizen</w:t>
      </w:r>
    </w:p>
    <w:p w14:paraId="2392424C" w14:textId="77777777" w:rsidR="000C245B" w:rsidRPr="00933A62" w:rsidRDefault="000C245B" w:rsidP="003F2CEE"/>
    <w:p w14:paraId="2E77BDB9" w14:textId="42B640D7" w:rsidR="000C245B" w:rsidRPr="00933A62" w:rsidRDefault="000C245B" w:rsidP="003F2CEE"/>
    <w:p w14:paraId="420600F9" w14:textId="4A824488" w:rsidR="000C245B" w:rsidRPr="0022558B" w:rsidRDefault="00B1027A" w:rsidP="00B37229">
      <w:pPr>
        <w:pStyle w:val="Textkrper"/>
        <w:spacing w:before="95"/>
        <w:rPr>
          <w:rFonts w:asciiTheme="minorHAnsi" w:hAnsiTheme="minorHAnsi" w:cstheme="minorHAnsi"/>
        </w:rPr>
      </w:pPr>
      <w:r>
        <w:rPr>
          <w:rFonts w:asciiTheme="minorHAnsi" w:hAnsiTheme="minorHAnsi" w:cstheme="minorHAnsi"/>
          <w:spacing w:val="-7"/>
        </w:rPr>
        <w:t>Für w</w:t>
      </w:r>
      <w:r w:rsidRPr="0022558B">
        <w:rPr>
          <w:rFonts w:asciiTheme="minorHAnsi" w:hAnsiTheme="minorHAnsi" w:cstheme="minorHAnsi"/>
          <w:spacing w:val="-7"/>
        </w:rPr>
        <w:t>eiterführende</w:t>
      </w:r>
      <w:r w:rsidRPr="0022558B">
        <w:rPr>
          <w:rFonts w:asciiTheme="minorHAnsi" w:hAnsiTheme="minorHAnsi" w:cstheme="minorHAnsi"/>
          <w:spacing w:val="2"/>
        </w:rPr>
        <w:t xml:space="preserve"> </w:t>
      </w:r>
      <w:r w:rsidR="000C245B" w:rsidRPr="0022558B">
        <w:rPr>
          <w:rFonts w:asciiTheme="minorHAnsi" w:hAnsiTheme="minorHAnsi" w:cstheme="minorHAnsi"/>
          <w:spacing w:val="-2"/>
        </w:rPr>
        <w:t>Informationen</w:t>
      </w:r>
      <w:r w:rsidRPr="00B1027A">
        <w:t xml:space="preserve"> </w:t>
      </w:r>
      <w:r w:rsidRPr="00B1027A">
        <w:rPr>
          <w:rFonts w:asciiTheme="minorHAnsi" w:hAnsiTheme="minorHAnsi" w:cstheme="minorHAnsi"/>
          <w:spacing w:val="-2"/>
        </w:rPr>
        <w:t>kontaktieren Sie bitte das pharmazeutische Unternehmen (siehe Fach- und Gebrauchsinformation für Kontaktdaten).</w:t>
      </w:r>
    </w:p>
    <w:p w14:paraId="59CC6AF4" w14:textId="77777777" w:rsidR="000C245B" w:rsidRDefault="000C245B" w:rsidP="000C245B">
      <w:pPr>
        <w:spacing w:before="210"/>
        <w:ind w:left="108"/>
        <w:rPr>
          <w:rFonts w:cstheme="minorHAnsi"/>
          <w:spacing w:val="-4"/>
          <w:sz w:val="18"/>
        </w:rPr>
      </w:pPr>
    </w:p>
    <w:p w14:paraId="570DF422" w14:textId="7F24D602" w:rsidR="000C245B" w:rsidRDefault="000C245B" w:rsidP="000C245B">
      <w:pPr>
        <w:spacing w:before="210"/>
        <w:ind w:left="108"/>
        <w:rPr>
          <w:rFonts w:cstheme="minorHAnsi"/>
          <w:spacing w:val="-4"/>
          <w:sz w:val="18"/>
        </w:rPr>
      </w:pPr>
    </w:p>
    <w:p w14:paraId="45560978" w14:textId="028BE103" w:rsidR="000C245B" w:rsidRPr="00B37229" w:rsidRDefault="00B37229" w:rsidP="00B37229">
      <w:pPr>
        <w:spacing w:before="210"/>
        <w:rPr>
          <w:rFonts w:cstheme="minorHAnsi"/>
          <w:sz w:val="18"/>
        </w:rPr>
      </w:pPr>
      <w:r w:rsidRPr="00811564">
        <w:rPr>
          <w:rFonts w:ascii="Arial" w:eastAsia="Arial" w:hAnsi="Arial" w:cs="Arial"/>
          <w:noProof/>
          <w:lang w:eastAsia="de-DE"/>
        </w:rPr>
        <w:drawing>
          <wp:anchor distT="0" distB="0" distL="114300" distR="114300" simplePos="0" relativeHeight="251661312" behindDoc="0" locked="0" layoutInCell="1" allowOverlap="1" wp14:anchorId="409A6D65" wp14:editId="5B8B2110">
            <wp:simplePos x="0" y="0"/>
            <wp:positionH relativeFrom="column">
              <wp:posOffset>5485765</wp:posOffset>
            </wp:positionH>
            <wp:positionV relativeFrom="paragraph">
              <wp:posOffset>109745</wp:posOffset>
            </wp:positionV>
            <wp:extent cx="1335405" cy="20726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 r="-30037" b="-30037"/>
                    <a:stretch/>
                  </pic:blipFill>
                  <pic:spPr bwMode="auto">
                    <a:xfrm>
                      <a:off x="0" y="0"/>
                      <a:ext cx="1335405" cy="2072640"/>
                    </a:xfrm>
                    <a:prstGeom prst="rect">
                      <a:avLst/>
                    </a:prstGeom>
                    <a:noFill/>
                  </pic:spPr>
                </pic:pic>
              </a:graphicData>
            </a:graphic>
            <wp14:sizeRelH relativeFrom="page">
              <wp14:pctWidth>0</wp14:pctWidth>
            </wp14:sizeRelH>
            <wp14:sizeRelV relativeFrom="page">
              <wp14:pctHeight>0</wp14:pctHeight>
            </wp14:sizeRelV>
          </wp:anchor>
        </w:drawing>
      </w:r>
      <w:r w:rsidR="000C245B" w:rsidRPr="0022558B">
        <w:rPr>
          <w:rFonts w:cstheme="minorHAnsi"/>
          <w:spacing w:val="-4"/>
          <w:sz w:val="18"/>
        </w:rPr>
        <w:t>Stand</w:t>
      </w:r>
      <w:r w:rsidR="000C245B" w:rsidRPr="0022558B">
        <w:rPr>
          <w:rFonts w:cstheme="minorHAnsi"/>
          <w:spacing w:val="-2"/>
          <w:sz w:val="18"/>
        </w:rPr>
        <w:t xml:space="preserve"> </w:t>
      </w:r>
      <w:r w:rsidR="000C245B" w:rsidRPr="0022558B">
        <w:rPr>
          <w:rFonts w:cstheme="minorHAnsi"/>
          <w:spacing w:val="-4"/>
          <w:sz w:val="18"/>
        </w:rPr>
        <w:t>der</w:t>
      </w:r>
      <w:r w:rsidR="000C245B" w:rsidRPr="0022558B">
        <w:rPr>
          <w:rFonts w:cstheme="minorHAnsi"/>
          <w:spacing w:val="-2"/>
          <w:sz w:val="18"/>
        </w:rPr>
        <w:t xml:space="preserve"> </w:t>
      </w:r>
      <w:r w:rsidR="000C245B" w:rsidRPr="0022558B">
        <w:rPr>
          <w:rFonts w:cstheme="minorHAnsi"/>
          <w:spacing w:val="-4"/>
          <w:sz w:val="18"/>
        </w:rPr>
        <w:t>Information:</w:t>
      </w:r>
      <w:r w:rsidR="000C245B" w:rsidRPr="0022558B">
        <w:rPr>
          <w:rFonts w:cstheme="minorHAnsi"/>
          <w:spacing w:val="-2"/>
          <w:sz w:val="18"/>
        </w:rPr>
        <w:t xml:space="preserve"> </w:t>
      </w:r>
      <w:r w:rsidR="00997212">
        <w:rPr>
          <w:rFonts w:cstheme="minorHAnsi"/>
          <w:spacing w:val="-4"/>
          <w:sz w:val="18"/>
        </w:rPr>
        <w:t>Ju</w:t>
      </w:r>
      <w:r w:rsidR="00006F09">
        <w:rPr>
          <w:rFonts w:cstheme="minorHAnsi"/>
          <w:spacing w:val="-4"/>
          <w:sz w:val="18"/>
        </w:rPr>
        <w:t>l</w:t>
      </w:r>
      <w:r w:rsidR="00997212">
        <w:rPr>
          <w:rFonts w:cstheme="minorHAnsi"/>
          <w:spacing w:val="-4"/>
          <w:sz w:val="18"/>
        </w:rPr>
        <w:t xml:space="preserve">i </w:t>
      </w:r>
      <w:r w:rsidR="000C245B">
        <w:rPr>
          <w:rFonts w:cstheme="minorHAnsi"/>
          <w:spacing w:val="-4"/>
          <w:sz w:val="18"/>
        </w:rPr>
        <w:t>2023</w:t>
      </w:r>
    </w:p>
    <w:sectPr w:rsidR="000C245B" w:rsidRPr="00B372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FBD4" w14:textId="77777777" w:rsidR="00674EBC" w:rsidRDefault="00674EBC" w:rsidP="003F3FA9">
      <w:pPr>
        <w:spacing w:after="0" w:line="240" w:lineRule="auto"/>
      </w:pPr>
      <w:r>
        <w:separator/>
      </w:r>
    </w:p>
  </w:endnote>
  <w:endnote w:type="continuationSeparator" w:id="0">
    <w:p w14:paraId="7EE3E23B" w14:textId="77777777" w:rsidR="00674EBC" w:rsidRDefault="00674EBC" w:rsidP="003F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A1487" w14:textId="77777777" w:rsidR="00674EBC" w:rsidRDefault="00674EBC" w:rsidP="003F3FA9">
      <w:pPr>
        <w:spacing w:after="0" w:line="240" w:lineRule="auto"/>
      </w:pPr>
      <w:r>
        <w:separator/>
      </w:r>
    </w:p>
  </w:footnote>
  <w:footnote w:type="continuationSeparator" w:id="0">
    <w:p w14:paraId="3D8919C0" w14:textId="77777777" w:rsidR="00674EBC" w:rsidRDefault="00674EBC" w:rsidP="003F3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A3C74"/>
    <w:multiLevelType w:val="hybridMultilevel"/>
    <w:tmpl w:val="FB00DD78"/>
    <w:lvl w:ilvl="0" w:tplc="EBFCB13C">
      <w:numFmt w:val="bullet"/>
      <w:lvlText w:val="•"/>
      <w:lvlJc w:val="left"/>
      <w:pPr>
        <w:ind w:left="278" w:hanging="171"/>
      </w:pPr>
      <w:rPr>
        <w:rFonts w:ascii="Trebuchet MS" w:eastAsia="Trebuchet MS" w:hAnsi="Trebuchet MS" w:cs="Trebuchet MS" w:hint="default"/>
        <w:w w:val="127"/>
        <w:lang w:val="de-DE" w:eastAsia="en-US" w:bidi="ar-SA"/>
      </w:rPr>
    </w:lvl>
    <w:lvl w:ilvl="1" w:tplc="CAB648FC">
      <w:numFmt w:val="bullet"/>
      <w:lvlText w:val="•"/>
      <w:lvlJc w:val="left"/>
      <w:pPr>
        <w:ind w:left="712" w:hanging="199"/>
      </w:pPr>
      <w:rPr>
        <w:rFonts w:ascii="Trebuchet MS" w:eastAsia="Trebuchet MS" w:hAnsi="Trebuchet MS" w:cs="Trebuchet MS" w:hint="default"/>
        <w:b w:val="0"/>
        <w:bCs w:val="0"/>
        <w:i w:val="0"/>
        <w:iCs w:val="0"/>
        <w:color w:val="0252A0"/>
        <w:w w:val="127"/>
        <w:sz w:val="24"/>
        <w:szCs w:val="24"/>
        <w:lang w:val="de-DE" w:eastAsia="en-US" w:bidi="ar-SA"/>
      </w:rPr>
    </w:lvl>
    <w:lvl w:ilvl="2" w:tplc="6EECDA30">
      <w:numFmt w:val="bullet"/>
      <w:lvlText w:val="•"/>
      <w:lvlJc w:val="left"/>
      <w:pPr>
        <w:ind w:left="1407" w:hanging="199"/>
      </w:pPr>
      <w:rPr>
        <w:rFonts w:hint="default"/>
        <w:lang w:val="de-DE" w:eastAsia="en-US" w:bidi="ar-SA"/>
      </w:rPr>
    </w:lvl>
    <w:lvl w:ilvl="3" w:tplc="1EB08612">
      <w:numFmt w:val="bullet"/>
      <w:lvlText w:val="•"/>
      <w:lvlJc w:val="left"/>
      <w:pPr>
        <w:ind w:left="2095" w:hanging="199"/>
      </w:pPr>
      <w:rPr>
        <w:rFonts w:hint="default"/>
        <w:lang w:val="de-DE" w:eastAsia="en-US" w:bidi="ar-SA"/>
      </w:rPr>
    </w:lvl>
    <w:lvl w:ilvl="4" w:tplc="D01E9C98">
      <w:numFmt w:val="bullet"/>
      <w:lvlText w:val="•"/>
      <w:lvlJc w:val="left"/>
      <w:pPr>
        <w:ind w:left="2783" w:hanging="199"/>
      </w:pPr>
      <w:rPr>
        <w:rFonts w:hint="default"/>
        <w:lang w:val="de-DE" w:eastAsia="en-US" w:bidi="ar-SA"/>
      </w:rPr>
    </w:lvl>
    <w:lvl w:ilvl="5" w:tplc="FF38B5F6">
      <w:numFmt w:val="bullet"/>
      <w:lvlText w:val="•"/>
      <w:lvlJc w:val="left"/>
      <w:pPr>
        <w:ind w:left="3471" w:hanging="199"/>
      </w:pPr>
      <w:rPr>
        <w:rFonts w:hint="default"/>
        <w:lang w:val="de-DE" w:eastAsia="en-US" w:bidi="ar-SA"/>
      </w:rPr>
    </w:lvl>
    <w:lvl w:ilvl="6" w:tplc="1DFC9640">
      <w:numFmt w:val="bullet"/>
      <w:lvlText w:val="•"/>
      <w:lvlJc w:val="left"/>
      <w:pPr>
        <w:ind w:left="4159" w:hanging="199"/>
      </w:pPr>
      <w:rPr>
        <w:rFonts w:hint="default"/>
        <w:lang w:val="de-DE" w:eastAsia="en-US" w:bidi="ar-SA"/>
      </w:rPr>
    </w:lvl>
    <w:lvl w:ilvl="7" w:tplc="C2B64546">
      <w:numFmt w:val="bullet"/>
      <w:lvlText w:val="•"/>
      <w:lvlJc w:val="left"/>
      <w:pPr>
        <w:ind w:left="4847" w:hanging="199"/>
      </w:pPr>
      <w:rPr>
        <w:rFonts w:hint="default"/>
        <w:lang w:val="de-DE" w:eastAsia="en-US" w:bidi="ar-SA"/>
      </w:rPr>
    </w:lvl>
    <w:lvl w:ilvl="8" w:tplc="040ED376">
      <w:numFmt w:val="bullet"/>
      <w:lvlText w:val="•"/>
      <w:lvlJc w:val="left"/>
      <w:pPr>
        <w:ind w:left="5534" w:hanging="199"/>
      </w:pPr>
      <w:rPr>
        <w:rFonts w:hint="default"/>
        <w:lang w:val="de-DE" w:eastAsia="en-US" w:bidi="ar-SA"/>
      </w:rPr>
    </w:lvl>
  </w:abstractNum>
  <w:abstractNum w:abstractNumId="1" w15:restartNumberingAfterBreak="0">
    <w:nsid w:val="6FC828F2"/>
    <w:multiLevelType w:val="hybridMultilevel"/>
    <w:tmpl w:val="F990C9C8"/>
    <w:lvl w:ilvl="0" w:tplc="72628770">
      <w:numFmt w:val="bullet"/>
      <w:lvlText w:val="•"/>
      <w:lvlJc w:val="left"/>
      <w:pPr>
        <w:ind w:left="310" w:hanging="202"/>
      </w:pPr>
      <w:rPr>
        <w:rFonts w:ascii="Trebuchet MS" w:eastAsia="Trebuchet MS" w:hAnsi="Trebuchet MS" w:cs="Trebuchet MS" w:hint="default"/>
        <w:b w:val="0"/>
        <w:bCs w:val="0"/>
        <w:i w:val="0"/>
        <w:iCs w:val="0"/>
        <w:color w:val="0252A0"/>
        <w:w w:val="127"/>
        <w:sz w:val="22"/>
        <w:szCs w:val="22"/>
        <w:lang w:val="de-DE" w:eastAsia="en-US" w:bidi="ar-SA"/>
      </w:rPr>
    </w:lvl>
    <w:lvl w:ilvl="1" w:tplc="6C06BA46">
      <w:numFmt w:val="bullet"/>
      <w:lvlText w:val="•"/>
      <w:lvlJc w:val="left"/>
      <w:pPr>
        <w:ind w:left="604" w:hanging="202"/>
      </w:pPr>
      <w:rPr>
        <w:rFonts w:hint="default"/>
        <w:lang w:val="de-DE" w:eastAsia="en-US" w:bidi="ar-SA"/>
      </w:rPr>
    </w:lvl>
    <w:lvl w:ilvl="2" w:tplc="91BC3E86">
      <w:numFmt w:val="bullet"/>
      <w:lvlText w:val="•"/>
      <w:lvlJc w:val="left"/>
      <w:pPr>
        <w:ind w:left="908" w:hanging="202"/>
      </w:pPr>
      <w:rPr>
        <w:rFonts w:hint="default"/>
        <w:lang w:val="de-DE" w:eastAsia="en-US" w:bidi="ar-SA"/>
      </w:rPr>
    </w:lvl>
    <w:lvl w:ilvl="3" w:tplc="2C681286">
      <w:numFmt w:val="bullet"/>
      <w:lvlText w:val="•"/>
      <w:lvlJc w:val="left"/>
      <w:pPr>
        <w:ind w:left="1212" w:hanging="202"/>
      </w:pPr>
      <w:rPr>
        <w:rFonts w:hint="default"/>
        <w:lang w:val="de-DE" w:eastAsia="en-US" w:bidi="ar-SA"/>
      </w:rPr>
    </w:lvl>
    <w:lvl w:ilvl="4" w:tplc="E4F071AE">
      <w:numFmt w:val="bullet"/>
      <w:lvlText w:val="•"/>
      <w:lvlJc w:val="left"/>
      <w:pPr>
        <w:ind w:left="1516" w:hanging="202"/>
      </w:pPr>
      <w:rPr>
        <w:rFonts w:hint="default"/>
        <w:lang w:val="de-DE" w:eastAsia="en-US" w:bidi="ar-SA"/>
      </w:rPr>
    </w:lvl>
    <w:lvl w:ilvl="5" w:tplc="B4606C80">
      <w:numFmt w:val="bullet"/>
      <w:lvlText w:val="•"/>
      <w:lvlJc w:val="left"/>
      <w:pPr>
        <w:ind w:left="1820" w:hanging="202"/>
      </w:pPr>
      <w:rPr>
        <w:rFonts w:hint="default"/>
        <w:lang w:val="de-DE" w:eastAsia="en-US" w:bidi="ar-SA"/>
      </w:rPr>
    </w:lvl>
    <w:lvl w:ilvl="6" w:tplc="F68C1302">
      <w:numFmt w:val="bullet"/>
      <w:lvlText w:val="•"/>
      <w:lvlJc w:val="left"/>
      <w:pPr>
        <w:ind w:left="2124" w:hanging="202"/>
      </w:pPr>
      <w:rPr>
        <w:rFonts w:hint="default"/>
        <w:lang w:val="de-DE" w:eastAsia="en-US" w:bidi="ar-SA"/>
      </w:rPr>
    </w:lvl>
    <w:lvl w:ilvl="7" w:tplc="A0E6188A">
      <w:numFmt w:val="bullet"/>
      <w:lvlText w:val="•"/>
      <w:lvlJc w:val="left"/>
      <w:pPr>
        <w:ind w:left="2428" w:hanging="202"/>
      </w:pPr>
      <w:rPr>
        <w:rFonts w:hint="default"/>
        <w:lang w:val="de-DE" w:eastAsia="en-US" w:bidi="ar-SA"/>
      </w:rPr>
    </w:lvl>
    <w:lvl w:ilvl="8" w:tplc="E04C6FF8">
      <w:numFmt w:val="bullet"/>
      <w:lvlText w:val="•"/>
      <w:lvlJc w:val="left"/>
      <w:pPr>
        <w:ind w:left="2732" w:hanging="202"/>
      </w:pPr>
      <w:rPr>
        <w:rFonts w:hint="default"/>
        <w:lang w:val="de-DE"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6E"/>
    <w:rsid w:val="00006F09"/>
    <w:rsid w:val="00025F3D"/>
    <w:rsid w:val="000A2D1A"/>
    <w:rsid w:val="000C245B"/>
    <w:rsid w:val="000E1F14"/>
    <w:rsid w:val="00120745"/>
    <w:rsid w:val="00185D58"/>
    <w:rsid w:val="001A0947"/>
    <w:rsid w:val="001F6688"/>
    <w:rsid w:val="00255C1F"/>
    <w:rsid w:val="00265906"/>
    <w:rsid w:val="00281D95"/>
    <w:rsid w:val="00325491"/>
    <w:rsid w:val="00376F80"/>
    <w:rsid w:val="003D39F1"/>
    <w:rsid w:val="003E5220"/>
    <w:rsid w:val="003F2CEE"/>
    <w:rsid w:val="003F3FA9"/>
    <w:rsid w:val="004567E9"/>
    <w:rsid w:val="004D641D"/>
    <w:rsid w:val="00513835"/>
    <w:rsid w:val="00552407"/>
    <w:rsid w:val="00570DE8"/>
    <w:rsid w:val="00657EB2"/>
    <w:rsid w:val="00667F69"/>
    <w:rsid w:val="006708ED"/>
    <w:rsid w:val="00674EBC"/>
    <w:rsid w:val="00690BCB"/>
    <w:rsid w:val="006D3808"/>
    <w:rsid w:val="00730D14"/>
    <w:rsid w:val="00740AE4"/>
    <w:rsid w:val="00754B62"/>
    <w:rsid w:val="00755DD1"/>
    <w:rsid w:val="0076189B"/>
    <w:rsid w:val="00761D68"/>
    <w:rsid w:val="0079187C"/>
    <w:rsid w:val="007B60F3"/>
    <w:rsid w:val="0080482C"/>
    <w:rsid w:val="00811564"/>
    <w:rsid w:val="00832A30"/>
    <w:rsid w:val="008425CA"/>
    <w:rsid w:val="00855351"/>
    <w:rsid w:val="00864DFA"/>
    <w:rsid w:val="008659B7"/>
    <w:rsid w:val="008C7377"/>
    <w:rsid w:val="00933A62"/>
    <w:rsid w:val="00997212"/>
    <w:rsid w:val="009C76CA"/>
    <w:rsid w:val="009E4285"/>
    <w:rsid w:val="00A24445"/>
    <w:rsid w:val="00A6258C"/>
    <w:rsid w:val="00B1027A"/>
    <w:rsid w:val="00B1365F"/>
    <w:rsid w:val="00B37229"/>
    <w:rsid w:val="00B5488E"/>
    <w:rsid w:val="00B7496C"/>
    <w:rsid w:val="00B80E16"/>
    <w:rsid w:val="00B8420D"/>
    <w:rsid w:val="00B97A00"/>
    <w:rsid w:val="00BB4B1D"/>
    <w:rsid w:val="00BB5616"/>
    <w:rsid w:val="00BD3886"/>
    <w:rsid w:val="00C04263"/>
    <w:rsid w:val="00C52B21"/>
    <w:rsid w:val="00CC3D7E"/>
    <w:rsid w:val="00CC4C80"/>
    <w:rsid w:val="00CE686E"/>
    <w:rsid w:val="00DA3026"/>
    <w:rsid w:val="00DC7E4B"/>
    <w:rsid w:val="00DF5038"/>
    <w:rsid w:val="00EB5FB3"/>
    <w:rsid w:val="00EE6A8F"/>
    <w:rsid w:val="00F108CF"/>
    <w:rsid w:val="00F353AC"/>
    <w:rsid w:val="00FC6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2B618"/>
  <w15:chartTrackingRefBased/>
  <w15:docId w15:val="{9C1A0CAF-ADE1-45C2-8870-C96F165E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10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E5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A24445"/>
    <w:pPr>
      <w:widowControl w:val="0"/>
      <w:autoSpaceDE w:val="0"/>
      <w:autoSpaceDN w:val="0"/>
      <w:spacing w:before="73" w:after="0" w:line="240" w:lineRule="auto"/>
      <w:ind w:left="108"/>
    </w:pPr>
    <w:rPr>
      <w:rFonts w:ascii="Trebuchet MS" w:eastAsia="Trebuchet MS" w:hAnsi="Trebuchet MS" w:cs="Trebuchet MS"/>
    </w:rPr>
  </w:style>
  <w:style w:type="character" w:styleId="Hyperlink">
    <w:name w:val="Hyperlink"/>
    <w:basedOn w:val="Absatz-Standardschriftart"/>
    <w:uiPriority w:val="99"/>
    <w:unhideWhenUsed/>
    <w:rsid w:val="0080482C"/>
    <w:rPr>
      <w:color w:val="0563C1" w:themeColor="hyperlink"/>
      <w:u w:val="single"/>
    </w:rPr>
  </w:style>
  <w:style w:type="character" w:customStyle="1" w:styleId="UnresolvedMention1">
    <w:name w:val="Unresolved Mention1"/>
    <w:basedOn w:val="Absatz-Standardschriftart"/>
    <w:uiPriority w:val="99"/>
    <w:semiHidden/>
    <w:unhideWhenUsed/>
    <w:rsid w:val="0080482C"/>
    <w:rPr>
      <w:color w:val="605E5C"/>
      <w:shd w:val="clear" w:color="auto" w:fill="E1DFDD"/>
    </w:rPr>
  </w:style>
  <w:style w:type="paragraph" w:styleId="Textkrper">
    <w:name w:val="Body Text"/>
    <w:basedOn w:val="Standard"/>
    <w:link w:val="TextkrperZchn"/>
    <w:uiPriority w:val="1"/>
    <w:qFormat/>
    <w:rsid w:val="000C245B"/>
    <w:pPr>
      <w:widowControl w:val="0"/>
      <w:autoSpaceDE w:val="0"/>
      <w:autoSpaceDN w:val="0"/>
      <w:spacing w:after="0" w:line="240" w:lineRule="auto"/>
    </w:pPr>
    <w:rPr>
      <w:rFonts w:ascii="Trebuchet MS" w:eastAsia="Trebuchet MS" w:hAnsi="Trebuchet MS" w:cs="Trebuchet MS"/>
      <w:sz w:val="24"/>
      <w:szCs w:val="24"/>
    </w:rPr>
  </w:style>
  <w:style w:type="character" w:customStyle="1" w:styleId="TextkrperZchn">
    <w:name w:val="Textkörper Zchn"/>
    <w:basedOn w:val="Absatz-Standardschriftart"/>
    <w:link w:val="Textkrper"/>
    <w:uiPriority w:val="1"/>
    <w:rsid w:val="000C245B"/>
    <w:rPr>
      <w:rFonts w:ascii="Trebuchet MS" w:eastAsia="Trebuchet MS" w:hAnsi="Trebuchet MS" w:cs="Trebuchet MS"/>
      <w:sz w:val="24"/>
      <w:szCs w:val="24"/>
    </w:rPr>
  </w:style>
  <w:style w:type="paragraph" w:styleId="berarbeitung">
    <w:name w:val="Revision"/>
    <w:hidden/>
    <w:uiPriority w:val="99"/>
    <w:semiHidden/>
    <w:rsid w:val="00B1027A"/>
    <w:pPr>
      <w:spacing w:after="0" w:line="240" w:lineRule="auto"/>
    </w:pPr>
  </w:style>
  <w:style w:type="character" w:styleId="Kommentarzeichen">
    <w:name w:val="annotation reference"/>
    <w:basedOn w:val="Absatz-Standardschriftart"/>
    <w:uiPriority w:val="99"/>
    <w:semiHidden/>
    <w:unhideWhenUsed/>
    <w:rsid w:val="00B1027A"/>
    <w:rPr>
      <w:sz w:val="16"/>
      <w:szCs w:val="16"/>
    </w:rPr>
  </w:style>
  <w:style w:type="paragraph" w:styleId="Kommentartext">
    <w:name w:val="annotation text"/>
    <w:basedOn w:val="Standard"/>
    <w:link w:val="KommentartextZchn"/>
    <w:uiPriority w:val="99"/>
    <w:unhideWhenUsed/>
    <w:rsid w:val="00B1027A"/>
    <w:pPr>
      <w:spacing w:line="240" w:lineRule="auto"/>
    </w:pPr>
    <w:rPr>
      <w:sz w:val="20"/>
      <w:szCs w:val="20"/>
    </w:rPr>
  </w:style>
  <w:style w:type="character" w:customStyle="1" w:styleId="KommentartextZchn">
    <w:name w:val="Kommentartext Zchn"/>
    <w:basedOn w:val="Absatz-Standardschriftart"/>
    <w:link w:val="Kommentartext"/>
    <w:uiPriority w:val="99"/>
    <w:rsid w:val="00B1027A"/>
    <w:rPr>
      <w:sz w:val="20"/>
      <w:szCs w:val="20"/>
    </w:rPr>
  </w:style>
  <w:style w:type="character" w:customStyle="1" w:styleId="berschrift1Zchn">
    <w:name w:val="Überschrift 1 Zchn"/>
    <w:basedOn w:val="Absatz-Standardschriftart"/>
    <w:link w:val="berschrift1"/>
    <w:uiPriority w:val="9"/>
    <w:rsid w:val="00B1027A"/>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B1027A"/>
    <w:pPr>
      <w:outlineLvl w:val="9"/>
    </w:pPr>
    <w:rPr>
      <w:lang w:val="en-US"/>
    </w:rPr>
  </w:style>
  <w:style w:type="paragraph" w:styleId="Verzeichnis1">
    <w:name w:val="toc 1"/>
    <w:basedOn w:val="Standard"/>
    <w:next w:val="Standard"/>
    <w:autoRedefine/>
    <w:uiPriority w:val="39"/>
    <w:unhideWhenUsed/>
    <w:rsid w:val="00997212"/>
    <w:pPr>
      <w:spacing w:after="100"/>
    </w:pPr>
  </w:style>
  <w:style w:type="paragraph" w:styleId="Kommentarthema">
    <w:name w:val="annotation subject"/>
    <w:basedOn w:val="Kommentartext"/>
    <w:next w:val="Kommentartext"/>
    <w:link w:val="KommentarthemaZchn"/>
    <w:uiPriority w:val="99"/>
    <w:semiHidden/>
    <w:unhideWhenUsed/>
    <w:rsid w:val="00EE6A8F"/>
    <w:rPr>
      <w:b/>
      <w:bCs/>
    </w:rPr>
  </w:style>
  <w:style w:type="character" w:customStyle="1" w:styleId="KommentarthemaZchn">
    <w:name w:val="Kommentarthema Zchn"/>
    <w:basedOn w:val="KommentartextZchn"/>
    <w:link w:val="Kommentarthema"/>
    <w:uiPriority w:val="99"/>
    <w:semiHidden/>
    <w:rsid w:val="00EE6A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3C80-400B-4EDE-B424-A8EFFC9B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2865</Words>
  <Characters>18054</Characters>
  <Application>Microsoft Office Word</Application>
  <DocSecurity>0</DocSecurity>
  <Lines>150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Peinz, Ulrich</dc:creator>
  <cp:keywords/>
  <dc:description/>
  <cp:lastModifiedBy>Klemm, Barbara</cp:lastModifiedBy>
  <cp:revision>5</cp:revision>
  <dcterms:created xsi:type="dcterms:W3CDTF">2023-08-02T08:58:00Z</dcterms:created>
  <dcterms:modified xsi:type="dcterms:W3CDTF">2023-08-09T09:38:00Z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2023-05-10T17:29:56Z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9e090ac9-f11c-4318-9a5f-e7b165426d1e</vt:lpwstr>
  </property>
  <property fmtid="{D5CDD505-2E9C-101B-9397-08002B2CF9AE}" pid="8" name="MSIP_Label_3c9bec58-8084-492e-8360-0e1cfe36408c_ContentBits">
    <vt:lpwstr>0</vt:lpwstr>
  </property>
  <property fmtid="{D5CDD505-2E9C-101B-9397-08002B2CF9AE}" pid="9" name="_MarkAsFinal">
    <vt:bool>true</vt:bool>
  </property>
</Properties>
</file>