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FD984" w14:textId="76F33B14" w:rsidR="00C52B21" w:rsidRDefault="00811564" w:rsidP="00AB13D5">
      <w:pPr>
        <w:pBdr>
          <w:top w:val="single" w:sz="4" w:space="1" w:color="auto"/>
          <w:left w:val="single" w:sz="4" w:space="4" w:color="auto"/>
          <w:bottom w:val="single" w:sz="4" w:space="1" w:color="auto"/>
          <w:right w:val="single" w:sz="4" w:space="4" w:color="auto"/>
        </w:pBdr>
        <w:ind w:right="425"/>
      </w:pPr>
      <w:bookmarkStart w:id="0" w:name="_GoBack"/>
      <w:bookmarkEnd w:id="0"/>
      <w:r w:rsidRPr="00AB13D5">
        <w:rPr>
          <w:rFonts w:ascii="Arial" w:eastAsia="Arial" w:hAnsi="Arial" w:cs="Arial"/>
          <w:noProof/>
          <w:lang w:eastAsia="de-DE"/>
        </w:rPr>
        <w:drawing>
          <wp:anchor distT="0" distB="0" distL="114300" distR="114300" simplePos="0" relativeHeight="251659264" behindDoc="0" locked="0" layoutInCell="1" allowOverlap="1" wp14:anchorId="1634C4EE" wp14:editId="717C5AAC">
            <wp:simplePos x="0" y="0"/>
            <wp:positionH relativeFrom="column">
              <wp:posOffset>5518150</wp:posOffset>
            </wp:positionH>
            <wp:positionV relativeFrom="paragraph">
              <wp:posOffset>-578456</wp:posOffset>
            </wp:positionV>
            <wp:extent cx="1335405" cy="2072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 r="-30037" b="-30037"/>
                    <a:stretch/>
                  </pic:blipFill>
                  <pic:spPr bwMode="auto">
                    <a:xfrm>
                      <a:off x="0" y="0"/>
                      <a:ext cx="1335405" cy="2072640"/>
                    </a:xfrm>
                    <a:prstGeom prst="rect">
                      <a:avLst/>
                    </a:prstGeom>
                    <a:noFill/>
                  </pic:spPr>
                </pic:pic>
              </a:graphicData>
            </a:graphic>
            <wp14:sizeRelH relativeFrom="page">
              <wp14:pctWidth>0</wp14:pctWidth>
            </wp14:sizeRelH>
            <wp14:sizeRelV relativeFrom="page">
              <wp14:pctHeight>0</wp14:pctHeight>
            </wp14:sizeRelV>
          </wp:anchor>
        </w:drawing>
      </w:r>
      <w:bookmarkStart w:id="1" w:name="_Hlk137055640"/>
      <w:r w:rsidR="00410892" w:rsidRPr="00AB13D5">
        <w:rPr>
          <w:rFonts w:ascii="Arial" w:eastAsia="Arial" w:hAnsi="Arial" w:cs="Arial"/>
          <w:noProof/>
          <w:lang w:eastAsia="de-DE"/>
        </w:rPr>
        <w:t>Dieser Leitfaden wurde als verpflichtender Teil der Zulassung in Abstimmung mit dem</w:t>
      </w:r>
      <w:r w:rsidR="00410892" w:rsidRPr="003260A6">
        <w:rPr>
          <w:rFonts w:ascii="Arial" w:eastAsia="Arial" w:hAnsi="Arial" w:cs="Arial"/>
          <w:noProof/>
          <w:bdr w:val="single" w:sz="4" w:space="0" w:color="auto"/>
          <w:lang w:eastAsia="de-DE"/>
        </w:rPr>
        <w:t xml:space="preserve"> </w:t>
      </w:r>
      <w:r w:rsidR="00410892" w:rsidRPr="00AB13D5">
        <w:rPr>
          <w:rFonts w:ascii="Arial" w:eastAsia="Arial" w:hAnsi="Arial" w:cs="Arial"/>
          <w:noProof/>
          <w:lang w:eastAsia="de-DE"/>
        </w:rPr>
        <w:t>Bundesinstitut für Arzneimittel und Medizinprodukte (BfArM) erstellt und als zusätzliche</w:t>
      </w:r>
      <w:r w:rsidR="00410892" w:rsidRPr="003260A6">
        <w:rPr>
          <w:rFonts w:ascii="Arial" w:eastAsia="Arial" w:hAnsi="Arial" w:cs="Arial"/>
          <w:noProof/>
          <w:bdr w:val="single" w:sz="4" w:space="0" w:color="auto"/>
          <w:lang w:eastAsia="de-DE"/>
        </w:rPr>
        <w:t xml:space="preserve"> </w:t>
      </w:r>
      <w:r w:rsidR="00410892" w:rsidRPr="00AB13D5">
        <w:rPr>
          <w:rFonts w:ascii="Arial" w:eastAsia="Arial" w:hAnsi="Arial" w:cs="Arial"/>
          <w:noProof/>
          <w:lang w:eastAsia="de-DE"/>
        </w:rPr>
        <w:t>risikominimierende Maßnahme beauflagt. Dadurch soll sichergestellt werden, dass</w:t>
      </w:r>
      <w:r w:rsidR="00410892" w:rsidRPr="003260A6">
        <w:rPr>
          <w:rFonts w:ascii="Arial" w:eastAsia="Arial" w:hAnsi="Arial" w:cs="Arial"/>
          <w:noProof/>
          <w:bdr w:val="single" w:sz="4" w:space="0" w:color="auto"/>
          <w:lang w:eastAsia="de-DE"/>
        </w:rPr>
        <w:t xml:space="preserve"> </w:t>
      </w:r>
      <w:r w:rsidR="00410892" w:rsidRPr="00AB13D5">
        <w:rPr>
          <w:rFonts w:ascii="Arial" w:eastAsia="Arial" w:hAnsi="Arial" w:cs="Arial"/>
          <w:noProof/>
          <w:lang w:eastAsia="de-DE"/>
        </w:rPr>
        <w:t>Angehörige der Heilberufe, die Dabigatranetexilat verschreiben und zur Anwendung</w:t>
      </w:r>
      <w:r w:rsidR="00410892" w:rsidRPr="003260A6">
        <w:rPr>
          <w:rFonts w:ascii="Arial" w:eastAsia="Arial" w:hAnsi="Arial" w:cs="Arial"/>
          <w:noProof/>
          <w:bdr w:val="single" w:sz="4" w:space="0" w:color="auto"/>
          <w:lang w:eastAsia="de-DE"/>
        </w:rPr>
        <w:t xml:space="preserve"> </w:t>
      </w:r>
      <w:r w:rsidR="00410892" w:rsidRPr="00AB13D5">
        <w:rPr>
          <w:rFonts w:ascii="Arial" w:eastAsia="Arial" w:hAnsi="Arial" w:cs="Arial"/>
          <w:noProof/>
          <w:lang w:eastAsia="de-DE"/>
        </w:rPr>
        <w:t>bringen, die besonderen Sicherheitsanforderungen kennen und berücksichtigen.</w:t>
      </w:r>
      <w:bookmarkEnd w:id="1"/>
    </w:p>
    <w:p w14:paraId="504889F9" w14:textId="151E441E" w:rsidR="00C52B21" w:rsidRDefault="00C52B21" w:rsidP="00C52B21"/>
    <w:p w14:paraId="68AAABF0" w14:textId="77777777" w:rsidR="00410892" w:rsidRPr="00A31FA5" w:rsidRDefault="00410892" w:rsidP="00410892">
      <w:pPr>
        <w:jc w:val="center"/>
        <w:rPr>
          <w:b/>
          <w:bCs/>
          <w:sz w:val="40"/>
          <w:szCs w:val="40"/>
        </w:rPr>
      </w:pPr>
      <w:r w:rsidRPr="00A31FA5">
        <w:rPr>
          <w:b/>
          <w:bCs/>
          <w:sz w:val="40"/>
          <w:szCs w:val="40"/>
        </w:rPr>
        <w:t>Leitfaden zur Verringerung von Arzneimittel- und Anwendungsrisiken – Angehörige der Heilberufe</w:t>
      </w:r>
    </w:p>
    <w:p w14:paraId="769307ED" w14:textId="77777777" w:rsidR="00410892" w:rsidRDefault="00410892" w:rsidP="00410892">
      <w:pPr>
        <w:jc w:val="center"/>
        <w:rPr>
          <w:bCs/>
          <w:sz w:val="24"/>
          <w:szCs w:val="24"/>
        </w:rPr>
      </w:pPr>
      <w:r w:rsidRPr="00A90374">
        <w:rPr>
          <w:bCs/>
          <w:sz w:val="24"/>
          <w:szCs w:val="24"/>
        </w:rPr>
        <w:t>Beachten Sie bitte auch die Fachinformationen zu Dabigatranetexilat</w:t>
      </w:r>
    </w:p>
    <w:p w14:paraId="36BD3EC8" w14:textId="49D85FCB" w:rsidR="00190011" w:rsidRDefault="00410892" w:rsidP="00DE2199">
      <w:pPr>
        <w:jc w:val="center"/>
        <w:rPr>
          <w:b/>
          <w:bCs/>
        </w:rPr>
      </w:pPr>
      <w:r w:rsidRPr="00C9775B">
        <w:rPr>
          <w:rFonts w:ascii="Arial Narrow" w:eastAsia="Calibri" w:hAnsi="Arial Narrow" w:cs="Calibri"/>
          <w:b/>
          <w:color w:val="000000"/>
          <w:sz w:val="40"/>
          <w:szCs w:val="40"/>
        </w:rPr>
        <w:t>Dabigatranetexilat</w:t>
      </w:r>
    </w:p>
    <w:p w14:paraId="4C09F6FF" w14:textId="77777777" w:rsidR="00836CA0" w:rsidRDefault="00836CA0" w:rsidP="00836CA0">
      <w:pPr>
        <w:rPr>
          <w:b/>
          <w:bCs/>
          <w:sz w:val="24"/>
          <w:szCs w:val="24"/>
        </w:rPr>
      </w:pPr>
      <w:r w:rsidRPr="00B6117A">
        <w:rPr>
          <w:b/>
          <w:bCs/>
          <w:sz w:val="24"/>
          <w:szCs w:val="24"/>
        </w:rPr>
        <w:t>Die Empfehlungen gelten nur für diese Indikation:</w:t>
      </w:r>
    </w:p>
    <w:p w14:paraId="355578BE" w14:textId="2E2FE264" w:rsidR="00836CA0" w:rsidRPr="00B6117A" w:rsidRDefault="00836CA0" w:rsidP="00836CA0">
      <w:pPr>
        <w:pStyle w:val="Listenabsatz"/>
        <w:numPr>
          <w:ilvl w:val="0"/>
          <w:numId w:val="5"/>
        </w:numPr>
        <w:ind w:left="357" w:hanging="357"/>
        <w:rPr>
          <w:bCs/>
          <w:sz w:val="24"/>
          <w:szCs w:val="24"/>
        </w:rPr>
      </w:pPr>
      <w:r w:rsidRPr="00B6117A">
        <w:rPr>
          <w:bCs/>
          <w:sz w:val="24"/>
          <w:szCs w:val="24"/>
        </w:rPr>
        <w:t xml:space="preserve">Behandlung von </w:t>
      </w:r>
      <w:r w:rsidR="00147B26">
        <w:rPr>
          <w:bCs/>
          <w:sz w:val="24"/>
          <w:szCs w:val="24"/>
        </w:rPr>
        <w:t>venö</w:t>
      </w:r>
      <w:r w:rsidR="00147B26" w:rsidRPr="00EE4EFB">
        <w:rPr>
          <w:bCs/>
          <w:sz w:val="24"/>
          <w:szCs w:val="24"/>
        </w:rPr>
        <w:t>sen thromboembolischen Ereignissen</w:t>
      </w:r>
      <w:r w:rsidR="00147B26">
        <w:rPr>
          <w:bCs/>
          <w:sz w:val="24"/>
          <w:szCs w:val="24"/>
        </w:rPr>
        <w:t xml:space="preserve"> (</w:t>
      </w:r>
      <w:r w:rsidRPr="00B6117A">
        <w:rPr>
          <w:bCs/>
          <w:sz w:val="24"/>
          <w:szCs w:val="24"/>
        </w:rPr>
        <w:t>VTE</w:t>
      </w:r>
      <w:r w:rsidR="00147B26">
        <w:rPr>
          <w:bCs/>
          <w:sz w:val="24"/>
          <w:szCs w:val="24"/>
        </w:rPr>
        <w:t>)</w:t>
      </w:r>
      <w:r w:rsidRPr="00B6117A">
        <w:rPr>
          <w:bCs/>
          <w:sz w:val="24"/>
          <w:szCs w:val="24"/>
        </w:rPr>
        <w:t xml:space="preserve"> und Prävention von rezidivierenden VTE bei </w:t>
      </w:r>
      <w:r w:rsidRPr="00B6117A">
        <w:rPr>
          <w:b/>
          <w:bCs/>
          <w:sz w:val="24"/>
          <w:szCs w:val="24"/>
        </w:rPr>
        <w:t xml:space="preserve">KINDERN UND JUGENDLICHEN </w:t>
      </w:r>
      <w:r w:rsidRPr="00B6117A">
        <w:rPr>
          <w:bCs/>
          <w:sz w:val="24"/>
          <w:szCs w:val="24"/>
        </w:rPr>
        <w:t>von der Geburt bis zum Alter von unter 18 Jahren.</w:t>
      </w:r>
    </w:p>
    <w:p w14:paraId="67416A3A" w14:textId="77777777" w:rsidR="00836CA0" w:rsidRPr="00190011" w:rsidRDefault="00836CA0" w:rsidP="00190011">
      <w:pPr>
        <w:rPr>
          <w:b/>
          <w:bCs/>
          <w:sz w:val="24"/>
          <w:szCs w:val="24"/>
        </w:rPr>
      </w:pPr>
    </w:p>
    <w:p w14:paraId="6D9BC6D5" w14:textId="0D071609" w:rsidR="00190011" w:rsidRPr="00190011" w:rsidRDefault="00190011" w:rsidP="00C52B21"/>
    <w:p w14:paraId="63E51EC0" w14:textId="67D99087" w:rsidR="00190011" w:rsidRPr="00190011" w:rsidRDefault="00190011" w:rsidP="00C52B21"/>
    <w:p w14:paraId="630D4E67" w14:textId="1085B8BC" w:rsidR="00190011" w:rsidRPr="00190011" w:rsidRDefault="00190011" w:rsidP="00C52B21"/>
    <w:p w14:paraId="332FC54B" w14:textId="61508C44" w:rsidR="00190011" w:rsidRDefault="00410892" w:rsidP="00C52B21">
      <w:pPr>
        <w:rPr>
          <w:b/>
          <w:bCs/>
        </w:rPr>
      </w:pPr>
      <w:r w:rsidRPr="00A90374">
        <w:rPr>
          <w:rFonts w:ascii="Calibri" w:eastAsia="Calibri" w:hAnsi="Calibri" w:cs="Times New Roman"/>
          <w:w w:val="104"/>
          <w:sz w:val="20"/>
          <w:szCs w:val="20"/>
        </w:rPr>
        <w:t>In</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diesem</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Leitfaden</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wird</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bei</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Nennung</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der</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pharmazeutischen</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Darreichungsform</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zur</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besseren</w:t>
      </w:r>
      <w:r w:rsidRPr="00A90374">
        <w:rPr>
          <w:rFonts w:ascii="Calibri" w:eastAsia="Calibri" w:hAnsi="Calibri" w:cs="Times New Roman"/>
          <w:spacing w:val="18"/>
          <w:w w:val="104"/>
          <w:sz w:val="20"/>
          <w:szCs w:val="20"/>
        </w:rPr>
        <w:t xml:space="preserve"> </w:t>
      </w:r>
      <w:r w:rsidRPr="00A90374">
        <w:rPr>
          <w:rFonts w:ascii="Calibri" w:eastAsia="Calibri" w:hAnsi="Calibri" w:cs="Times New Roman"/>
          <w:w w:val="104"/>
          <w:sz w:val="20"/>
          <w:szCs w:val="20"/>
        </w:rPr>
        <w:t>Über</w:t>
      </w:r>
      <w:r w:rsidRPr="00A90374">
        <w:rPr>
          <w:rFonts w:ascii="Calibri" w:eastAsia="Calibri" w:hAnsi="Calibri" w:cs="Times New Roman"/>
          <w:w w:val="105"/>
          <w:sz w:val="20"/>
          <w:szCs w:val="20"/>
        </w:rPr>
        <w:t>sichtlichkeit</w:t>
      </w:r>
      <w:r w:rsidRPr="00A90374">
        <w:rPr>
          <w:rFonts w:ascii="Calibri" w:eastAsia="Calibri" w:hAnsi="Calibri" w:cs="Times New Roman"/>
          <w:spacing w:val="9"/>
          <w:w w:val="105"/>
          <w:sz w:val="20"/>
          <w:szCs w:val="20"/>
        </w:rPr>
        <w:t xml:space="preserve"> </w:t>
      </w:r>
      <w:r w:rsidRPr="00A90374">
        <w:rPr>
          <w:rFonts w:ascii="Calibri" w:eastAsia="Calibri" w:hAnsi="Calibri" w:cs="Times New Roman"/>
          <w:w w:val="105"/>
          <w:sz w:val="20"/>
          <w:szCs w:val="20"/>
        </w:rPr>
        <w:t>anstelle</w:t>
      </w:r>
      <w:r w:rsidRPr="00A90374">
        <w:rPr>
          <w:rFonts w:ascii="Calibri" w:eastAsia="Calibri" w:hAnsi="Calibri" w:cs="Times New Roman"/>
          <w:spacing w:val="9"/>
          <w:w w:val="105"/>
          <w:sz w:val="20"/>
          <w:szCs w:val="20"/>
        </w:rPr>
        <w:t xml:space="preserve"> </w:t>
      </w:r>
      <w:r w:rsidRPr="00A90374">
        <w:rPr>
          <w:rFonts w:ascii="Calibri" w:eastAsia="Calibri" w:hAnsi="Calibri" w:cs="Times New Roman"/>
          <w:w w:val="105"/>
          <w:sz w:val="20"/>
          <w:szCs w:val="20"/>
        </w:rPr>
        <w:t>des</w:t>
      </w:r>
      <w:r w:rsidRPr="00A90374">
        <w:rPr>
          <w:rFonts w:ascii="Calibri" w:eastAsia="Calibri" w:hAnsi="Calibri" w:cs="Times New Roman"/>
          <w:spacing w:val="9"/>
          <w:w w:val="105"/>
          <w:sz w:val="20"/>
          <w:szCs w:val="20"/>
        </w:rPr>
        <w:t xml:space="preserve"> </w:t>
      </w:r>
      <w:r w:rsidRPr="00A90374">
        <w:rPr>
          <w:rFonts w:ascii="Calibri" w:eastAsia="Calibri" w:hAnsi="Calibri" w:cs="Times New Roman"/>
          <w:w w:val="105"/>
          <w:sz w:val="20"/>
          <w:szCs w:val="20"/>
        </w:rPr>
        <w:t>Begriffes</w:t>
      </w:r>
      <w:r w:rsidRPr="00A90374">
        <w:rPr>
          <w:rFonts w:ascii="Calibri" w:eastAsia="Calibri" w:hAnsi="Calibri" w:cs="Times New Roman"/>
          <w:spacing w:val="9"/>
          <w:w w:val="105"/>
          <w:sz w:val="20"/>
          <w:szCs w:val="20"/>
        </w:rPr>
        <w:t xml:space="preserve"> </w:t>
      </w:r>
      <w:r w:rsidRPr="00A90374">
        <w:rPr>
          <w:rFonts w:ascii="Calibri" w:eastAsia="Calibri" w:hAnsi="Calibri" w:cs="Times New Roman"/>
          <w:w w:val="105"/>
          <w:sz w:val="20"/>
          <w:szCs w:val="20"/>
        </w:rPr>
        <w:t>„Hartkapsel“</w:t>
      </w:r>
      <w:r w:rsidRPr="00A90374">
        <w:rPr>
          <w:rFonts w:ascii="Calibri" w:eastAsia="Calibri" w:hAnsi="Calibri" w:cs="Times New Roman"/>
          <w:spacing w:val="9"/>
          <w:w w:val="105"/>
          <w:sz w:val="20"/>
          <w:szCs w:val="20"/>
        </w:rPr>
        <w:t xml:space="preserve"> </w:t>
      </w:r>
      <w:r w:rsidRPr="00A90374">
        <w:rPr>
          <w:rFonts w:ascii="Calibri" w:eastAsia="Calibri" w:hAnsi="Calibri" w:cs="Times New Roman"/>
          <w:w w:val="105"/>
          <w:sz w:val="20"/>
          <w:szCs w:val="20"/>
        </w:rPr>
        <w:t>die</w:t>
      </w:r>
      <w:r w:rsidRPr="00A90374">
        <w:rPr>
          <w:rFonts w:ascii="Calibri" w:eastAsia="Calibri" w:hAnsi="Calibri" w:cs="Times New Roman"/>
          <w:spacing w:val="9"/>
          <w:w w:val="105"/>
          <w:sz w:val="20"/>
          <w:szCs w:val="20"/>
        </w:rPr>
        <w:t xml:space="preserve"> </w:t>
      </w:r>
      <w:r w:rsidRPr="00A90374">
        <w:rPr>
          <w:rFonts w:ascii="Calibri" w:eastAsia="Calibri" w:hAnsi="Calibri" w:cs="Times New Roman"/>
          <w:w w:val="105"/>
          <w:sz w:val="20"/>
          <w:szCs w:val="20"/>
        </w:rPr>
        <w:t>allgemeine</w:t>
      </w:r>
      <w:r w:rsidRPr="00A90374">
        <w:rPr>
          <w:rFonts w:ascii="Calibri" w:eastAsia="Calibri" w:hAnsi="Calibri" w:cs="Times New Roman"/>
          <w:spacing w:val="9"/>
          <w:w w:val="105"/>
          <w:sz w:val="20"/>
          <w:szCs w:val="20"/>
        </w:rPr>
        <w:t xml:space="preserve"> </w:t>
      </w:r>
      <w:r w:rsidRPr="00A90374">
        <w:rPr>
          <w:rFonts w:ascii="Calibri" w:eastAsia="Calibri" w:hAnsi="Calibri" w:cs="Times New Roman"/>
          <w:w w:val="105"/>
          <w:sz w:val="20"/>
          <w:szCs w:val="20"/>
        </w:rPr>
        <w:t>Angabe</w:t>
      </w:r>
      <w:r w:rsidRPr="00A90374">
        <w:rPr>
          <w:rFonts w:ascii="Calibri" w:eastAsia="Calibri" w:hAnsi="Calibri" w:cs="Times New Roman"/>
          <w:spacing w:val="9"/>
          <w:w w:val="105"/>
          <w:sz w:val="20"/>
          <w:szCs w:val="20"/>
        </w:rPr>
        <w:t xml:space="preserve"> </w:t>
      </w:r>
      <w:r w:rsidRPr="00A90374">
        <w:rPr>
          <w:rFonts w:ascii="Calibri" w:eastAsia="Calibri" w:hAnsi="Calibri" w:cs="Times New Roman"/>
          <w:w w:val="105"/>
          <w:sz w:val="20"/>
          <w:szCs w:val="20"/>
        </w:rPr>
        <w:t>„Kapsel“ verwendet.</w:t>
      </w:r>
    </w:p>
    <w:p w14:paraId="7651DF0A" w14:textId="77777777" w:rsidR="00836CA0" w:rsidRDefault="00836CA0">
      <w:pPr>
        <w:rPr>
          <w:rFonts w:ascii="Century Gothic" w:eastAsia="Century Gothic" w:hAnsi="Century Gothic" w:cs="Century Gothic"/>
          <w:b/>
          <w:bCs/>
          <w:spacing w:val="-2"/>
          <w:w w:val="110"/>
          <w:sz w:val="30"/>
          <w:szCs w:val="30"/>
        </w:rPr>
      </w:pPr>
      <w:r>
        <w:rPr>
          <w:rFonts w:ascii="Century Gothic" w:eastAsia="Century Gothic" w:hAnsi="Century Gothic" w:cs="Century Gothic"/>
          <w:b/>
          <w:bCs/>
          <w:spacing w:val="-2"/>
          <w:w w:val="110"/>
          <w:sz w:val="30"/>
          <w:szCs w:val="30"/>
        </w:rPr>
        <w:br w:type="page"/>
      </w:r>
    </w:p>
    <w:p w14:paraId="13665FDF" w14:textId="45DDE913" w:rsidR="00836CA0" w:rsidRDefault="00836CA0">
      <w:pPr>
        <w:widowControl w:val="0"/>
        <w:tabs>
          <w:tab w:val="left" w:pos="5463"/>
        </w:tabs>
        <w:autoSpaceDE w:val="0"/>
        <w:autoSpaceDN w:val="0"/>
        <w:spacing w:before="242" w:after="0" w:line="240" w:lineRule="auto"/>
        <w:outlineLvl w:val="0"/>
        <w:rPr>
          <w:rFonts w:ascii="Century Gothic" w:eastAsia="Century Gothic" w:hAnsi="Century Gothic" w:cs="Century Gothic"/>
          <w:b/>
          <w:bCs/>
          <w:spacing w:val="-2"/>
          <w:w w:val="110"/>
          <w:sz w:val="30"/>
          <w:szCs w:val="30"/>
        </w:rPr>
      </w:pPr>
      <w:r w:rsidRPr="00190011">
        <w:rPr>
          <w:b/>
          <w:bCs/>
          <w:sz w:val="24"/>
          <w:szCs w:val="24"/>
        </w:rPr>
        <w:lastRenderedPageBreak/>
        <w:t xml:space="preserve">Dieser Leitfaden zur Anwendung von Dabigatranetexilat bei </w:t>
      </w:r>
      <w:r w:rsidRPr="00410892">
        <w:rPr>
          <w:b/>
          <w:bCs/>
          <w:sz w:val="24"/>
          <w:szCs w:val="24"/>
        </w:rPr>
        <w:t xml:space="preserve">KINDERN UND JUGENDLICHEN </w:t>
      </w:r>
      <w:r w:rsidRPr="00190011">
        <w:rPr>
          <w:b/>
          <w:bCs/>
          <w:sz w:val="24"/>
          <w:szCs w:val="24"/>
        </w:rPr>
        <w:t>enthält Sicherheitshinweise, um das Blutungsrisiko bei Kindern und Jugendlichen zu vermindern</w:t>
      </w:r>
      <w:r>
        <w:rPr>
          <w:b/>
          <w:bCs/>
          <w:sz w:val="24"/>
          <w:szCs w:val="24"/>
        </w:rPr>
        <w:t>.</w:t>
      </w:r>
    </w:p>
    <w:p w14:paraId="5D56F334" w14:textId="77777777" w:rsidR="00836CA0" w:rsidRDefault="00836CA0">
      <w:pPr>
        <w:widowControl w:val="0"/>
        <w:tabs>
          <w:tab w:val="left" w:pos="5463"/>
        </w:tabs>
        <w:autoSpaceDE w:val="0"/>
        <w:autoSpaceDN w:val="0"/>
        <w:spacing w:before="242" w:after="0" w:line="240" w:lineRule="auto"/>
        <w:outlineLvl w:val="0"/>
        <w:rPr>
          <w:rFonts w:ascii="Century Gothic" w:eastAsia="Century Gothic" w:hAnsi="Century Gothic" w:cs="Century Gothic"/>
          <w:b/>
          <w:bCs/>
          <w:spacing w:val="-2"/>
          <w:w w:val="110"/>
          <w:sz w:val="30"/>
          <w:szCs w:val="30"/>
        </w:rPr>
      </w:pPr>
    </w:p>
    <w:p w14:paraId="087FE1DF" w14:textId="59131152" w:rsidR="00190011" w:rsidRPr="00190011" w:rsidRDefault="000F3A5F" w:rsidP="003260A6">
      <w:pPr>
        <w:widowControl w:val="0"/>
        <w:tabs>
          <w:tab w:val="left" w:pos="5463"/>
        </w:tabs>
        <w:autoSpaceDE w:val="0"/>
        <w:autoSpaceDN w:val="0"/>
        <w:spacing w:before="242" w:after="0" w:line="240" w:lineRule="auto"/>
        <w:outlineLvl w:val="0"/>
        <w:rPr>
          <w:rFonts w:ascii="Century Gothic" w:eastAsia="Century Gothic" w:hAnsi="Century Gothic" w:cs="Century Gothic"/>
          <w:b/>
          <w:bCs/>
          <w:sz w:val="30"/>
          <w:szCs w:val="30"/>
        </w:rPr>
      </w:pPr>
      <w:r w:rsidRPr="00190011">
        <w:rPr>
          <w:rFonts w:ascii="Century Gothic" w:eastAsia="Century Gothic" w:hAnsi="Century Gothic" w:cs="Century Gothic"/>
          <w:b/>
          <w:bCs/>
          <w:spacing w:val="-2"/>
          <w:w w:val="110"/>
          <w:sz w:val="30"/>
          <w:szCs w:val="30"/>
        </w:rPr>
        <w:t>I</w:t>
      </w:r>
      <w:r>
        <w:rPr>
          <w:rFonts w:ascii="Century Gothic" w:eastAsia="Century Gothic" w:hAnsi="Century Gothic" w:cs="Century Gothic"/>
          <w:b/>
          <w:bCs/>
          <w:spacing w:val="-2"/>
          <w:w w:val="110"/>
          <w:sz w:val="30"/>
          <w:szCs w:val="30"/>
        </w:rPr>
        <w:t>nhaltsverzeichnis</w:t>
      </w:r>
    </w:p>
    <w:sdt>
      <w:sdtPr>
        <w:rPr>
          <w:rFonts w:ascii="Century Gothic" w:eastAsia="Century Gothic" w:hAnsi="Century Gothic" w:cs="Century Gothic"/>
        </w:rPr>
        <w:id w:val="150880996"/>
        <w:docPartObj>
          <w:docPartGallery w:val="Table of Contents"/>
          <w:docPartUnique/>
        </w:docPartObj>
      </w:sdtPr>
      <w:sdtEndPr/>
      <w:sdtContent>
        <w:p w14:paraId="2D08EAA0" w14:textId="77777777" w:rsidR="00190011" w:rsidRPr="00190011" w:rsidRDefault="00BD14F4" w:rsidP="00190011">
          <w:pPr>
            <w:widowControl w:val="0"/>
            <w:tabs>
              <w:tab w:val="right" w:leader="dot" w:pos="6217"/>
            </w:tabs>
            <w:autoSpaceDE w:val="0"/>
            <w:autoSpaceDN w:val="0"/>
            <w:spacing w:before="503" w:after="0" w:line="240" w:lineRule="auto"/>
            <w:ind w:left="237"/>
            <w:rPr>
              <w:rFonts w:ascii="Century Gothic" w:eastAsia="Century Gothic" w:hAnsi="Century Gothic" w:cs="Century Gothic"/>
            </w:rPr>
          </w:pPr>
          <w:hyperlink w:anchor="_TOC_250005" w:history="1">
            <w:r w:rsidR="00190011" w:rsidRPr="00190011">
              <w:rPr>
                <w:rFonts w:ascii="Century Gothic" w:eastAsia="Century Gothic" w:hAnsi="Century Gothic" w:cs="Century Gothic"/>
                <w:spacing w:val="-2"/>
              </w:rPr>
              <w:t>Indikationen</w:t>
            </w:r>
            <w:r w:rsidR="00190011" w:rsidRPr="00190011">
              <w:rPr>
                <w:rFonts w:ascii="Century Gothic" w:eastAsia="Century Gothic" w:hAnsi="Century Gothic" w:cs="Century Gothic"/>
              </w:rPr>
              <w:tab/>
            </w:r>
            <w:r w:rsidR="00190011" w:rsidRPr="00190011">
              <w:rPr>
                <w:rFonts w:ascii="Century Gothic" w:eastAsia="Century Gothic" w:hAnsi="Century Gothic" w:cs="Century Gothic"/>
                <w:spacing w:val="-10"/>
              </w:rPr>
              <w:t>3</w:t>
            </w:r>
          </w:hyperlink>
        </w:p>
        <w:p w14:paraId="4A1DC1F5" w14:textId="77777777" w:rsidR="00190011" w:rsidRPr="00190011" w:rsidRDefault="00BD14F4" w:rsidP="00190011">
          <w:pPr>
            <w:widowControl w:val="0"/>
            <w:tabs>
              <w:tab w:val="right" w:leader="dot" w:pos="6217"/>
            </w:tabs>
            <w:autoSpaceDE w:val="0"/>
            <w:autoSpaceDN w:val="0"/>
            <w:spacing w:before="237" w:after="0" w:line="240" w:lineRule="auto"/>
            <w:ind w:left="237"/>
            <w:rPr>
              <w:rFonts w:ascii="Century Gothic" w:eastAsia="Century Gothic" w:hAnsi="Century Gothic" w:cs="Century Gothic"/>
            </w:rPr>
          </w:pPr>
          <w:hyperlink w:anchor="_TOC_250004" w:history="1">
            <w:r w:rsidR="00190011" w:rsidRPr="00190011">
              <w:rPr>
                <w:rFonts w:ascii="Century Gothic" w:eastAsia="Century Gothic" w:hAnsi="Century Gothic" w:cs="Century Gothic"/>
                <w:spacing w:val="-2"/>
              </w:rPr>
              <w:t>Kontraindikationen</w:t>
            </w:r>
            <w:r w:rsidR="00190011" w:rsidRPr="00190011">
              <w:rPr>
                <w:rFonts w:ascii="Century Gothic" w:eastAsia="Century Gothic" w:hAnsi="Century Gothic" w:cs="Century Gothic"/>
              </w:rPr>
              <w:tab/>
            </w:r>
            <w:r w:rsidR="00190011" w:rsidRPr="00190011">
              <w:rPr>
                <w:rFonts w:ascii="Century Gothic" w:eastAsia="Century Gothic" w:hAnsi="Century Gothic" w:cs="Century Gothic"/>
                <w:spacing w:val="-10"/>
              </w:rPr>
              <w:t>3</w:t>
            </w:r>
          </w:hyperlink>
        </w:p>
        <w:p w14:paraId="72A6B8EE" w14:textId="77777777" w:rsidR="00190011" w:rsidRPr="00190011" w:rsidRDefault="00190011" w:rsidP="00190011">
          <w:pPr>
            <w:widowControl w:val="0"/>
            <w:tabs>
              <w:tab w:val="right" w:leader="dot" w:pos="6217"/>
            </w:tabs>
            <w:autoSpaceDE w:val="0"/>
            <w:autoSpaceDN w:val="0"/>
            <w:spacing w:before="237" w:after="0" w:line="240" w:lineRule="auto"/>
            <w:ind w:left="237"/>
            <w:rPr>
              <w:rFonts w:ascii="Century Gothic" w:eastAsia="Century Gothic" w:hAnsi="Century Gothic" w:cs="Century Gothic"/>
            </w:rPr>
          </w:pPr>
          <w:r w:rsidRPr="00190011">
            <w:rPr>
              <w:rFonts w:ascii="Century Gothic" w:eastAsia="Century Gothic" w:hAnsi="Century Gothic" w:cs="Century Gothic"/>
              <w:spacing w:val="-2"/>
            </w:rPr>
            <w:t>Dosierung</w:t>
          </w:r>
          <w:r w:rsidRPr="00190011">
            <w:rPr>
              <w:rFonts w:ascii="Century Gothic" w:eastAsia="Century Gothic" w:hAnsi="Century Gothic" w:cs="Century Gothic"/>
            </w:rPr>
            <w:tab/>
          </w:r>
          <w:r w:rsidRPr="00190011">
            <w:rPr>
              <w:rFonts w:ascii="Century Gothic" w:eastAsia="Century Gothic" w:hAnsi="Century Gothic" w:cs="Century Gothic"/>
              <w:spacing w:val="-10"/>
            </w:rPr>
            <w:t>4</w:t>
          </w:r>
        </w:p>
        <w:p w14:paraId="01117601" w14:textId="77777777" w:rsidR="00190011" w:rsidRPr="00190011" w:rsidRDefault="00190011" w:rsidP="00190011">
          <w:pPr>
            <w:widowControl w:val="0"/>
            <w:autoSpaceDE w:val="0"/>
            <w:autoSpaceDN w:val="0"/>
            <w:spacing w:before="237" w:after="0" w:line="240" w:lineRule="auto"/>
            <w:ind w:left="237"/>
            <w:rPr>
              <w:rFonts w:ascii="Century Gothic" w:eastAsia="Century Gothic" w:hAnsi="Century Gothic" w:cs="Century Gothic"/>
            </w:rPr>
          </w:pPr>
          <w:r w:rsidRPr="00190011">
            <w:rPr>
              <w:rFonts w:ascii="Century Gothic" w:eastAsia="Century Gothic" w:hAnsi="Century Gothic" w:cs="Century Gothic"/>
            </w:rPr>
            <w:t>Besondere</w:t>
          </w:r>
          <w:r w:rsidRPr="00190011">
            <w:rPr>
              <w:rFonts w:ascii="Century Gothic" w:eastAsia="Century Gothic" w:hAnsi="Century Gothic" w:cs="Century Gothic"/>
              <w:spacing w:val="-1"/>
            </w:rPr>
            <w:t xml:space="preserve"> </w:t>
          </w:r>
          <w:r w:rsidRPr="00190011">
            <w:rPr>
              <w:rFonts w:ascii="Century Gothic" w:eastAsia="Century Gothic" w:hAnsi="Century Gothic" w:cs="Century Gothic"/>
            </w:rPr>
            <w:t>Patientengruppen</w:t>
          </w:r>
          <w:r w:rsidRPr="00190011">
            <w:rPr>
              <w:rFonts w:ascii="Century Gothic" w:eastAsia="Century Gothic" w:hAnsi="Century Gothic" w:cs="Century Gothic"/>
              <w:spacing w:val="-1"/>
            </w:rPr>
            <w:t xml:space="preserve"> </w:t>
          </w:r>
          <w:r w:rsidRPr="00190011">
            <w:rPr>
              <w:rFonts w:ascii="Century Gothic" w:eastAsia="Century Gothic" w:hAnsi="Century Gothic" w:cs="Century Gothic"/>
              <w:spacing w:val="-5"/>
            </w:rPr>
            <w:t>mit</w:t>
          </w:r>
        </w:p>
        <w:p w14:paraId="15E8BB70" w14:textId="77777777" w:rsidR="00190011" w:rsidRPr="00190011" w:rsidRDefault="00190011" w:rsidP="00190011">
          <w:pPr>
            <w:widowControl w:val="0"/>
            <w:tabs>
              <w:tab w:val="right" w:leader="dot" w:pos="6217"/>
            </w:tabs>
            <w:autoSpaceDE w:val="0"/>
            <w:autoSpaceDN w:val="0"/>
            <w:spacing w:before="11" w:after="0" w:line="240" w:lineRule="auto"/>
            <w:ind w:left="237"/>
            <w:rPr>
              <w:rFonts w:ascii="Century Gothic" w:eastAsia="Century Gothic" w:hAnsi="Century Gothic" w:cs="Century Gothic"/>
            </w:rPr>
          </w:pPr>
          <w:r w:rsidRPr="00190011">
            <w:rPr>
              <w:rFonts w:ascii="Century Gothic" w:eastAsia="Century Gothic" w:hAnsi="Century Gothic" w:cs="Century Gothic"/>
            </w:rPr>
            <w:t>potenziell</w:t>
          </w:r>
          <w:r w:rsidRPr="00190011">
            <w:rPr>
              <w:rFonts w:ascii="Century Gothic" w:eastAsia="Century Gothic" w:hAnsi="Century Gothic" w:cs="Century Gothic"/>
              <w:spacing w:val="1"/>
            </w:rPr>
            <w:t xml:space="preserve"> </w:t>
          </w:r>
          <w:r w:rsidRPr="00190011">
            <w:rPr>
              <w:rFonts w:ascii="Century Gothic" w:eastAsia="Century Gothic" w:hAnsi="Century Gothic" w:cs="Century Gothic"/>
            </w:rPr>
            <w:t>erhöhtem</w:t>
          </w:r>
          <w:r w:rsidRPr="00190011">
            <w:rPr>
              <w:rFonts w:ascii="Century Gothic" w:eastAsia="Century Gothic" w:hAnsi="Century Gothic" w:cs="Century Gothic"/>
              <w:spacing w:val="3"/>
            </w:rPr>
            <w:t xml:space="preserve"> </w:t>
          </w:r>
          <w:r w:rsidRPr="00190011">
            <w:rPr>
              <w:rFonts w:ascii="Century Gothic" w:eastAsia="Century Gothic" w:hAnsi="Century Gothic" w:cs="Century Gothic"/>
              <w:spacing w:val="-2"/>
            </w:rPr>
            <w:t>Blutungsrisiko</w:t>
          </w:r>
          <w:r w:rsidRPr="00190011">
            <w:rPr>
              <w:rFonts w:ascii="Century Gothic" w:eastAsia="Century Gothic" w:hAnsi="Century Gothic" w:cs="Century Gothic"/>
            </w:rPr>
            <w:tab/>
          </w:r>
          <w:r w:rsidRPr="00190011">
            <w:rPr>
              <w:rFonts w:ascii="Century Gothic" w:eastAsia="Century Gothic" w:hAnsi="Century Gothic" w:cs="Century Gothic"/>
              <w:spacing w:val="-5"/>
            </w:rPr>
            <w:t>15</w:t>
          </w:r>
        </w:p>
        <w:p w14:paraId="1C6B7E93" w14:textId="77777777" w:rsidR="00190011" w:rsidRPr="00190011" w:rsidRDefault="00BD14F4" w:rsidP="00190011">
          <w:pPr>
            <w:widowControl w:val="0"/>
            <w:tabs>
              <w:tab w:val="right" w:leader="dot" w:pos="6217"/>
            </w:tabs>
            <w:autoSpaceDE w:val="0"/>
            <w:autoSpaceDN w:val="0"/>
            <w:spacing w:before="237" w:after="0" w:line="240" w:lineRule="auto"/>
            <w:ind w:left="237"/>
            <w:rPr>
              <w:rFonts w:ascii="Century Gothic" w:eastAsia="Century Gothic" w:hAnsi="Century Gothic" w:cs="Century Gothic"/>
            </w:rPr>
          </w:pPr>
          <w:hyperlink w:anchor="_TOC_250003" w:history="1">
            <w:r w:rsidR="00190011" w:rsidRPr="00190011">
              <w:rPr>
                <w:rFonts w:ascii="Century Gothic" w:eastAsia="Century Gothic" w:hAnsi="Century Gothic" w:cs="Century Gothic"/>
              </w:rPr>
              <w:t>Perioperatives</w:t>
            </w:r>
            <w:r w:rsidR="00190011" w:rsidRPr="00190011">
              <w:rPr>
                <w:rFonts w:ascii="Century Gothic" w:eastAsia="Century Gothic" w:hAnsi="Century Gothic" w:cs="Century Gothic"/>
                <w:spacing w:val="-9"/>
              </w:rPr>
              <w:t xml:space="preserve"> </w:t>
            </w:r>
            <w:r w:rsidR="00190011" w:rsidRPr="00190011">
              <w:rPr>
                <w:rFonts w:ascii="Century Gothic" w:eastAsia="Century Gothic" w:hAnsi="Century Gothic" w:cs="Century Gothic"/>
                <w:spacing w:val="-2"/>
              </w:rPr>
              <w:t>Management</w:t>
            </w:r>
            <w:r w:rsidR="00190011" w:rsidRPr="00190011">
              <w:rPr>
                <w:rFonts w:ascii="Century Gothic" w:eastAsia="Century Gothic" w:hAnsi="Century Gothic" w:cs="Century Gothic"/>
              </w:rPr>
              <w:tab/>
            </w:r>
            <w:r w:rsidR="00190011" w:rsidRPr="00190011">
              <w:rPr>
                <w:rFonts w:ascii="Century Gothic" w:eastAsia="Century Gothic" w:hAnsi="Century Gothic" w:cs="Century Gothic"/>
                <w:spacing w:val="-5"/>
              </w:rPr>
              <w:t>17</w:t>
            </w:r>
          </w:hyperlink>
        </w:p>
        <w:p w14:paraId="62E385EF" w14:textId="77777777" w:rsidR="00190011" w:rsidRPr="00190011" w:rsidRDefault="00BD14F4" w:rsidP="00190011">
          <w:pPr>
            <w:widowControl w:val="0"/>
            <w:tabs>
              <w:tab w:val="right" w:leader="dot" w:pos="6217"/>
            </w:tabs>
            <w:autoSpaceDE w:val="0"/>
            <w:autoSpaceDN w:val="0"/>
            <w:spacing w:before="237" w:after="0" w:line="240" w:lineRule="auto"/>
            <w:ind w:left="237"/>
            <w:rPr>
              <w:rFonts w:ascii="Century Gothic" w:eastAsia="Century Gothic" w:hAnsi="Century Gothic" w:cs="Century Gothic"/>
            </w:rPr>
          </w:pPr>
          <w:hyperlink w:anchor="_TOC_250002" w:history="1">
            <w:r w:rsidR="00190011" w:rsidRPr="00190011">
              <w:rPr>
                <w:rFonts w:ascii="Century Gothic" w:eastAsia="Century Gothic" w:hAnsi="Century Gothic" w:cs="Century Gothic"/>
              </w:rPr>
              <w:t>Blutgerinnungstests</w:t>
            </w:r>
            <w:r w:rsidR="00190011" w:rsidRPr="00190011">
              <w:rPr>
                <w:rFonts w:ascii="Century Gothic" w:eastAsia="Century Gothic" w:hAnsi="Century Gothic" w:cs="Century Gothic"/>
                <w:spacing w:val="-1"/>
              </w:rPr>
              <w:t xml:space="preserve"> </w:t>
            </w:r>
            <w:r w:rsidR="00190011" w:rsidRPr="00190011">
              <w:rPr>
                <w:rFonts w:ascii="Century Gothic" w:eastAsia="Century Gothic" w:hAnsi="Century Gothic" w:cs="Century Gothic"/>
              </w:rPr>
              <w:t>und</w:t>
            </w:r>
            <w:r w:rsidR="00190011" w:rsidRPr="00190011">
              <w:rPr>
                <w:rFonts w:ascii="Century Gothic" w:eastAsia="Century Gothic" w:hAnsi="Century Gothic" w:cs="Century Gothic"/>
                <w:spacing w:val="-1"/>
              </w:rPr>
              <w:t xml:space="preserve"> </w:t>
            </w:r>
            <w:r w:rsidR="00190011" w:rsidRPr="00190011">
              <w:rPr>
                <w:rFonts w:ascii="Century Gothic" w:eastAsia="Century Gothic" w:hAnsi="Century Gothic" w:cs="Century Gothic"/>
              </w:rPr>
              <w:t xml:space="preserve">deren </w:t>
            </w:r>
            <w:r w:rsidR="00190011" w:rsidRPr="00190011">
              <w:rPr>
                <w:rFonts w:ascii="Century Gothic" w:eastAsia="Century Gothic" w:hAnsi="Century Gothic" w:cs="Century Gothic"/>
                <w:spacing w:val="-2"/>
              </w:rPr>
              <w:t>Interpretation</w:t>
            </w:r>
            <w:r w:rsidR="00190011" w:rsidRPr="00190011">
              <w:rPr>
                <w:rFonts w:ascii="Century Gothic" w:eastAsia="Century Gothic" w:hAnsi="Century Gothic" w:cs="Century Gothic"/>
              </w:rPr>
              <w:tab/>
            </w:r>
            <w:r w:rsidR="00190011" w:rsidRPr="00190011">
              <w:rPr>
                <w:rFonts w:ascii="Century Gothic" w:eastAsia="Century Gothic" w:hAnsi="Century Gothic" w:cs="Century Gothic"/>
                <w:spacing w:val="-5"/>
              </w:rPr>
              <w:t>19</w:t>
            </w:r>
          </w:hyperlink>
        </w:p>
        <w:p w14:paraId="4D9610AE" w14:textId="77777777" w:rsidR="00190011" w:rsidRPr="00190011" w:rsidRDefault="00190011" w:rsidP="00190011">
          <w:pPr>
            <w:widowControl w:val="0"/>
            <w:tabs>
              <w:tab w:val="right" w:leader="dot" w:pos="6217"/>
            </w:tabs>
            <w:autoSpaceDE w:val="0"/>
            <w:autoSpaceDN w:val="0"/>
            <w:spacing w:before="237" w:after="0" w:line="240" w:lineRule="auto"/>
            <w:ind w:left="237"/>
            <w:rPr>
              <w:rFonts w:ascii="Century Gothic" w:eastAsia="Century Gothic" w:hAnsi="Century Gothic" w:cs="Century Gothic"/>
            </w:rPr>
          </w:pPr>
          <w:r w:rsidRPr="00190011">
            <w:rPr>
              <w:rFonts w:ascii="Century Gothic" w:eastAsia="Century Gothic" w:hAnsi="Century Gothic" w:cs="Century Gothic"/>
              <w:spacing w:val="-2"/>
            </w:rPr>
            <w:t>Überdosierung</w:t>
          </w:r>
          <w:r w:rsidRPr="00190011">
            <w:rPr>
              <w:rFonts w:ascii="Century Gothic" w:eastAsia="Century Gothic" w:hAnsi="Century Gothic" w:cs="Century Gothic"/>
            </w:rPr>
            <w:tab/>
          </w:r>
          <w:r w:rsidRPr="00190011">
            <w:rPr>
              <w:rFonts w:ascii="Century Gothic" w:eastAsia="Century Gothic" w:hAnsi="Century Gothic" w:cs="Century Gothic"/>
              <w:spacing w:val="-5"/>
            </w:rPr>
            <w:t>20</w:t>
          </w:r>
        </w:p>
        <w:p w14:paraId="110AC61F" w14:textId="77777777" w:rsidR="00190011" w:rsidRPr="00190011" w:rsidRDefault="00190011" w:rsidP="00190011">
          <w:pPr>
            <w:widowControl w:val="0"/>
            <w:tabs>
              <w:tab w:val="right" w:leader="dot" w:pos="6217"/>
            </w:tabs>
            <w:autoSpaceDE w:val="0"/>
            <w:autoSpaceDN w:val="0"/>
            <w:spacing w:before="237" w:after="0" w:line="240" w:lineRule="auto"/>
            <w:ind w:left="237"/>
            <w:rPr>
              <w:rFonts w:ascii="Century Gothic" w:eastAsia="Century Gothic" w:hAnsi="Century Gothic" w:cs="Century Gothic"/>
            </w:rPr>
          </w:pPr>
          <w:r w:rsidRPr="00190011">
            <w:rPr>
              <w:rFonts w:ascii="Century Gothic" w:eastAsia="Century Gothic" w:hAnsi="Century Gothic" w:cs="Century Gothic"/>
            </w:rPr>
            <w:t xml:space="preserve">Management von </w:t>
          </w:r>
          <w:r w:rsidRPr="00190011">
            <w:rPr>
              <w:rFonts w:ascii="Century Gothic" w:eastAsia="Century Gothic" w:hAnsi="Century Gothic" w:cs="Century Gothic"/>
              <w:spacing w:val="-2"/>
            </w:rPr>
            <w:t>Blutungskomplikationen</w:t>
          </w:r>
          <w:r w:rsidRPr="00190011">
            <w:rPr>
              <w:rFonts w:ascii="Century Gothic" w:eastAsia="Century Gothic" w:hAnsi="Century Gothic" w:cs="Century Gothic"/>
            </w:rPr>
            <w:tab/>
          </w:r>
          <w:r w:rsidRPr="00190011">
            <w:rPr>
              <w:rFonts w:ascii="Century Gothic" w:eastAsia="Century Gothic" w:hAnsi="Century Gothic" w:cs="Century Gothic"/>
              <w:spacing w:val="-5"/>
            </w:rPr>
            <w:t>20</w:t>
          </w:r>
        </w:p>
        <w:p w14:paraId="655F3DBE" w14:textId="77777777" w:rsidR="00190011" w:rsidRPr="00190011" w:rsidRDefault="00BD14F4" w:rsidP="00190011">
          <w:pPr>
            <w:widowControl w:val="0"/>
            <w:tabs>
              <w:tab w:val="right" w:leader="dot" w:pos="6217"/>
            </w:tabs>
            <w:autoSpaceDE w:val="0"/>
            <w:autoSpaceDN w:val="0"/>
            <w:spacing w:before="237" w:after="0" w:line="240" w:lineRule="auto"/>
            <w:ind w:left="237"/>
            <w:rPr>
              <w:rFonts w:ascii="Century Gothic" w:eastAsia="Century Gothic" w:hAnsi="Century Gothic" w:cs="Century Gothic"/>
            </w:rPr>
          </w:pPr>
          <w:hyperlink w:anchor="_TOC_250001" w:history="1">
            <w:r w:rsidR="00190011" w:rsidRPr="00190011">
              <w:rPr>
                <w:rFonts w:ascii="Century Gothic" w:eastAsia="Century Gothic" w:hAnsi="Century Gothic" w:cs="Century Gothic"/>
              </w:rPr>
              <w:t>Patientenausweis</w:t>
            </w:r>
            <w:r w:rsidR="00190011" w:rsidRPr="00190011">
              <w:rPr>
                <w:rFonts w:ascii="Century Gothic" w:eastAsia="Century Gothic" w:hAnsi="Century Gothic" w:cs="Century Gothic"/>
                <w:spacing w:val="-2"/>
              </w:rPr>
              <w:t xml:space="preserve"> </w:t>
            </w:r>
            <w:r w:rsidR="00190011" w:rsidRPr="00190011">
              <w:rPr>
                <w:rFonts w:ascii="Century Gothic" w:eastAsia="Century Gothic" w:hAnsi="Century Gothic" w:cs="Century Gothic"/>
              </w:rPr>
              <w:t xml:space="preserve">und </w:t>
            </w:r>
            <w:r w:rsidR="00190011" w:rsidRPr="00190011">
              <w:rPr>
                <w:rFonts w:ascii="Century Gothic" w:eastAsia="Century Gothic" w:hAnsi="Century Gothic" w:cs="Century Gothic"/>
                <w:spacing w:val="-2"/>
              </w:rPr>
              <w:t>Patientenberatung</w:t>
            </w:r>
            <w:r w:rsidR="00190011" w:rsidRPr="00190011">
              <w:rPr>
                <w:rFonts w:ascii="Century Gothic" w:eastAsia="Century Gothic" w:hAnsi="Century Gothic" w:cs="Century Gothic"/>
              </w:rPr>
              <w:tab/>
            </w:r>
            <w:r w:rsidR="00190011" w:rsidRPr="00190011">
              <w:rPr>
                <w:rFonts w:ascii="Century Gothic" w:eastAsia="Century Gothic" w:hAnsi="Century Gothic" w:cs="Century Gothic"/>
                <w:spacing w:val="-5"/>
              </w:rPr>
              <w:t>21</w:t>
            </w:r>
          </w:hyperlink>
        </w:p>
        <w:p w14:paraId="11D0A1DB" w14:textId="77777777" w:rsidR="00190011" w:rsidRPr="00190011" w:rsidRDefault="00190011" w:rsidP="00190011">
          <w:pPr>
            <w:widowControl w:val="0"/>
            <w:autoSpaceDE w:val="0"/>
            <w:autoSpaceDN w:val="0"/>
            <w:spacing w:before="238" w:after="0" w:line="240" w:lineRule="auto"/>
            <w:ind w:left="237"/>
            <w:rPr>
              <w:rFonts w:ascii="Century Gothic" w:eastAsia="Century Gothic" w:hAnsi="Century Gothic" w:cs="Century Gothic"/>
            </w:rPr>
          </w:pPr>
          <w:r w:rsidRPr="00190011">
            <w:rPr>
              <w:rFonts w:ascii="Century Gothic" w:eastAsia="Century Gothic" w:hAnsi="Century Gothic" w:cs="Century Gothic"/>
            </w:rPr>
            <w:t>Besondere</w:t>
          </w:r>
          <w:r w:rsidRPr="00190011">
            <w:rPr>
              <w:rFonts w:ascii="Century Gothic" w:eastAsia="Century Gothic" w:hAnsi="Century Gothic" w:cs="Century Gothic"/>
              <w:spacing w:val="-3"/>
            </w:rPr>
            <w:t xml:space="preserve"> </w:t>
          </w:r>
          <w:r w:rsidRPr="00190011">
            <w:rPr>
              <w:rFonts w:ascii="Century Gothic" w:eastAsia="Century Gothic" w:hAnsi="Century Gothic" w:cs="Century Gothic"/>
            </w:rPr>
            <w:t>Hinweise</w:t>
          </w:r>
          <w:r w:rsidRPr="00190011">
            <w:rPr>
              <w:rFonts w:ascii="Century Gothic" w:eastAsia="Century Gothic" w:hAnsi="Century Gothic" w:cs="Century Gothic"/>
              <w:spacing w:val="-3"/>
            </w:rPr>
            <w:t xml:space="preserve"> </w:t>
          </w:r>
          <w:r w:rsidRPr="00190011">
            <w:rPr>
              <w:rFonts w:ascii="Century Gothic" w:eastAsia="Century Gothic" w:hAnsi="Century Gothic" w:cs="Century Gothic"/>
            </w:rPr>
            <w:t>zur</w:t>
          </w:r>
          <w:r w:rsidRPr="00190011">
            <w:rPr>
              <w:rFonts w:ascii="Century Gothic" w:eastAsia="Century Gothic" w:hAnsi="Century Gothic" w:cs="Century Gothic"/>
              <w:spacing w:val="-3"/>
            </w:rPr>
            <w:t xml:space="preserve"> </w:t>
          </w:r>
          <w:r w:rsidRPr="00190011">
            <w:rPr>
              <w:rFonts w:ascii="Century Gothic" w:eastAsia="Century Gothic" w:hAnsi="Century Gothic" w:cs="Century Gothic"/>
            </w:rPr>
            <w:t>Anwendung</w:t>
          </w:r>
          <w:r w:rsidRPr="00190011">
            <w:rPr>
              <w:rFonts w:ascii="Century Gothic" w:eastAsia="Century Gothic" w:hAnsi="Century Gothic" w:cs="Century Gothic"/>
              <w:spacing w:val="-3"/>
            </w:rPr>
            <w:t xml:space="preserve"> </w:t>
          </w:r>
          <w:r w:rsidRPr="00190011">
            <w:rPr>
              <w:rFonts w:ascii="Century Gothic" w:eastAsia="Century Gothic" w:hAnsi="Century Gothic" w:cs="Century Gothic"/>
              <w:spacing w:val="-5"/>
            </w:rPr>
            <w:t>von</w:t>
          </w:r>
        </w:p>
        <w:p w14:paraId="0BDDFD64" w14:textId="4B8C6CCD" w:rsidR="00190011" w:rsidRPr="00190011" w:rsidRDefault="0098453A" w:rsidP="00190011">
          <w:pPr>
            <w:widowControl w:val="0"/>
            <w:tabs>
              <w:tab w:val="right" w:leader="dot" w:pos="6217"/>
            </w:tabs>
            <w:autoSpaceDE w:val="0"/>
            <w:autoSpaceDN w:val="0"/>
            <w:spacing w:before="10" w:after="0" w:line="240" w:lineRule="auto"/>
            <w:ind w:left="237"/>
            <w:rPr>
              <w:rFonts w:ascii="Century Gothic" w:eastAsia="Century Gothic" w:hAnsi="Century Gothic" w:cs="Century Gothic"/>
            </w:rPr>
          </w:pPr>
          <w:r w:rsidRPr="0098453A">
            <w:rPr>
              <w:rFonts w:ascii="Century Gothic" w:eastAsia="Century Gothic" w:hAnsi="Century Gothic" w:cs="Century Gothic"/>
            </w:rPr>
            <w:t>Dabigatranetexilat</w:t>
          </w:r>
          <w:r w:rsidR="00190011" w:rsidRPr="00190011">
            <w:rPr>
              <w:rFonts w:ascii="Century Gothic" w:eastAsia="Century Gothic" w:hAnsi="Century Gothic" w:cs="Century Gothic"/>
              <w:spacing w:val="-4"/>
            </w:rPr>
            <w:t xml:space="preserve"> </w:t>
          </w:r>
          <w:r w:rsidR="00190011" w:rsidRPr="00190011">
            <w:rPr>
              <w:rFonts w:ascii="Century Gothic" w:eastAsia="Century Gothic" w:hAnsi="Century Gothic" w:cs="Century Gothic"/>
            </w:rPr>
            <w:t>Lösung</w:t>
          </w:r>
          <w:r w:rsidR="00190011" w:rsidRPr="00190011">
            <w:rPr>
              <w:rFonts w:ascii="Century Gothic" w:eastAsia="Century Gothic" w:hAnsi="Century Gothic" w:cs="Century Gothic"/>
              <w:spacing w:val="-3"/>
            </w:rPr>
            <w:t xml:space="preserve"> </w:t>
          </w:r>
          <w:r w:rsidR="00190011" w:rsidRPr="00190011">
            <w:rPr>
              <w:rFonts w:ascii="Century Gothic" w:eastAsia="Century Gothic" w:hAnsi="Century Gothic" w:cs="Century Gothic"/>
            </w:rPr>
            <w:t>zum</w:t>
          </w:r>
          <w:r w:rsidR="00190011" w:rsidRPr="00190011">
            <w:rPr>
              <w:rFonts w:ascii="Century Gothic" w:eastAsia="Century Gothic" w:hAnsi="Century Gothic" w:cs="Century Gothic"/>
              <w:spacing w:val="-3"/>
            </w:rPr>
            <w:t xml:space="preserve"> </w:t>
          </w:r>
          <w:r w:rsidR="00190011" w:rsidRPr="00190011">
            <w:rPr>
              <w:rFonts w:ascii="Century Gothic" w:eastAsia="Century Gothic" w:hAnsi="Century Gothic" w:cs="Century Gothic"/>
              <w:spacing w:val="-2"/>
            </w:rPr>
            <w:t>Einnehmen</w:t>
          </w:r>
          <w:r w:rsidR="00190011" w:rsidRPr="00190011">
            <w:rPr>
              <w:rFonts w:ascii="Century Gothic" w:eastAsia="Century Gothic" w:hAnsi="Century Gothic" w:cs="Century Gothic"/>
            </w:rPr>
            <w:tab/>
          </w:r>
          <w:r w:rsidR="00190011" w:rsidRPr="00190011">
            <w:rPr>
              <w:rFonts w:ascii="Century Gothic" w:eastAsia="Century Gothic" w:hAnsi="Century Gothic" w:cs="Century Gothic"/>
              <w:spacing w:val="-5"/>
            </w:rPr>
            <w:t>21</w:t>
          </w:r>
        </w:p>
        <w:p w14:paraId="5E4EACF5" w14:textId="77777777" w:rsidR="00190011" w:rsidRPr="00190011" w:rsidRDefault="00BD14F4" w:rsidP="00190011">
          <w:pPr>
            <w:widowControl w:val="0"/>
            <w:tabs>
              <w:tab w:val="right" w:leader="dot" w:pos="6217"/>
            </w:tabs>
            <w:autoSpaceDE w:val="0"/>
            <w:autoSpaceDN w:val="0"/>
            <w:spacing w:before="237" w:after="0" w:line="240" w:lineRule="auto"/>
            <w:ind w:left="237"/>
            <w:rPr>
              <w:rFonts w:ascii="Century Gothic" w:eastAsia="Century Gothic" w:hAnsi="Century Gothic" w:cs="Century Gothic"/>
            </w:rPr>
          </w:pPr>
          <w:hyperlink w:anchor="_TOC_250000" w:history="1">
            <w:r w:rsidR="00190011" w:rsidRPr="00190011">
              <w:rPr>
                <w:rFonts w:ascii="Century Gothic" w:eastAsia="Century Gothic" w:hAnsi="Century Gothic" w:cs="Century Gothic"/>
                <w:spacing w:val="-2"/>
              </w:rPr>
              <w:t>Referenzen</w:t>
            </w:r>
            <w:r w:rsidR="00190011" w:rsidRPr="00190011">
              <w:rPr>
                <w:rFonts w:ascii="Century Gothic" w:eastAsia="Century Gothic" w:hAnsi="Century Gothic" w:cs="Century Gothic"/>
              </w:rPr>
              <w:tab/>
            </w:r>
            <w:r w:rsidR="00190011" w:rsidRPr="00190011">
              <w:rPr>
                <w:rFonts w:ascii="Century Gothic" w:eastAsia="Century Gothic" w:hAnsi="Century Gothic" w:cs="Century Gothic"/>
                <w:spacing w:val="-5"/>
              </w:rPr>
              <w:t>23</w:t>
            </w:r>
          </w:hyperlink>
        </w:p>
      </w:sdtContent>
    </w:sdt>
    <w:p w14:paraId="0B4E25B9" w14:textId="77777777" w:rsidR="00190011" w:rsidRPr="00190011" w:rsidRDefault="00190011" w:rsidP="00190011">
      <w:pPr>
        <w:widowControl w:val="0"/>
        <w:autoSpaceDE w:val="0"/>
        <w:autoSpaceDN w:val="0"/>
        <w:spacing w:after="0" w:line="240" w:lineRule="auto"/>
        <w:rPr>
          <w:rFonts w:ascii="Century Gothic" w:eastAsia="Century Gothic" w:hAnsi="Century Gothic" w:cs="Century Gothic"/>
          <w:sz w:val="20"/>
        </w:rPr>
      </w:pPr>
    </w:p>
    <w:p w14:paraId="74F57B16" w14:textId="77777777" w:rsidR="00190011" w:rsidRDefault="00190011">
      <w:pPr>
        <w:rPr>
          <w:b/>
          <w:bCs/>
        </w:rPr>
      </w:pPr>
    </w:p>
    <w:p w14:paraId="7070D1D2" w14:textId="77777777" w:rsidR="00836CA0" w:rsidRDefault="00836CA0">
      <w:pPr>
        <w:rPr>
          <w:b/>
          <w:bCs/>
        </w:rPr>
      </w:pPr>
    </w:p>
    <w:p w14:paraId="298D168F" w14:textId="77777777" w:rsidR="00836CA0" w:rsidRDefault="00836CA0">
      <w:pPr>
        <w:rPr>
          <w:b/>
          <w:bCs/>
        </w:rPr>
      </w:pPr>
    </w:p>
    <w:p w14:paraId="0EEE5B9B" w14:textId="77777777" w:rsidR="00836CA0" w:rsidRDefault="00836CA0">
      <w:pPr>
        <w:rPr>
          <w:b/>
          <w:bCs/>
        </w:rPr>
      </w:pPr>
    </w:p>
    <w:p w14:paraId="2CA4D894" w14:textId="77777777" w:rsidR="00836CA0" w:rsidRDefault="00836CA0">
      <w:pPr>
        <w:rPr>
          <w:b/>
          <w:bCs/>
        </w:rPr>
      </w:pPr>
    </w:p>
    <w:p w14:paraId="137AD629" w14:textId="77777777" w:rsidR="00836CA0" w:rsidRDefault="00836CA0">
      <w:pPr>
        <w:rPr>
          <w:b/>
          <w:bCs/>
        </w:rPr>
      </w:pPr>
    </w:p>
    <w:p w14:paraId="72928036" w14:textId="77777777" w:rsidR="00836CA0" w:rsidRDefault="00836CA0">
      <w:pPr>
        <w:rPr>
          <w:b/>
          <w:bCs/>
        </w:rPr>
      </w:pPr>
    </w:p>
    <w:p w14:paraId="3EC3B374" w14:textId="77777777" w:rsidR="00836CA0" w:rsidRDefault="00836CA0">
      <w:pPr>
        <w:rPr>
          <w:b/>
          <w:bCs/>
        </w:rPr>
      </w:pPr>
    </w:p>
    <w:p w14:paraId="0E0C2456" w14:textId="77777777" w:rsidR="00836CA0" w:rsidRDefault="00836CA0" w:rsidP="00836CA0">
      <w:pPr>
        <w:rPr>
          <w:b/>
          <w:bCs/>
          <w:sz w:val="24"/>
          <w:szCs w:val="24"/>
        </w:rPr>
      </w:pPr>
    </w:p>
    <w:p w14:paraId="33BE584C" w14:textId="77777777" w:rsidR="00836CA0" w:rsidRDefault="00836CA0" w:rsidP="00836CA0">
      <w:pPr>
        <w:rPr>
          <w:b/>
          <w:bCs/>
          <w:sz w:val="24"/>
          <w:szCs w:val="24"/>
        </w:rPr>
      </w:pPr>
    </w:p>
    <w:p w14:paraId="15DE25D2" w14:textId="5E0D164B" w:rsidR="00836CA0" w:rsidRPr="00DF09E0" w:rsidRDefault="00836CA0" w:rsidP="00836CA0">
      <w:pPr>
        <w:rPr>
          <w:b/>
          <w:bCs/>
          <w:sz w:val="24"/>
          <w:szCs w:val="24"/>
        </w:rPr>
      </w:pPr>
      <w:r w:rsidRPr="00DF09E0">
        <w:rPr>
          <w:b/>
          <w:bCs/>
          <w:sz w:val="24"/>
          <w:szCs w:val="24"/>
        </w:rPr>
        <w:t>Bitte beachten Sie diese Sicherheitshinweise in Ergänzung zu den Fachinformationen</w:t>
      </w:r>
      <w:r w:rsidRPr="00DF09E0">
        <w:rPr>
          <w:b/>
          <w:bCs/>
          <w:sz w:val="24"/>
          <w:szCs w:val="24"/>
          <w:vertAlign w:val="superscript"/>
        </w:rPr>
        <w:t>1</w:t>
      </w:r>
      <w:r w:rsidRPr="00DF09E0">
        <w:rPr>
          <w:b/>
          <w:bCs/>
          <w:sz w:val="24"/>
          <w:szCs w:val="24"/>
        </w:rPr>
        <w:t>.</w:t>
      </w:r>
    </w:p>
    <w:p w14:paraId="15972C7A" w14:textId="63920C79" w:rsidR="00190011" w:rsidRDefault="00190011">
      <w:pPr>
        <w:rPr>
          <w:b/>
          <w:bCs/>
        </w:rPr>
      </w:pPr>
      <w:r>
        <w:rPr>
          <w:b/>
          <w:bCs/>
        </w:rPr>
        <w:br w:type="page"/>
      </w:r>
    </w:p>
    <w:p w14:paraId="24E9D65F" w14:textId="73D547AC" w:rsidR="00C52B21" w:rsidRPr="00BB5616" w:rsidRDefault="00C52B21" w:rsidP="00C52B21">
      <w:pPr>
        <w:rPr>
          <w:b/>
          <w:bCs/>
          <w:sz w:val="28"/>
          <w:szCs w:val="28"/>
        </w:rPr>
      </w:pPr>
      <w:r w:rsidRPr="00BB5616">
        <w:rPr>
          <w:b/>
          <w:bCs/>
          <w:sz w:val="28"/>
          <w:szCs w:val="28"/>
        </w:rPr>
        <w:lastRenderedPageBreak/>
        <w:t>Indikationen</w:t>
      </w:r>
    </w:p>
    <w:p w14:paraId="14295B56" w14:textId="1B6C9415" w:rsidR="009C76CA" w:rsidRDefault="00882603" w:rsidP="00C52B21">
      <w:pPr>
        <w:rPr>
          <w:b/>
          <w:bCs/>
          <w:sz w:val="28"/>
          <w:szCs w:val="28"/>
        </w:rPr>
      </w:pPr>
      <w:r>
        <w:t xml:space="preserve">Behandlung von venösen thromboembolischen Ereignissen (VTE) und Prävention von rezidivierenden VTE bei Kindern und </w:t>
      </w:r>
      <w:r>
        <w:rPr>
          <w:spacing w:val="-2"/>
        </w:rPr>
        <w:t>Jugendlichen</w:t>
      </w:r>
      <w:r>
        <w:rPr>
          <w:spacing w:val="-9"/>
        </w:rPr>
        <w:t xml:space="preserve"> </w:t>
      </w:r>
      <w:r>
        <w:rPr>
          <w:spacing w:val="-2"/>
        </w:rPr>
        <w:t>von</w:t>
      </w:r>
      <w:r>
        <w:rPr>
          <w:spacing w:val="-9"/>
        </w:rPr>
        <w:t xml:space="preserve"> </w:t>
      </w:r>
      <w:r>
        <w:rPr>
          <w:spacing w:val="-2"/>
        </w:rPr>
        <w:t>der</w:t>
      </w:r>
      <w:r>
        <w:rPr>
          <w:spacing w:val="-9"/>
        </w:rPr>
        <w:t xml:space="preserve"> </w:t>
      </w:r>
      <w:r>
        <w:rPr>
          <w:spacing w:val="-2"/>
        </w:rPr>
        <w:t>Geburt</w:t>
      </w:r>
      <w:r>
        <w:rPr>
          <w:spacing w:val="-9"/>
        </w:rPr>
        <w:t xml:space="preserve"> </w:t>
      </w:r>
      <w:r>
        <w:rPr>
          <w:spacing w:val="-2"/>
        </w:rPr>
        <w:t>bis</w:t>
      </w:r>
      <w:r>
        <w:rPr>
          <w:spacing w:val="-9"/>
        </w:rPr>
        <w:t xml:space="preserve"> </w:t>
      </w:r>
      <w:r>
        <w:rPr>
          <w:spacing w:val="-2"/>
        </w:rPr>
        <w:t>zum</w:t>
      </w:r>
      <w:r>
        <w:rPr>
          <w:spacing w:val="-9"/>
        </w:rPr>
        <w:t xml:space="preserve"> </w:t>
      </w:r>
      <w:r>
        <w:rPr>
          <w:spacing w:val="-2"/>
        </w:rPr>
        <w:t>Alter</w:t>
      </w:r>
      <w:r>
        <w:rPr>
          <w:spacing w:val="-9"/>
        </w:rPr>
        <w:t xml:space="preserve"> </w:t>
      </w:r>
      <w:r>
        <w:rPr>
          <w:spacing w:val="-2"/>
        </w:rPr>
        <w:t>von</w:t>
      </w:r>
      <w:r>
        <w:rPr>
          <w:spacing w:val="-9"/>
        </w:rPr>
        <w:t xml:space="preserve"> </w:t>
      </w:r>
      <w:r>
        <w:rPr>
          <w:spacing w:val="-2"/>
        </w:rPr>
        <w:t>unter</w:t>
      </w:r>
      <w:r>
        <w:rPr>
          <w:spacing w:val="-9"/>
        </w:rPr>
        <w:t xml:space="preserve"> </w:t>
      </w:r>
      <w:r>
        <w:rPr>
          <w:spacing w:val="-2"/>
        </w:rPr>
        <w:t>18</w:t>
      </w:r>
      <w:r>
        <w:rPr>
          <w:spacing w:val="-9"/>
        </w:rPr>
        <w:t xml:space="preserve"> </w:t>
      </w:r>
      <w:r>
        <w:rPr>
          <w:spacing w:val="-2"/>
        </w:rPr>
        <w:t>Jahren.</w:t>
      </w:r>
    </w:p>
    <w:p w14:paraId="79E20305" w14:textId="77777777" w:rsidR="00882603" w:rsidRDefault="00882603" w:rsidP="00C52B21">
      <w:pPr>
        <w:rPr>
          <w:b/>
          <w:bCs/>
          <w:sz w:val="28"/>
          <w:szCs w:val="28"/>
        </w:rPr>
      </w:pPr>
    </w:p>
    <w:p w14:paraId="6CAAAFAE" w14:textId="6E9AE148" w:rsidR="00C52B21" w:rsidRPr="00BB5616" w:rsidRDefault="00C52B21" w:rsidP="00C52B21">
      <w:pPr>
        <w:rPr>
          <w:b/>
          <w:bCs/>
          <w:sz w:val="28"/>
          <w:szCs w:val="28"/>
        </w:rPr>
      </w:pPr>
      <w:r w:rsidRPr="00BB5616">
        <w:rPr>
          <w:b/>
          <w:bCs/>
          <w:sz w:val="28"/>
          <w:szCs w:val="28"/>
        </w:rPr>
        <w:t>K</w:t>
      </w:r>
      <w:r w:rsidR="007B60F3" w:rsidRPr="00BB5616">
        <w:rPr>
          <w:b/>
          <w:bCs/>
          <w:sz w:val="28"/>
          <w:szCs w:val="28"/>
        </w:rPr>
        <w:t>ontraindikationen</w:t>
      </w:r>
    </w:p>
    <w:p w14:paraId="6B22A5BD" w14:textId="506FB5A9" w:rsidR="00C52B21" w:rsidRDefault="00C52B21" w:rsidP="00C52B21">
      <w:r>
        <w:t>•</w:t>
      </w:r>
      <w:r w:rsidR="007B60F3">
        <w:t xml:space="preserve"> </w:t>
      </w:r>
      <w:r>
        <w:t>Überempfindlichkeit gegen den Wirkstoff oder gegen sonstige Bestandteile</w:t>
      </w:r>
    </w:p>
    <w:p w14:paraId="2B3D237F" w14:textId="10C41323" w:rsidR="00C52B21" w:rsidRDefault="00C52B21" w:rsidP="00C52B21">
      <w:r>
        <w:t>•</w:t>
      </w:r>
      <w:r w:rsidR="007B60F3">
        <w:t xml:space="preserve"> </w:t>
      </w:r>
      <w:r w:rsidR="00882603">
        <w:t>eGFR</w:t>
      </w:r>
      <w:r w:rsidR="00882603">
        <w:rPr>
          <w:spacing w:val="-16"/>
        </w:rPr>
        <w:t xml:space="preserve"> </w:t>
      </w:r>
      <w:r w:rsidR="00882603">
        <w:t>&lt;</w:t>
      </w:r>
      <w:r w:rsidR="00882603">
        <w:rPr>
          <w:spacing w:val="-34"/>
        </w:rPr>
        <w:t xml:space="preserve"> </w:t>
      </w:r>
      <w:r w:rsidR="00882603">
        <w:t>50</w:t>
      </w:r>
      <w:r w:rsidR="00882603">
        <w:rPr>
          <w:spacing w:val="-14"/>
        </w:rPr>
        <w:t xml:space="preserve"> </w:t>
      </w:r>
      <w:r w:rsidR="00882603">
        <w:t>ml/min/1,73</w:t>
      </w:r>
      <w:r w:rsidR="00882603">
        <w:rPr>
          <w:spacing w:val="-12"/>
        </w:rPr>
        <w:t xml:space="preserve"> </w:t>
      </w:r>
      <w:r w:rsidR="00882603">
        <w:rPr>
          <w:spacing w:val="-5"/>
        </w:rPr>
        <w:t>m</w:t>
      </w:r>
      <w:r w:rsidR="00882603">
        <w:rPr>
          <w:spacing w:val="-5"/>
          <w:position w:val="7"/>
          <w:sz w:val="13"/>
        </w:rPr>
        <w:t>2</w:t>
      </w:r>
    </w:p>
    <w:p w14:paraId="63877EE6" w14:textId="58652745" w:rsidR="00C52B21" w:rsidRDefault="00C52B21" w:rsidP="00C52B21">
      <w:r>
        <w:t>•</w:t>
      </w:r>
      <w:r w:rsidR="007B60F3">
        <w:t xml:space="preserve"> </w:t>
      </w:r>
      <w:r>
        <w:t>Akute, klinisch relevante Blutung</w:t>
      </w:r>
    </w:p>
    <w:p w14:paraId="601C2D7F" w14:textId="12939DB7" w:rsidR="00C52B21" w:rsidRDefault="00C52B21" w:rsidP="00C52B21">
      <w:r>
        <w:t>•</w:t>
      </w:r>
      <w:r w:rsidR="007B60F3">
        <w:t xml:space="preserve"> </w:t>
      </w:r>
      <w:r>
        <w:t>Läsionen oder klinische Situationen, die als signifikanter Risikofaktor einer schweren Blutung angesehen werden. Diese können z. B. sein:</w:t>
      </w:r>
    </w:p>
    <w:p w14:paraId="340A4937" w14:textId="77777777" w:rsidR="00C52B21" w:rsidRDefault="00C52B21" w:rsidP="00C52B21">
      <w:r>
        <w:t>− akute oder kürzlich aufgetretene gastrointestinale Ulzerationen</w:t>
      </w:r>
    </w:p>
    <w:p w14:paraId="09A781ED" w14:textId="77777777" w:rsidR="00C52B21" w:rsidRDefault="00C52B21" w:rsidP="00C52B21">
      <w:r>
        <w:t>− maligne Neoplasien mit hohem Blutungsrisiko</w:t>
      </w:r>
    </w:p>
    <w:p w14:paraId="7A300463" w14:textId="77777777" w:rsidR="00C52B21" w:rsidRDefault="00C52B21" w:rsidP="00C52B21">
      <w:r>
        <w:t>− kürzlich aufgetretene Hirn- oder Rückenmarksverletzungen</w:t>
      </w:r>
    </w:p>
    <w:p w14:paraId="1F253903" w14:textId="77777777" w:rsidR="00C52B21" w:rsidRDefault="00C52B21" w:rsidP="00C52B21">
      <w:r>
        <w:t>− kürzlich erfolgte chirurgische Eingriffe an Gehirn, Rückenmark oder Augen</w:t>
      </w:r>
    </w:p>
    <w:p w14:paraId="7208E30E" w14:textId="77777777" w:rsidR="00C52B21" w:rsidRDefault="00C52B21" w:rsidP="00C52B21">
      <w:r>
        <w:t>− kürzlich aufgetretene intrakranielle Blutungen</w:t>
      </w:r>
    </w:p>
    <w:p w14:paraId="59FB8E6A" w14:textId="77777777" w:rsidR="00C52B21" w:rsidRDefault="00C52B21" w:rsidP="00C52B21">
      <w:r>
        <w:t>− bekannte oder vermutete Ösophagusvarizen</w:t>
      </w:r>
    </w:p>
    <w:p w14:paraId="22935BF1" w14:textId="77777777" w:rsidR="00C52B21" w:rsidRDefault="00C52B21" w:rsidP="00C52B21">
      <w:r>
        <w:t>− arteriovenöse Fehlbildungen</w:t>
      </w:r>
    </w:p>
    <w:p w14:paraId="0A3AE174" w14:textId="77777777" w:rsidR="00C52B21" w:rsidRDefault="00C52B21" w:rsidP="00C52B21">
      <w:r>
        <w:t>− vaskuläre Aneurysmen oder größere intraspinale oder intrazerebrale vaskuläre Anomalien</w:t>
      </w:r>
    </w:p>
    <w:p w14:paraId="40C80797" w14:textId="42F5DD8A" w:rsidR="00C52B21" w:rsidRDefault="00C52B21" w:rsidP="00C52B21">
      <w:r>
        <w:t>•</w:t>
      </w:r>
      <w:r w:rsidR="007B60F3">
        <w:t xml:space="preserve"> </w:t>
      </w:r>
      <w:r>
        <w:t>Die gleichzeitige Anwendung von anderen Antikoagulan</w:t>
      </w:r>
      <w:r w:rsidR="000C17B8">
        <w:t>z</w:t>
      </w:r>
      <w:r>
        <w:t>ien z. B.</w:t>
      </w:r>
    </w:p>
    <w:p w14:paraId="54D8016C" w14:textId="782C9FBB" w:rsidR="00C52B21" w:rsidRDefault="00C52B21" w:rsidP="00C52B21">
      <w:r>
        <w:t>− unfraktionierte Heparine</w:t>
      </w:r>
      <w:r w:rsidR="00882603">
        <w:t xml:space="preserve"> (UFH)</w:t>
      </w:r>
    </w:p>
    <w:p w14:paraId="7DBB76B4" w14:textId="77777777" w:rsidR="00C52B21" w:rsidRDefault="00C52B21" w:rsidP="00C52B21">
      <w:r>
        <w:t>− niedermolekulare Heparine (Enoxaparin, Dalteparin etc.)</w:t>
      </w:r>
    </w:p>
    <w:p w14:paraId="1BC5DBDE" w14:textId="77777777" w:rsidR="00C52B21" w:rsidRDefault="00C52B21" w:rsidP="00C52B21">
      <w:r>
        <w:t>− Heparinderivate (Fondaparinux etc.)</w:t>
      </w:r>
    </w:p>
    <w:p w14:paraId="10908C86" w14:textId="0163A91F" w:rsidR="00C52B21" w:rsidRDefault="00C52B21" w:rsidP="00C52B21">
      <w:r>
        <w:t>− orale Antikoagulan</w:t>
      </w:r>
      <w:r w:rsidR="00882603">
        <w:t>z</w:t>
      </w:r>
      <w:r>
        <w:t xml:space="preserve">ien (Warfarin, Rivaroxaban, Apixaban etc.), außer unter besonderen Umständen. Dazu gehören die Umstellung der Antikoagulationstherapie </w:t>
      </w:r>
      <w:r w:rsidR="00AF36BC">
        <w:t xml:space="preserve">oder </w:t>
      </w:r>
      <w:r>
        <w:t>wenn unfraktioniertes Heparin in Dosen gegeben wird, die notwendig sind, um die Durchgängigkeit eines zentralvenösen oder arteriellen Katheters zu erhalten</w:t>
      </w:r>
      <w:r w:rsidR="00882603">
        <w:t>.</w:t>
      </w:r>
    </w:p>
    <w:p w14:paraId="146B9EFD" w14:textId="0A5E0D8D" w:rsidR="00C52B21" w:rsidRDefault="00C52B21" w:rsidP="00C52B21">
      <w:r>
        <w:t>•</w:t>
      </w:r>
      <w:r w:rsidR="007B60F3">
        <w:t xml:space="preserve"> </w:t>
      </w:r>
      <w:r>
        <w:t>Beeinträchtigung der Leberfunktion oder Lebererkrankung, die Auswirkungen auf das Überleben erwarten lässt</w:t>
      </w:r>
    </w:p>
    <w:p w14:paraId="5F676DD3" w14:textId="3AD336A3" w:rsidR="00C52B21" w:rsidRDefault="00C52B21" w:rsidP="00C52B21">
      <w:r>
        <w:t>•</w:t>
      </w:r>
      <w:r w:rsidR="007B60F3">
        <w:t xml:space="preserve"> </w:t>
      </w:r>
      <w:r>
        <w:t>Gleichzeitige Behandlung mit den folgenden starken</w:t>
      </w:r>
      <w:r w:rsidR="007B60F3">
        <w:t xml:space="preserve"> </w:t>
      </w:r>
      <w:r>
        <w:t>P-Glykoproteinhemmern: systemisch verabreichtes Ketoconazol, Ciclosporin, Itraconazol, Dronedaron und die Fixkombination aus Glecaprevir/Pibrentasvir</w:t>
      </w:r>
    </w:p>
    <w:p w14:paraId="412DB059" w14:textId="53E3DE62" w:rsidR="00C52B21" w:rsidRDefault="00C52B21" w:rsidP="00C52B21">
      <w:r>
        <w:t>•</w:t>
      </w:r>
      <w:r w:rsidR="007B60F3">
        <w:t xml:space="preserve"> </w:t>
      </w:r>
      <w:r>
        <w:t>Patienten mit künstlichen Herzklappen, die eine gerinnungshemmende Therapie benötigen</w:t>
      </w:r>
    </w:p>
    <w:p w14:paraId="0F550059" w14:textId="4AFB138C" w:rsidR="00C52B21" w:rsidRDefault="00C52B21" w:rsidP="00C52B21"/>
    <w:p w14:paraId="648D9DB0" w14:textId="77777777" w:rsidR="00015056" w:rsidRDefault="00015056" w:rsidP="00C52B21">
      <w:pPr>
        <w:rPr>
          <w:b/>
          <w:bCs/>
          <w:sz w:val="28"/>
          <w:szCs w:val="28"/>
        </w:rPr>
      </w:pPr>
    </w:p>
    <w:p w14:paraId="1D29CB10" w14:textId="7DC0B285" w:rsidR="00C52B21" w:rsidRDefault="003E5220" w:rsidP="00C52B21">
      <w:pPr>
        <w:rPr>
          <w:b/>
          <w:bCs/>
          <w:sz w:val="28"/>
          <w:szCs w:val="28"/>
          <w:vertAlign w:val="superscript"/>
        </w:rPr>
      </w:pPr>
      <w:r w:rsidRPr="00BB5616">
        <w:rPr>
          <w:b/>
          <w:bCs/>
          <w:sz w:val="28"/>
          <w:szCs w:val="28"/>
        </w:rPr>
        <w:lastRenderedPageBreak/>
        <w:t>Dosierung</w:t>
      </w:r>
      <w:r w:rsidRPr="00BB5616">
        <w:rPr>
          <w:b/>
          <w:bCs/>
          <w:sz w:val="28"/>
          <w:szCs w:val="28"/>
          <w:vertAlign w:val="superscript"/>
        </w:rPr>
        <w:t>1</w:t>
      </w:r>
    </w:p>
    <w:p w14:paraId="29818C09" w14:textId="7B2F3BE1" w:rsidR="00882603" w:rsidRDefault="00882603" w:rsidP="00882603">
      <w:r>
        <w:t xml:space="preserve">Zur Behandlung von VTE bei Kindern und Jugendlichen sollte die Behandlung im Anschluss an eine mindestens 5-tägige Behandlung mit einem parenteralen Antikoagulans beginnen. Zur Prävention von </w:t>
      </w:r>
      <w:r w:rsidR="00410892">
        <w:t xml:space="preserve">rezidivierender </w:t>
      </w:r>
      <w:r>
        <w:t>VTE sollte die Behandlung im Anschluss an die vorhergehende Behandlung beginnen.</w:t>
      </w:r>
    </w:p>
    <w:p w14:paraId="69E600CC" w14:textId="372C96CC" w:rsidR="00882603" w:rsidRDefault="00882603" w:rsidP="00882603">
      <w:r>
        <w:t>Bei einem Wechsel zwischen den Applikationsformen kann es erforderlich sein, die verschriebene Dosierung zu ändern, da die verschiedenen Applikationsformen unterschiedliche nominale Dosen bei gleichem Gewicht und Alter des Kindes haben können. Angepasst an Gewicht und Alter des Kindes ist die Dosis gemäß der entsprechenden Dosierungstabelle für die jeweilige Applikationsform zu verschreiben.</w:t>
      </w:r>
    </w:p>
    <w:p w14:paraId="37B96F8C" w14:textId="08F2AADD" w:rsidR="00882603" w:rsidRDefault="00882603" w:rsidP="00882603">
      <w:r w:rsidRPr="00882603">
        <w:rPr>
          <w:b/>
          <w:bCs/>
        </w:rPr>
        <w:t>Dabigatranetexilat soll zweimal täglich eingenommen werden:</w:t>
      </w:r>
      <w:r>
        <w:t xml:space="preserve"> eine Dosis morgens und eine Dosis abends, jeden Tag etwa zur gleichen Zeit. Das Dosierungsintervall soll möglichst 12 Stunden betragen.</w:t>
      </w:r>
    </w:p>
    <w:p w14:paraId="60918E70" w14:textId="384C7E6A" w:rsidR="00410892" w:rsidRDefault="00410892" w:rsidP="00882603">
      <w:r w:rsidRPr="0090064F">
        <w:rPr>
          <w:b/>
        </w:rPr>
        <w:t xml:space="preserve">Dabigatranetexilat </w:t>
      </w:r>
      <w:r w:rsidRPr="00D43C30">
        <w:rPr>
          <w:b/>
        </w:rPr>
        <w:t>75 mg, 110 mg, 150 mg Kapseln</w:t>
      </w:r>
    </w:p>
    <w:p w14:paraId="5091545E" w14:textId="079B6A6B" w:rsidR="00882603" w:rsidRDefault="0098453A" w:rsidP="00882603">
      <w:r w:rsidRPr="0098453A">
        <w:t>Dabigatranetexilat</w:t>
      </w:r>
      <w:r w:rsidR="00882603">
        <w:t xml:space="preserve"> Kapseln können bei Kindern ab 8 Jahren und Jugendlichen angewendet werden, die in der Lage sind, die Kapseln im Ganzen zu schlucken. Die empfohlene Dosis richtet sich nach Körpergewicht und Alter des Patienten und ist der Tabelle 1 zu entnehmen.</w:t>
      </w:r>
    </w:p>
    <w:p w14:paraId="1B4A4B10" w14:textId="0651D2C1" w:rsidR="00882603" w:rsidRDefault="00882603" w:rsidP="00882603">
      <w:r>
        <w:t>Im weiteren Verlauf der Behandlung sollte die Dosis je nach Körpergewicht und Alter angepasst werden. Zu Kombinationen aus Körpergewicht und Alter, die nicht in der Dosierungstabelle angegeben sind, können keine Dosierungsempfehlungen gegeben werden.</w:t>
      </w:r>
    </w:p>
    <w:p w14:paraId="480B538D" w14:textId="3E115947" w:rsidR="00882603" w:rsidRPr="00E677EE" w:rsidRDefault="00882603" w:rsidP="00882603">
      <w:pPr>
        <w:rPr>
          <w:b/>
          <w:bCs/>
        </w:rPr>
      </w:pPr>
      <w:r w:rsidRPr="00E677EE">
        <w:rPr>
          <w:b/>
          <w:bCs/>
        </w:rPr>
        <w:t>Tabelle 1:</w:t>
      </w:r>
      <w:r w:rsidR="00E677EE" w:rsidRPr="00E677EE">
        <w:rPr>
          <w:b/>
          <w:bCs/>
        </w:rPr>
        <w:t xml:space="preserve"> </w:t>
      </w:r>
      <w:r w:rsidRPr="00E677EE">
        <w:rPr>
          <w:b/>
          <w:bCs/>
        </w:rPr>
        <w:t>Einzeldosen und Tagesgesamtdosen in Milligramm (mg)</w:t>
      </w:r>
      <w:r w:rsidR="00015056" w:rsidRPr="00E677EE">
        <w:rPr>
          <w:b/>
          <w:bCs/>
        </w:rPr>
        <w:t xml:space="preserve"> </w:t>
      </w:r>
      <w:r w:rsidRPr="00E677EE">
        <w:rPr>
          <w:b/>
          <w:bCs/>
        </w:rPr>
        <w:t>nach Körpergewicht in Kilogramm (kg) und Alter des Patienten in Jahren</w:t>
      </w:r>
    </w:p>
    <w:tbl>
      <w:tblPr>
        <w:tblStyle w:val="Tabellenraster"/>
        <w:tblW w:w="0" w:type="auto"/>
        <w:tblLook w:val="04A0" w:firstRow="1" w:lastRow="0" w:firstColumn="1" w:lastColumn="0" w:noHBand="0" w:noVBand="1"/>
      </w:tblPr>
      <w:tblGrid>
        <w:gridCol w:w="2265"/>
        <w:gridCol w:w="2265"/>
        <w:gridCol w:w="2266"/>
        <w:gridCol w:w="2266"/>
      </w:tblGrid>
      <w:tr w:rsidR="00882603" w14:paraId="4940FED1" w14:textId="77777777" w:rsidTr="00900F65">
        <w:tc>
          <w:tcPr>
            <w:tcW w:w="4530" w:type="dxa"/>
            <w:gridSpan w:val="2"/>
          </w:tcPr>
          <w:p w14:paraId="25DBF4AD" w14:textId="4D44FB34" w:rsidR="00882603" w:rsidRPr="007164FF" w:rsidRDefault="00882603" w:rsidP="00376F80">
            <w:pPr>
              <w:rPr>
                <w:b/>
                <w:bCs/>
              </w:rPr>
            </w:pPr>
            <w:r w:rsidRPr="007164FF">
              <w:rPr>
                <w:b/>
                <w:bCs/>
              </w:rPr>
              <w:t>Körpergewicht/ Alter-Kombinationen</w:t>
            </w:r>
          </w:p>
        </w:tc>
        <w:tc>
          <w:tcPr>
            <w:tcW w:w="2266" w:type="dxa"/>
            <w:vMerge w:val="restart"/>
          </w:tcPr>
          <w:p w14:paraId="02465230" w14:textId="67CB95E0" w:rsidR="00882603" w:rsidRPr="007164FF" w:rsidRDefault="00882603" w:rsidP="00376F80">
            <w:pPr>
              <w:rPr>
                <w:b/>
                <w:bCs/>
              </w:rPr>
            </w:pPr>
            <w:r w:rsidRPr="007164FF">
              <w:rPr>
                <w:b/>
                <w:bCs/>
              </w:rPr>
              <w:t>Einzeldosis in mg</w:t>
            </w:r>
          </w:p>
        </w:tc>
        <w:tc>
          <w:tcPr>
            <w:tcW w:w="2266" w:type="dxa"/>
            <w:vMerge w:val="restart"/>
          </w:tcPr>
          <w:p w14:paraId="5ECBBDE6" w14:textId="18483FF6" w:rsidR="00882603" w:rsidRPr="007164FF" w:rsidRDefault="00882603" w:rsidP="00376F80">
            <w:pPr>
              <w:rPr>
                <w:b/>
                <w:bCs/>
              </w:rPr>
            </w:pPr>
            <w:r w:rsidRPr="007164FF">
              <w:rPr>
                <w:b/>
                <w:bCs/>
              </w:rPr>
              <w:t>Tagesgesamtdosis in mg</w:t>
            </w:r>
          </w:p>
        </w:tc>
      </w:tr>
      <w:tr w:rsidR="00882603" w14:paraId="5E7FA245" w14:textId="77777777" w:rsidTr="00882603">
        <w:tc>
          <w:tcPr>
            <w:tcW w:w="2265" w:type="dxa"/>
          </w:tcPr>
          <w:p w14:paraId="5D7C75BC" w14:textId="00B94673" w:rsidR="00882603" w:rsidRPr="007164FF" w:rsidRDefault="00882603" w:rsidP="00376F80">
            <w:pPr>
              <w:rPr>
                <w:b/>
                <w:bCs/>
              </w:rPr>
            </w:pPr>
            <w:r w:rsidRPr="007164FF">
              <w:rPr>
                <w:b/>
                <w:bCs/>
              </w:rPr>
              <w:t>Körpergewicht in kg</w:t>
            </w:r>
          </w:p>
        </w:tc>
        <w:tc>
          <w:tcPr>
            <w:tcW w:w="2265" w:type="dxa"/>
          </w:tcPr>
          <w:p w14:paraId="0ABD9706" w14:textId="5D87DCBF" w:rsidR="00882603" w:rsidRPr="007164FF" w:rsidRDefault="00882603" w:rsidP="00376F80">
            <w:pPr>
              <w:rPr>
                <w:b/>
                <w:bCs/>
              </w:rPr>
            </w:pPr>
            <w:r w:rsidRPr="007164FF">
              <w:rPr>
                <w:b/>
                <w:bCs/>
              </w:rPr>
              <w:t>Alter in Jahren</w:t>
            </w:r>
          </w:p>
        </w:tc>
        <w:tc>
          <w:tcPr>
            <w:tcW w:w="2266" w:type="dxa"/>
            <w:vMerge/>
          </w:tcPr>
          <w:p w14:paraId="26577FF9" w14:textId="77777777" w:rsidR="00882603" w:rsidRDefault="00882603" w:rsidP="00376F80"/>
        </w:tc>
        <w:tc>
          <w:tcPr>
            <w:tcW w:w="2266" w:type="dxa"/>
            <w:vMerge/>
          </w:tcPr>
          <w:p w14:paraId="05D52F2E" w14:textId="77777777" w:rsidR="00882603" w:rsidRDefault="00882603" w:rsidP="00376F80"/>
        </w:tc>
      </w:tr>
      <w:tr w:rsidR="007164FF" w14:paraId="7E5B9692" w14:textId="77777777" w:rsidTr="00882603">
        <w:tc>
          <w:tcPr>
            <w:tcW w:w="2265" w:type="dxa"/>
          </w:tcPr>
          <w:p w14:paraId="6181117F" w14:textId="703EFD18" w:rsidR="007164FF" w:rsidRDefault="007164FF" w:rsidP="007164FF">
            <w:r w:rsidRPr="00605C7B">
              <w:t>11 bis &lt; 13</w:t>
            </w:r>
          </w:p>
        </w:tc>
        <w:tc>
          <w:tcPr>
            <w:tcW w:w="2265" w:type="dxa"/>
          </w:tcPr>
          <w:p w14:paraId="2F892C93" w14:textId="3B807B8E" w:rsidR="007164FF" w:rsidRDefault="007164FF" w:rsidP="007164FF">
            <w:r w:rsidRPr="00605C7B">
              <w:t>8 bis &lt; 9</w:t>
            </w:r>
          </w:p>
        </w:tc>
        <w:tc>
          <w:tcPr>
            <w:tcW w:w="2266" w:type="dxa"/>
          </w:tcPr>
          <w:p w14:paraId="3C7FCB69" w14:textId="4B10C5C9" w:rsidR="007164FF" w:rsidRDefault="007164FF" w:rsidP="007164FF">
            <w:r w:rsidRPr="00605C7B">
              <w:t>75</w:t>
            </w:r>
          </w:p>
        </w:tc>
        <w:tc>
          <w:tcPr>
            <w:tcW w:w="2266" w:type="dxa"/>
          </w:tcPr>
          <w:p w14:paraId="0DAB43FA" w14:textId="5D8089A2" w:rsidR="007164FF" w:rsidRDefault="007164FF" w:rsidP="007164FF">
            <w:r w:rsidRPr="00605C7B">
              <w:t>150</w:t>
            </w:r>
          </w:p>
        </w:tc>
      </w:tr>
      <w:tr w:rsidR="007164FF" w14:paraId="10B95234" w14:textId="77777777" w:rsidTr="00882603">
        <w:tc>
          <w:tcPr>
            <w:tcW w:w="2265" w:type="dxa"/>
          </w:tcPr>
          <w:p w14:paraId="1AAC6D8E" w14:textId="30060B5D" w:rsidR="007164FF" w:rsidRDefault="007164FF" w:rsidP="007164FF">
            <w:r w:rsidRPr="001617F6">
              <w:t>13 bis &lt; 16</w:t>
            </w:r>
          </w:p>
        </w:tc>
        <w:tc>
          <w:tcPr>
            <w:tcW w:w="2265" w:type="dxa"/>
          </w:tcPr>
          <w:p w14:paraId="63F3A6A4" w14:textId="72EEC5ED" w:rsidR="007164FF" w:rsidRDefault="007164FF" w:rsidP="007164FF">
            <w:r w:rsidRPr="001617F6">
              <w:t>8 bis &lt; 11</w:t>
            </w:r>
          </w:p>
        </w:tc>
        <w:tc>
          <w:tcPr>
            <w:tcW w:w="2266" w:type="dxa"/>
          </w:tcPr>
          <w:p w14:paraId="154CDB6A" w14:textId="4D2BF874" w:rsidR="007164FF" w:rsidRDefault="007164FF" w:rsidP="007164FF">
            <w:r w:rsidRPr="001617F6">
              <w:t>110</w:t>
            </w:r>
          </w:p>
        </w:tc>
        <w:tc>
          <w:tcPr>
            <w:tcW w:w="2266" w:type="dxa"/>
          </w:tcPr>
          <w:p w14:paraId="408A3252" w14:textId="2AE74E96" w:rsidR="007164FF" w:rsidRDefault="007164FF" w:rsidP="007164FF">
            <w:r w:rsidRPr="001617F6">
              <w:t>220</w:t>
            </w:r>
          </w:p>
        </w:tc>
      </w:tr>
      <w:tr w:rsidR="007164FF" w14:paraId="52B70059" w14:textId="77777777" w:rsidTr="00882603">
        <w:tc>
          <w:tcPr>
            <w:tcW w:w="2265" w:type="dxa"/>
          </w:tcPr>
          <w:p w14:paraId="30934346" w14:textId="69D4EA75" w:rsidR="007164FF" w:rsidRDefault="007164FF" w:rsidP="007164FF">
            <w:r w:rsidRPr="00E2184A">
              <w:t>16 bis &lt; 21</w:t>
            </w:r>
          </w:p>
        </w:tc>
        <w:tc>
          <w:tcPr>
            <w:tcW w:w="2265" w:type="dxa"/>
          </w:tcPr>
          <w:p w14:paraId="1C88989E" w14:textId="28337F78" w:rsidR="007164FF" w:rsidRDefault="007164FF" w:rsidP="007164FF">
            <w:r w:rsidRPr="00E2184A">
              <w:t>8 bis &lt; 14</w:t>
            </w:r>
          </w:p>
        </w:tc>
        <w:tc>
          <w:tcPr>
            <w:tcW w:w="2266" w:type="dxa"/>
          </w:tcPr>
          <w:p w14:paraId="3F53A41D" w14:textId="5AADE6D3" w:rsidR="007164FF" w:rsidRDefault="007164FF" w:rsidP="007164FF">
            <w:r w:rsidRPr="00E2184A">
              <w:t>110</w:t>
            </w:r>
          </w:p>
        </w:tc>
        <w:tc>
          <w:tcPr>
            <w:tcW w:w="2266" w:type="dxa"/>
          </w:tcPr>
          <w:p w14:paraId="06CBC7A7" w14:textId="5C7D0A63" w:rsidR="007164FF" w:rsidRDefault="007164FF" w:rsidP="007164FF">
            <w:r w:rsidRPr="00E2184A">
              <w:t>220</w:t>
            </w:r>
          </w:p>
        </w:tc>
      </w:tr>
      <w:tr w:rsidR="007164FF" w14:paraId="23282A40" w14:textId="77777777" w:rsidTr="00882603">
        <w:tc>
          <w:tcPr>
            <w:tcW w:w="2265" w:type="dxa"/>
          </w:tcPr>
          <w:p w14:paraId="51953664" w14:textId="47563846" w:rsidR="007164FF" w:rsidRDefault="007164FF" w:rsidP="007164FF">
            <w:r w:rsidRPr="00B73725">
              <w:t>21 bis &lt; 26</w:t>
            </w:r>
          </w:p>
        </w:tc>
        <w:tc>
          <w:tcPr>
            <w:tcW w:w="2265" w:type="dxa"/>
          </w:tcPr>
          <w:p w14:paraId="64546EEC" w14:textId="51B9C020" w:rsidR="007164FF" w:rsidRDefault="007164FF" w:rsidP="007164FF">
            <w:r w:rsidRPr="00B73725">
              <w:t>8 bis &lt; 16</w:t>
            </w:r>
          </w:p>
        </w:tc>
        <w:tc>
          <w:tcPr>
            <w:tcW w:w="2266" w:type="dxa"/>
          </w:tcPr>
          <w:p w14:paraId="16303059" w14:textId="5E0C7EA3" w:rsidR="007164FF" w:rsidRDefault="007164FF" w:rsidP="007164FF">
            <w:r w:rsidRPr="00B73725">
              <w:t>150</w:t>
            </w:r>
          </w:p>
        </w:tc>
        <w:tc>
          <w:tcPr>
            <w:tcW w:w="2266" w:type="dxa"/>
          </w:tcPr>
          <w:p w14:paraId="51BB8D4A" w14:textId="20632C73" w:rsidR="007164FF" w:rsidRDefault="007164FF" w:rsidP="007164FF">
            <w:r w:rsidRPr="00B73725">
              <w:t>300</w:t>
            </w:r>
          </w:p>
        </w:tc>
      </w:tr>
      <w:tr w:rsidR="007164FF" w14:paraId="37B8459F" w14:textId="77777777" w:rsidTr="00882603">
        <w:tc>
          <w:tcPr>
            <w:tcW w:w="2265" w:type="dxa"/>
          </w:tcPr>
          <w:p w14:paraId="56E98EF9" w14:textId="374F5F4B" w:rsidR="007164FF" w:rsidRDefault="007164FF" w:rsidP="007164FF">
            <w:r w:rsidRPr="00165DF5">
              <w:t>26 bis &lt; 31</w:t>
            </w:r>
          </w:p>
        </w:tc>
        <w:tc>
          <w:tcPr>
            <w:tcW w:w="2265" w:type="dxa"/>
          </w:tcPr>
          <w:p w14:paraId="591EC95C" w14:textId="7B079EF4" w:rsidR="007164FF" w:rsidRDefault="007164FF" w:rsidP="007164FF">
            <w:r w:rsidRPr="00165DF5">
              <w:t>8 bis &lt; 18</w:t>
            </w:r>
          </w:p>
        </w:tc>
        <w:tc>
          <w:tcPr>
            <w:tcW w:w="2266" w:type="dxa"/>
          </w:tcPr>
          <w:p w14:paraId="0D1FC5A3" w14:textId="6E69E741" w:rsidR="007164FF" w:rsidRDefault="007164FF" w:rsidP="007164FF">
            <w:r w:rsidRPr="00165DF5">
              <w:t>150</w:t>
            </w:r>
          </w:p>
        </w:tc>
        <w:tc>
          <w:tcPr>
            <w:tcW w:w="2266" w:type="dxa"/>
          </w:tcPr>
          <w:p w14:paraId="16EDB152" w14:textId="6FD9A91D" w:rsidR="007164FF" w:rsidRDefault="007164FF" w:rsidP="007164FF">
            <w:r w:rsidRPr="00165DF5">
              <w:t>300</w:t>
            </w:r>
          </w:p>
        </w:tc>
      </w:tr>
      <w:tr w:rsidR="007164FF" w14:paraId="7EF671C2" w14:textId="77777777" w:rsidTr="00882603">
        <w:tc>
          <w:tcPr>
            <w:tcW w:w="2265" w:type="dxa"/>
          </w:tcPr>
          <w:p w14:paraId="3353AC65" w14:textId="543ECF52" w:rsidR="007164FF" w:rsidRDefault="007164FF" w:rsidP="007164FF">
            <w:r w:rsidRPr="00A41D98">
              <w:t>31 bis &lt; 41</w:t>
            </w:r>
          </w:p>
        </w:tc>
        <w:tc>
          <w:tcPr>
            <w:tcW w:w="2265" w:type="dxa"/>
          </w:tcPr>
          <w:p w14:paraId="2C096B0B" w14:textId="08A45CDA" w:rsidR="007164FF" w:rsidRDefault="007164FF" w:rsidP="007164FF">
            <w:r w:rsidRPr="00A41D98">
              <w:t>8 bis &lt; 18</w:t>
            </w:r>
          </w:p>
        </w:tc>
        <w:tc>
          <w:tcPr>
            <w:tcW w:w="2266" w:type="dxa"/>
          </w:tcPr>
          <w:p w14:paraId="005C625C" w14:textId="248AC56E" w:rsidR="007164FF" w:rsidRDefault="007164FF" w:rsidP="007164FF">
            <w:r w:rsidRPr="00A41D98">
              <w:t>185</w:t>
            </w:r>
          </w:p>
        </w:tc>
        <w:tc>
          <w:tcPr>
            <w:tcW w:w="2266" w:type="dxa"/>
          </w:tcPr>
          <w:p w14:paraId="73362355" w14:textId="7AC4C335" w:rsidR="007164FF" w:rsidRDefault="007164FF" w:rsidP="007164FF">
            <w:r w:rsidRPr="00A41D98">
              <w:t>370</w:t>
            </w:r>
          </w:p>
        </w:tc>
      </w:tr>
      <w:tr w:rsidR="007164FF" w14:paraId="04326EEA" w14:textId="77777777" w:rsidTr="00882603">
        <w:tc>
          <w:tcPr>
            <w:tcW w:w="2265" w:type="dxa"/>
          </w:tcPr>
          <w:p w14:paraId="19FE0713" w14:textId="220CBD1A" w:rsidR="007164FF" w:rsidRPr="00A41D98" w:rsidRDefault="007164FF" w:rsidP="007164FF">
            <w:r w:rsidRPr="00F00AF4">
              <w:t>41 bis &lt; 51</w:t>
            </w:r>
          </w:p>
        </w:tc>
        <w:tc>
          <w:tcPr>
            <w:tcW w:w="2265" w:type="dxa"/>
          </w:tcPr>
          <w:p w14:paraId="41622B76" w14:textId="5DBF6151" w:rsidR="007164FF" w:rsidRPr="00A41D98" w:rsidRDefault="007164FF" w:rsidP="007164FF">
            <w:r w:rsidRPr="00F00AF4">
              <w:t>8 bis &lt; 18</w:t>
            </w:r>
          </w:p>
        </w:tc>
        <w:tc>
          <w:tcPr>
            <w:tcW w:w="2266" w:type="dxa"/>
          </w:tcPr>
          <w:p w14:paraId="6E2A1340" w14:textId="12053639" w:rsidR="007164FF" w:rsidRPr="00A41D98" w:rsidRDefault="007164FF" w:rsidP="007164FF">
            <w:r w:rsidRPr="00F00AF4">
              <w:t>220</w:t>
            </w:r>
          </w:p>
        </w:tc>
        <w:tc>
          <w:tcPr>
            <w:tcW w:w="2266" w:type="dxa"/>
          </w:tcPr>
          <w:p w14:paraId="5F315FBB" w14:textId="6CFDDB5B" w:rsidR="007164FF" w:rsidRPr="00A41D98" w:rsidRDefault="007164FF" w:rsidP="007164FF">
            <w:r w:rsidRPr="00F00AF4">
              <w:t>440</w:t>
            </w:r>
          </w:p>
        </w:tc>
      </w:tr>
      <w:tr w:rsidR="007164FF" w14:paraId="2DBDF9BA" w14:textId="77777777" w:rsidTr="00882603">
        <w:tc>
          <w:tcPr>
            <w:tcW w:w="2265" w:type="dxa"/>
          </w:tcPr>
          <w:p w14:paraId="79D52526" w14:textId="48C8BE80" w:rsidR="007164FF" w:rsidRPr="00A41D98" w:rsidRDefault="007164FF" w:rsidP="007164FF">
            <w:r w:rsidRPr="00743322">
              <w:t>51 bis &lt; 61</w:t>
            </w:r>
          </w:p>
        </w:tc>
        <w:tc>
          <w:tcPr>
            <w:tcW w:w="2265" w:type="dxa"/>
          </w:tcPr>
          <w:p w14:paraId="00FF269C" w14:textId="58411648" w:rsidR="007164FF" w:rsidRPr="00A41D98" w:rsidRDefault="007164FF" w:rsidP="007164FF">
            <w:r w:rsidRPr="00743322">
              <w:t>8 bis &lt; 18</w:t>
            </w:r>
          </w:p>
        </w:tc>
        <w:tc>
          <w:tcPr>
            <w:tcW w:w="2266" w:type="dxa"/>
          </w:tcPr>
          <w:p w14:paraId="5778CF44" w14:textId="5400A391" w:rsidR="007164FF" w:rsidRPr="00A41D98" w:rsidRDefault="007164FF" w:rsidP="007164FF">
            <w:r w:rsidRPr="00743322">
              <w:t>260</w:t>
            </w:r>
          </w:p>
        </w:tc>
        <w:tc>
          <w:tcPr>
            <w:tcW w:w="2266" w:type="dxa"/>
          </w:tcPr>
          <w:p w14:paraId="50B43E11" w14:textId="378FE298" w:rsidR="007164FF" w:rsidRPr="00A41D98" w:rsidRDefault="007164FF" w:rsidP="007164FF">
            <w:r w:rsidRPr="00743322">
              <w:t>520</w:t>
            </w:r>
          </w:p>
        </w:tc>
      </w:tr>
      <w:tr w:rsidR="007164FF" w14:paraId="7C1F5CF7" w14:textId="77777777" w:rsidTr="00882603">
        <w:tc>
          <w:tcPr>
            <w:tcW w:w="2265" w:type="dxa"/>
          </w:tcPr>
          <w:p w14:paraId="5F571875" w14:textId="426BFEB2" w:rsidR="007164FF" w:rsidRPr="00A41D98" w:rsidRDefault="007164FF" w:rsidP="007164FF">
            <w:r w:rsidRPr="00F549FE">
              <w:t>61 bis &lt; 71</w:t>
            </w:r>
          </w:p>
        </w:tc>
        <w:tc>
          <w:tcPr>
            <w:tcW w:w="2265" w:type="dxa"/>
          </w:tcPr>
          <w:p w14:paraId="2B521ACC" w14:textId="4416DB30" w:rsidR="007164FF" w:rsidRPr="00A41D98" w:rsidRDefault="007164FF" w:rsidP="007164FF">
            <w:r w:rsidRPr="00F549FE">
              <w:t>8 bis &lt; 18</w:t>
            </w:r>
          </w:p>
        </w:tc>
        <w:tc>
          <w:tcPr>
            <w:tcW w:w="2266" w:type="dxa"/>
          </w:tcPr>
          <w:p w14:paraId="07DAC9DF" w14:textId="3BE3A930" w:rsidR="007164FF" w:rsidRPr="00A41D98" w:rsidRDefault="007164FF" w:rsidP="007164FF">
            <w:r w:rsidRPr="00F549FE">
              <w:t>300</w:t>
            </w:r>
          </w:p>
        </w:tc>
        <w:tc>
          <w:tcPr>
            <w:tcW w:w="2266" w:type="dxa"/>
          </w:tcPr>
          <w:p w14:paraId="6F7F279B" w14:textId="27DE6DBB" w:rsidR="007164FF" w:rsidRPr="00A41D98" w:rsidRDefault="007164FF" w:rsidP="007164FF">
            <w:r w:rsidRPr="00F549FE">
              <w:t>600</w:t>
            </w:r>
          </w:p>
        </w:tc>
      </w:tr>
      <w:tr w:rsidR="007164FF" w14:paraId="0325322B" w14:textId="77777777" w:rsidTr="00882603">
        <w:tc>
          <w:tcPr>
            <w:tcW w:w="2265" w:type="dxa"/>
          </w:tcPr>
          <w:p w14:paraId="63667F85" w14:textId="23171359" w:rsidR="007164FF" w:rsidRPr="00A41D98" w:rsidRDefault="007164FF" w:rsidP="007164FF">
            <w:r w:rsidRPr="0099609C">
              <w:t>71 bis &lt; 81</w:t>
            </w:r>
          </w:p>
        </w:tc>
        <w:tc>
          <w:tcPr>
            <w:tcW w:w="2265" w:type="dxa"/>
          </w:tcPr>
          <w:p w14:paraId="6E36EAB4" w14:textId="474DFD8C" w:rsidR="007164FF" w:rsidRPr="00A41D98" w:rsidRDefault="007164FF" w:rsidP="007164FF">
            <w:r w:rsidRPr="0099609C">
              <w:t>8 bis &lt; 18</w:t>
            </w:r>
          </w:p>
        </w:tc>
        <w:tc>
          <w:tcPr>
            <w:tcW w:w="2266" w:type="dxa"/>
          </w:tcPr>
          <w:p w14:paraId="4BD6EFFB" w14:textId="1604B0E3" w:rsidR="007164FF" w:rsidRPr="00A41D98" w:rsidRDefault="007164FF" w:rsidP="007164FF">
            <w:r w:rsidRPr="0099609C">
              <w:t>300</w:t>
            </w:r>
          </w:p>
        </w:tc>
        <w:tc>
          <w:tcPr>
            <w:tcW w:w="2266" w:type="dxa"/>
          </w:tcPr>
          <w:p w14:paraId="0FC13BF0" w14:textId="4D02C3D0" w:rsidR="007164FF" w:rsidRPr="00A41D98" w:rsidRDefault="007164FF" w:rsidP="007164FF">
            <w:r w:rsidRPr="0099609C">
              <w:t>600</w:t>
            </w:r>
          </w:p>
        </w:tc>
      </w:tr>
      <w:tr w:rsidR="007164FF" w14:paraId="59EB6BA3" w14:textId="77777777" w:rsidTr="00882603">
        <w:tc>
          <w:tcPr>
            <w:tcW w:w="2265" w:type="dxa"/>
          </w:tcPr>
          <w:p w14:paraId="5A2A023A" w14:textId="12985346" w:rsidR="007164FF" w:rsidRPr="00A41D98" w:rsidRDefault="007164FF" w:rsidP="007164FF">
            <w:r w:rsidRPr="008A7136">
              <w:t>&gt; 81</w:t>
            </w:r>
          </w:p>
        </w:tc>
        <w:tc>
          <w:tcPr>
            <w:tcW w:w="2265" w:type="dxa"/>
          </w:tcPr>
          <w:p w14:paraId="18A44A9B" w14:textId="78BF7101" w:rsidR="007164FF" w:rsidRPr="00A41D98" w:rsidRDefault="007164FF" w:rsidP="007164FF">
            <w:r w:rsidRPr="008A7136">
              <w:t>10 bis &lt; 18</w:t>
            </w:r>
          </w:p>
        </w:tc>
        <w:tc>
          <w:tcPr>
            <w:tcW w:w="2266" w:type="dxa"/>
          </w:tcPr>
          <w:p w14:paraId="71CEE67C" w14:textId="635F25A1" w:rsidR="007164FF" w:rsidRPr="00A41D98" w:rsidRDefault="007164FF" w:rsidP="007164FF">
            <w:r w:rsidRPr="008A7136">
              <w:t>300</w:t>
            </w:r>
          </w:p>
        </w:tc>
        <w:tc>
          <w:tcPr>
            <w:tcW w:w="2266" w:type="dxa"/>
          </w:tcPr>
          <w:p w14:paraId="296D1C82" w14:textId="54336B7A" w:rsidR="007164FF" w:rsidRPr="00A41D98" w:rsidRDefault="007164FF" w:rsidP="007164FF">
            <w:r w:rsidRPr="008A7136">
              <w:t>600</w:t>
            </w:r>
          </w:p>
        </w:tc>
      </w:tr>
    </w:tbl>
    <w:p w14:paraId="609AE4A7" w14:textId="77777777" w:rsidR="00882603" w:rsidRDefault="00882603" w:rsidP="00376F80"/>
    <w:p w14:paraId="65AF647B" w14:textId="77777777" w:rsidR="007164FF" w:rsidRDefault="007164FF" w:rsidP="007164FF">
      <w:r>
        <w:t>Einzeldosen, die eine Kombination aus mehr als einer Kapsel erfordern:</w:t>
      </w:r>
    </w:p>
    <w:p w14:paraId="14AEBBEC" w14:textId="77777777" w:rsidR="007164FF" w:rsidRDefault="007164FF" w:rsidP="007164FF">
      <w:r>
        <w:t>300 mg: zwei 150-mg-Kapseln oder vier 75-mg-Kapseln</w:t>
      </w:r>
    </w:p>
    <w:p w14:paraId="0E6BFC2B" w14:textId="77777777" w:rsidR="007164FF" w:rsidRDefault="007164FF" w:rsidP="007164FF">
      <w:r>
        <w:t>260 mg: eine 110-mg- und eine 150-mg-Kapsel oder eine 110-mg- und zwei 75-mg-Kapseln</w:t>
      </w:r>
    </w:p>
    <w:p w14:paraId="5FB5B045" w14:textId="77777777" w:rsidR="007164FF" w:rsidRDefault="007164FF" w:rsidP="007164FF">
      <w:r>
        <w:t>220 mg: zwei 110-mg-Kapseln</w:t>
      </w:r>
    </w:p>
    <w:p w14:paraId="1CA1B20D" w14:textId="77777777" w:rsidR="007164FF" w:rsidRDefault="007164FF" w:rsidP="007164FF">
      <w:r>
        <w:t xml:space="preserve">185 mg: eine 75-mg- und eine 110-mg-Kapsel </w:t>
      </w:r>
    </w:p>
    <w:p w14:paraId="6A9A484A" w14:textId="4A479E23" w:rsidR="00882603" w:rsidRDefault="007164FF" w:rsidP="007164FF">
      <w:r>
        <w:lastRenderedPageBreak/>
        <w:t>150 mg: eine 150-mg-Kapsel oder zwei 75-mg-Kapseln</w:t>
      </w:r>
    </w:p>
    <w:p w14:paraId="73B7EA3A" w14:textId="77777777" w:rsidR="00465B27" w:rsidRDefault="00465B27" w:rsidP="00376F80">
      <w:pPr>
        <w:rPr>
          <w:b/>
          <w:bCs/>
        </w:rPr>
      </w:pPr>
    </w:p>
    <w:p w14:paraId="5440B1CF" w14:textId="6F936A62" w:rsidR="00882603" w:rsidRDefault="00410892" w:rsidP="00376F80">
      <w:pPr>
        <w:rPr>
          <w:b/>
          <w:bCs/>
        </w:rPr>
      </w:pPr>
      <w:r w:rsidRPr="0090064F">
        <w:rPr>
          <w:b/>
          <w:bCs/>
        </w:rPr>
        <w:t xml:space="preserve">Dabigatranetexilat </w:t>
      </w:r>
      <w:r w:rsidRPr="00D43C30">
        <w:rPr>
          <w:b/>
          <w:bCs/>
        </w:rPr>
        <w:t>20 mg, 30 mg, 40 mg, 50 mg, 110 mg, 150 mg</w:t>
      </w:r>
      <w:r>
        <w:rPr>
          <w:b/>
          <w:bCs/>
        </w:rPr>
        <w:t xml:space="preserve"> </w:t>
      </w:r>
      <w:r w:rsidRPr="00D43C30">
        <w:rPr>
          <w:b/>
          <w:bCs/>
        </w:rPr>
        <w:t>überzogenes Granulat</w:t>
      </w:r>
    </w:p>
    <w:p w14:paraId="035D4448" w14:textId="254EC646" w:rsidR="00465B27" w:rsidRPr="003260A6" w:rsidRDefault="0098453A" w:rsidP="00465B27">
      <w:r w:rsidRPr="0098453A">
        <w:t>Dabigatranetexilat</w:t>
      </w:r>
      <w:r w:rsidR="00465B27" w:rsidRPr="003260A6">
        <w:t xml:space="preserve"> überzogenes Granulat kann bei Kindern unter 12 Jahren angewendet werden, sobald das Kind in der Lage ist, weiche Nahrung zu schlucken. Die empfohlene Dosis richtet sich nach dem Körpergewicht und Alter des Patienten und ist den Tabellen 2 und 3 zu entnehmen. Im weiteren Verlauf der Behandlung sollte die Dosis je nach Körpergewicht und Alter angepasst werden. Zu Kombinationen aus Körpergewicht und Alter, die nicht in den Dosierungstabellen angegeben sind, können keine Dosierungsempfehlungen gegeben werden.</w:t>
      </w:r>
    </w:p>
    <w:p w14:paraId="2C112D10" w14:textId="77777777" w:rsidR="00465B27" w:rsidRPr="003260A6" w:rsidRDefault="00465B27" w:rsidP="00465B27"/>
    <w:p w14:paraId="29FA8D6A" w14:textId="6FCBA2CE" w:rsidR="00465B27" w:rsidRPr="003260A6" w:rsidRDefault="00465B27" w:rsidP="00465B27">
      <w:r w:rsidRPr="003260A6">
        <w:t>Tabelle 2: Dabigatranetexilat Granulat:</w:t>
      </w:r>
    </w:p>
    <w:p w14:paraId="2162B864" w14:textId="68562C61" w:rsidR="00410892" w:rsidRPr="003260A6" w:rsidRDefault="00465B27" w:rsidP="00465B27">
      <w:r w:rsidRPr="003260A6">
        <w:t xml:space="preserve">Einzeldosen und Tagesgesamtdosen in Milligramm (mg) für Patienten im Alter von unter </w:t>
      </w:r>
      <w:r w:rsidR="009E70A0" w:rsidRPr="003260A6">
        <w:t>12</w:t>
      </w:r>
      <w:r w:rsidR="009E70A0">
        <w:t> </w:t>
      </w:r>
      <w:r w:rsidRPr="003260A6">
        <w:t xml:space="preserve">Monaten. Die Dosen richten sich nach Körpergewicht in Kilogramm (kg) und Alter des Patienten in </w:t>
      </w:r>
      <w:r w:rsidRPr="003260A6">
        <w:rPr>
          <w:u w:val="single"/>
        </w:rPr>
        <w:t>Monaten</w:t>
      </w:r>
      <w:r w:rsidRPr="003260A6">
        <w:t>.</w:t>
      </w:r>
    </w:p>
    <w:p w14:paraId="64F67FE5" w14:textId="33652969" w:rsidR="00410892" w:rsidRDefault="00410892" w:rsidP="00376F80">
      <w:pPr>
        <w:rPr>
          <w:b/>
          <w:bCs/>
        </w:rPr>
      </w:pPr>
    </w:p>
    <w:tbl>
      <w:tblPr>
        <w:tblStyle w:val="Tabellenraster"/>
        <w:tblW w:w="0" w:type="auto"/>
        <w:tblLook w:val="04A0" w:firstRow="1" w:lastRow="0" w:firstColumn="1" w:lastColumn="0" w:noHBand="0" w:noVBand="1"/>
      </w:tblPr>
      <w:tblGrid>
        <w:gridCol w:w="2265"/>
        <w:gridCol w:w="2265"/>
        <w:gridCol w:w="2266"/>
        <w:gridCol w:w="2266"/>
      </w:tblGrid>
      <w:tr w:rsidR="00465B27" w14:paraId="5AB32D5C" w14:textId="77777777" w:rsidTr="00B60EC2">
        <w:tc>
          <w:tcPr>
            <w:tcW w:w="4530" w:type="dxa"/>
            <w:gridSpan w:val="2"/>
          </w:tcPr>
          <w:p w14:paraId="7965AEC4" w14:textId="12C174C6" w:rsidR="00465B27" w:rsidRDefault="00465B27" w:rsidP="00376F80">
            <w:pPr>
              <w:rPr>
                <w:b/>
                <w:bCs/>
              </w:rPr>
            </w:pPr>
            <w:r w:rsidRPr="00465B27">
              <w:rPr>
                <w:b/>
                <w:bCs/>
              </w:rPr>
              <w:t>Körpergewicht/Alter-Kombinationen</w:t>
            </w:r>
          </w:p>
        </w:tc>
        <w:tc>
          <w:tcPr>
            <w:tcW w:w="2266" w:type="dxa"/>
            <w:vMerge w:val="restart"/>
          </w:tcPr>
          <w:p w14:paraId="4CEE80E0" w14:textId="0C5D9510" w:rsidR="00465B27" w:rsidRDefault="00465B27" w:rsidP="00376F80">
            <w:pPr>
              <w:rPr>
                <w:b/>
                <w:bCs/>
              </w:rPr>
            </w:pPr>
            <w:r>
              <w:rPr>
                <w:b/>
                <w:spacing w:val="-2"/>
              </w:rPr>
              <w:t xml:space="preserve">Einzeldosis </w:t>
            </w:r>
            <w:r>
              <w:rPr>
                <w:b/>
              </w:rPr>
              <w:t>in mg</w:t>
            </w:r>
          </w:p>
        </w:tc>
        <w:tc>
          <w:tcPr>
            <w:tcW w:w="2266" w:type="dxa"/>
            <w:vMerge w:val="restart"/>
          </w:tcPr>
          <w:p w14:paraId="74D2EBF6" w14:textId="28F84D16" w:rsidR="00465B27" w:rsidRDefault="00465B27" w:rsidP="00376F80">
            <w:pPr>
              <w:rPr>
                <w:b/>
                <w:bCs/>
              </w:rPr>
            </w:pPr>
            <w:r>
              <w:rPr>
                <w:b/>
                <w:spacing w:val="-2"/>
              </w:rPr>
              <w:t xml:space="preserve">Tagesgesamtdosis </w:t>
            </w:r>
            <w:r>
              <w:rPr>
                <w:b/>
              </w:rPr>
              <w:t>in mg</w:t>
            </w:r>
          </w:p>
        </w:tc>
      </w:tr>
      <w:tr w:rsidR="00465B27" w14:paraId="49EE1208" w14:textId="77777777" w:rsidTr="00465B27">
        <w:tc>
          <w:tcPr>
            <w:tcW w:w="2265" w:type="dxa"/>
          </w:tcPr>
          <w:p w14:paraId="26DFF8F7" w14:textId="77A0B0D0" w:rsidR="00465B27" w:rsidRDefault="00465B27" w:rsidP="00376F80">
            <w:pPr>
              <w:rPr>
                <w:b/>
                <w:bCs/>
              </w:rPr>
            </w:pPr>
            <w:r>
              <w:rPr>
                <w:b/>
                <w:spacing w:val="-2"/>
              </w:rPr>
              <w:t xml:space="preserve">Körpergewicht </w:t>
            </w:r>
            <w:r>
              <w:rPr>
                <w:b/>
              </w:rPr>
              <w:t>in kg</w:t>
            </w:r>
          </w:p>
        </w:tc>
        <w:tc>
          <w:tcPr>
            <w:tcW w:w="2265" w:type="dxa"/>
          </w:tcPr>
          <w:p w14:paraId="795EEDB3" w14:textId="3CAB8538" w:rsidR="00465B27" w:rsidRDefault="00465B27" w:rsidP="00376F80">
            <w:pPr>
              <w:rPr>
                <w:b/>
                <w:bCs/>
              </w:rPr>
            </w:pPr>
            <w:r>
              <w:rPr>
                <w:b/>
              </w:rPr>
              <w:t xml:space="preserve">Alter in </w:t>
            </w:r>
            <w:r>
              <w:rPr>
                <w:b/>
                <w:color w:val="00ACE9"/>
                <w:spacing w:val="-4"/>
              </w:rPr>
              <w:t>MONATEN</w:t>
            </w:r>
          </w:p>
        </w:tc>
        <w:tc>
          <w:tcPr>
            <w:tcW w:w="2266" w:type="dxa"/>
            <w:vMerge/>
          </w:tcPr>
          <w:p w14:paraId="49D1E14A" w14:textId="77777777" w:rsidR="00465B27" w:rsidRDefault="00465B27" w:rsidP="00376F80">
            <w:pPr>
              <w:rPr>
                <w:b/>
                <w:bCs/>
              </w:rPr>
            </w:pPr>
          </w:p>
        </w:tc>
        <w:tc>
          <w:tcPr>
            <w:tcW w:w="2266" w:type="dxa"/>
            <w:vMerge/>
          </w:tcPr>
          <w:p w14:paraId="13BCB811" w14:textId="77777777" w:rsidR="00465B27" w:rsidRDefault="00465B27" w:rsidP="00376F80">
            <w:pPr>
              <w:rPr>
                <w:b/>
                <w:bCs/>
              </w:rPr>
            </w:pPr>
          </w:p>
        </w:tc>
      </w:tr>
      <w:tr w:rsidR="00465B27" w14:paraId="6CB2E4A0" w14:textId="77777777" w:rsidTr="00465B27">
        <w:tc>
          <w:tcPr>
            <w:tcW w:w="2265" w:type="dxa"/>
          </w:tcPr>
          <w:p w14:paraId="4D369D0A" w14:textId="142228FC" w:rsidR="00465B27" w:rsidRDefault="00465B27" w:rsidP="00376F80">
            <w:pPr>
              <w:rPr>
                <w:b/>
                <w:bCs/>
              </w:rPr>
            </w:pPr>
            <w:r>
              <w:t>2,5</w:t>
            </w:r>
            <w:r>
              <w:rPr>
                <w:spacing w:val="-1"/>
              </w:rPr>
              <w:t xml:space="preserve"> </w:t>
            </w:r>
            <w:r>
              <w:t>bis</w:t>
            </w:r>
            <w:r>
              <w:rPr>
                <w:spacing w:val="-1"/>
              </w:rPr>
              <w:t xml:space="preserve"> </w:t>
            </w:r>
            <w:r>
              <w:t>&lt;</w:t>
            </w:r>
            <w:r>
              <w:rPr>
                <w:spacing w:val="-1"/>
              </w:rPr>
              <w:t xml:space="preserve"> </w:t>
            </w:r>
            <w:r>
              <w:rPr>
                <w:spacing w:val="-10"/>
              </w:rPr>
              <w:t>3</w:t>
            </w:r>
          </w:p>
        </w:tc>
        <w:tc>
          <w:tcPr>
            <w:tcW w:w="2265" w:type="dxa"/>
          </w:tcPr>
          <w:p w14:paraId="43336432" w14:textId="16A6B517" w:rsidR="00465B27" w:rsidRDefault="00465B27" w:rsidP="00376F80">
            <w:pPr>
              <w:rPr>
                <w:b/>
                <w:bCs/>
              </w:rPr>
            </w:pPr>
            <w:r>
              <w:t>4</w:t>
            </w:r>
            <w:r>
              <w:rPr>
                <w:spacing w:val="1"/>
              </w:rPr>
              <w:t xml:space="preserve"> </w:t>
            </w:r>
            <w:r>
              <w:t>bis</w:t>
            </w:r>
            <w:r>
              <w:rPr>
                <w:spacing w:val="1"/>
              </w:rPr>
              <w:t xml:space="preserve"> </w:t>
            </w:r>
            <w:r>
              <w:t xml:space="preserve">&lt; </w:t>
            </w:r>
            <w:r>
              <w:rPr>
                <w:spacing w:val="-10"/>
              </w:rPr>
              <w:t>5</w:t>
            </w:r>
          </w:p>
        </w:tc>
        <w:tc>
          <w:tcPr>
            <w:tcW w:w="2266" w:type="dxa"/>
          </w:tcPr>
          <w:p w14:paraId="2597AAA8" w14:textId="07BA752C" w:rsidR="00465B27" w:rsidRDefault="00465B27" w:rsidP="00376F80">
            <w:pPr>
              <w:rPr>
                <w:b/>
                <w:bCs/>
              </w:rPr>
            </w:pPr>
            <w:r>
              <w:rPr>
                <w:spacing w:val="-5"/>
              </w:rPr>
              <w:t>20</w:t>
            </w:r>
          </w:p>
        </w:tc>
        <w:tc>
          <w:tcPr>
            <w:tcW w:w="2266" w:type="dxa"/>
          </w:tcPr>
          <w:p w14:paraId="467AB65D" w14:textId="2B5A5734" w:rsidR="00465B27" w:rsidRDefault="00465B27" w:rsidP="00376F80">
            <w:pPr>
              <w:rPr>
                <w:b/>
                <w:bCs/>
              </w:rPr>
            </w:pPr>
            <w:r>
              <w:rPr>
                <w:spacing w:val="-5"/>
              </w:rPr>
              <w:t>40</w:t>
            </w:r>
          </w:p>
        </w:tc>
      </w:tr>
      <w:tr w:rsidR="00465B27" w14:paraId="2679D005" w14:textId="77777777" w:rsidTr="00465B27">
        <w:tc>
          <w:tcPr>
            <w:tcW w:w="2265" w:type="dxa"/>
          </w:tcPr>
          <w:p w14:paraId="25F9BBF9" w14:textId="014889E7" w:rsidR="00465B27" w:rsidRDefault="00465B27" w:rsidP="00376F80">
            <w:pPr>
              <w:rPr>
                <w:b/>
                <w:bCs/>
              </w:rPr>
            </w:pPr>
            <w:r>
              <w:t>3</w:t>
            </w:r>
            <w:r>
              <w:rPr>
                <w:spacing w:val="1"/>
              </w:rPr>
              <w:t xml:space="preserve"> </w:t>
            </w:r>
            <w:r>
              <w:t>bis</w:t>
            </w:r>
            <w:r>
              <w:rPr>
                <w:spacing w:val="1"/>
              </w:rPr>
              <w:t xml:space="preserve"> </w:t>
            </w:r>
            <w:r>
              <w:t xml:space="preserve">&lt; </w:t>
            </w:r>
            <w:r>
              <w:rPr>
                <w:spacing w:val="-10"/>
              </w:rPr>
              <w:t>4</w:t>
            </w:r>
          </w:p>
        </w:tc>
        <w:tc>
          <w:tcPr>
            <w:tcW w:w="2265" w:type="dxa"/>
          </w:tcPr>
          <w:p w14:paraId="78ACFE05" w14:textId="00E0620A" w:rsidR="00465B27" w:rsidRDefault="00465B27" w:rsidP="00376F80">
            <w:pPr>
              <w:rPr>
                <w:b/>
                <w:bCs/>
              </w:rPr>
            </w:pPr>
            <w:r>
              <w:t>3</w:t>
            </w:r>
            <w:r>
              <w:rPr>
                <w:spacing w:val="1"/>
              </w:rPr>
              <w:t xml:space="preserve"> </w:t>
            </w:r>
            <w:r>
              <w:t>bis</w:t>
            </w:r>
            <w:r>
              <w:rPr>
                <w:spacing w:val="1"/>
              </w:rPr>
              <w:t xml:space="preserve"> </w:t>
            </w:r>
            <w:r>
              <w:t xml:space="preserve">&lt; </w:t>
            </w:r>
            <w:r>
              <w:rPr>
                <w:spacing w:val="-10"/>
              </w:rPr>
              <w:t>6</w:t>
            </w:r>
          </w:p>
        </w:tc>
        <w:tc>
          <w:tcPr>
            <w:tcW w:w="2266" w:type="dxa"/>
          </w:tcPr>
          <w:p w14:paraId="1F99F95C" w14:textId="1BA807ED" w:rsidR="00465B27" w:rsidRDefault="00465B27" w:rsidP="00376F80">
            <w:pPr>
              <w:rPr>
                <w:b/>
                <w:bCs/>
              </w:rPr>
            </w:pPr>
            <w:r>
              <w:rPr>
                <w:spacing w:val="-5"/>
              </w:rPr>
              <w:t>20</w:t>
            </w:r>
          </w:p>
        </w:tc>
        <w:tc>
          <w:tcPr>
            <w:tcW w:w="2266" w:type="dxa"/>
          </w:tcPr>
          <w:p w14:paraId="70FFF57E" w14:textId="6E282FAF" w:rsidR="00465B27" w:rsidRDefault="00465B27" w:rsidP="00376F80">
            <w:pPr>
              <w:rPr>
                <w:b/>
                <w:bCs/>
              </w:rPr>
            </w:pPr>
            <w:r>
              <w:rPr>
                <w:spacing w:val="-5"/>
              </w:rPr>
              <w:t>40</w:t>
            </w:r>
          </w:p>
        </w:tc>
      </w:tr>
      <w:tr w:rsidR="00465B27" w14:paraId="3F003DDC" w14:textId="77777777" w:rsidTr="00465B27">
        <w:tc>
          <w:tcPr>
            <w:tcW w:w="2265" w:type="dxa"/>
            <w:vMerge w:val="restart"/>
          </w:tcPr>
          <w:p w14:paraId="2A2E235D" w14:textId="7C01C1A8" w:rsidR="00465B27" w:rsidRDefault="00465B27" w:rsidP="00376F80">
            <w:pPr>
              <w:rPr>
                <w:b/>
                <w:bCs/>
              </w:rPr>
            </w:pPr>
            <w:r>
              <w:t>4</w:t>
            </w:r>
            <w:r>
              <w:rPr>
                <w:spacing w:val="1"/>
              </w:rPr>
              <w:t xml:space="preserve"> </w:t>
            </w:r>
            <w:r>
              <w:t>bis</w:t>
            </w:r>
            <w:r>
              <w:rPr>
                <w:spacing w:val="1"/>
              </w:rPr>
              <w:t xml:space="preserve"> </w:t>
            </w:r>
            <w:r>
              <w:t xml:space="preserve">&lt; </w:t>
            </w:r>
            <w:r>
              <w:rPr>
                <w:spacing w:val="-10"/>
              </w:rPr>
              <w:t>5</w:t>
            </w:r>
          </w:p>
        </w:tc>
        <w:tc>
          <w:tcPr>
            <w:tcW w:w="2265" w:type="dxa"/>
          </w:tcPr>
          <w:p w14:paraId="470F6E91" w14:textId="72F834EF" w:rsidR="00465B27" w:rsidRDefault="00465B27" w:rsidP="00376F80">
            <w:pPr>
              <w:rPr>
                <w:b/>
                <w:bCs/>
              </w:rPr>
            </w:pPr>
            <w:r>
              <w:t>1</w:t>
            </w:r>
            <w:r>
              <w:rPr>
                <w:spacing w:val="1"/>
              </w:rPr>
              <w:t xml:space="preserve"> </w:t>
            </w:r>
            <w:r>
              <w:t>bis</w:t>
            </w:r>
            <w:r>
              <w:rPr>
                <w:spacing w:val="1"/>
              </w:rPr>
              <w:t xml:space="preserve"> </w:t>
            </w:r>
            <w:r>
              <w:t xml:space="preserve">&lt; </w:t>
            </w:r>
            <w:r>
              <w:rPr>
                <w:spacing w:val="-10"/>
              </w:rPr>
              <w:t>3</w:t>
            </w:r>
          </w:p>
        </w:tc>
        <w:tc>
          <w:tcPr>
            <w:tcW w:w="2266" w:type="dxa"/>
          </w:tcPr>
          <w:p w14:paraId="36118AF7" w14:textId="54AE211E" w:rsidR="00465B27" w:rsidRDefault="00465B27" w:rsidP="00376F80">
            <w:pPr>
              <w:rPr>
                <w:b/>
                <w:bCs/>
              </w:rPr>
            </w:pPr>
            <w:r>
              <w:rPr>
                <w:spacing w:val="-5"/>
              </w:rPr>
              <w:t>20</w:t>
            </w:r>
          </w:p>
        </w:tc>
        <w:tc>
          <w:tcPr>
            <w:tcW w:w="2266" w:type="dxa"/>
          </w:tcPr>
          <w:p w14:paraId="5A0CFAD9" w14:textId="3282318C" w:rsidR="00465B27" w:rsidRDefault="00465B27" w:rsidP="00376F80">
            <w:pPr>
              <w:rPr>
                <w:b/>
                <w:bCs/>
              </w:rPr>
            </w:pPr>
            <w:r>
              <w:rPr>
                <w:spacing w:val="-5"/>
              </w:rPr>
              <w:t>40</w:t>
            </w:r>
          </w:p>
        </w:tc>
      </w:tr>
      <w:tr w:rsidR="00465B27" w14:paraId="5B7D53C5" w14:textId="77777777" w:rsidTr="00465B27">
        <w:tc>
          <w:tcPr>
            <w:tcW w:w="2265" w:type="dxa"/>
            <w:vMerge/>
          </w:tcPr>
          <w:p w14:paraId="0751F166" w14:textId="57B02D08" w:rsidR="00465B27" w:rsidRDefault="00465B27" w:rsidP="00376F80">
            <w:pPr>
              <w:rPr>
                <w:b/>
                <w:bCs/>
              </w:rPr>
            </w:pPr>
          </w:p>
        </w:tc>
        <w:tc>
          <w:tcPr>
            <w:tcW w:w="2265" w:type="dxa"/>
          </w:tcPr>
          <w:p w14:paraId="6DA68CAD" w14:textId="15E7658D" w:rsidR="00465B27" w:rsidRDefault="00465B27" w:rsidP="00376F80">
            <w:pPr>
              <w:rPr>
                <w:b/>
                <w:bCs/>
              </w:rPr>
            </w:pPr>
            <w:r>
              <w:t>3</w:t>
            </w:r>
            <w:r>
              <w:rPr>
                <w:spacing w:val="1"/>
              </w:rPr>
              <w:t xml:space="preserve"> </w:t>
            </w:r>
            <w:r>
              <w:t>bis</w:t>
            </w:r>
            <w:r>
              <w:rPr>
                <w:spacing w:val="1"/>
              </w:rPr>
              <w:t xml:space="preserve"> </w:t>
            </w:r>
            <w:r>
              <w:t xml:space="preserve">&lt; </w:t>
            </w:r>
            <w:r>
              <w:rPr>
                <w:spacing w:val="-10"/>
              </w:rPr>
              <w:t>8</w:t>
            </w:r>
          </w:p>
        </w:tc>
        <w:tc>
          <w:tcPr>
            <w:tcW w:w="2266" w:type="dxa"/>
          </w:tcPr>
          <w:p w14:paraId="296FB2A6" w14:textId="656F8304" w:rsidR="00465B27" w:rsidRDefault="00465B27" w:rsidP="00376F80">
            <w:pPr>
              <w:rPr>
                <w:b/>
                <w:bCs/>
              </w:rPr>
            </w:pPr>
            <w:r>
              <w:rPr>
                <w:spacing w:val="-5"/>
              </w:rPr>
              <w:t>30</w:t>
            </w:r>
          </w:p>
        </w:tc>
        <w:tc>
          <w:tcPr>
            <w:tcW w:w="2266" w:type="dxa"/>
          </w:tcPr>
          <w:p w14:paraId="3D255010" w14:textId="72456E00" w:rsidR="00465B27" w:rsidRDefault="00465B27" w:rsidP="00376F80">
            <w:pPr>
              <w:rPr>
                <w:b/>
                <w:bCs/>
              </w:rPr>
            </w:pPr>
            <w:r>
              <w:rPr>
                <w:spacing w:val="-5"/>
              </w:rPr>
              <w:t>60</w:t>
            </w:r>
          </w:p>
        </w:tc>
      </w:tr>
      <w:tr w:rsidR="00465B27" w14:paraId="54A36E67" w14:textId="77777777" w:rsidTr="00465B27">
        <w:tc>
          <w:tcPr>
            <w:tcW w:w="2265" w:type="dxa"/>
            <w:vMerge/>
          </w:tcPr>
          <w:p w14:paraId="305C8BB8" w14:textId="77777777" w:rsidR="00465B27" w:rsidRDefault="00465B27" w:rsidP="00376F80">
            <w:pPr>
              <w:rPr>
                <w:b/>
                <w:bCs/>
              </w:rPr>
            </w:pPr>
          </w:p>
        </w:tc>
        <w:tc>
          <w:tcPr>
            <w:tcW w:w="2265" w:type="dxa"/>
          </w:tcPr>
          <w:p w14:paraId="6968E5E9" w14:textId="5E804F3F" w:rsidR="00465B27" w:rsidRDefault="00465B27" w:rsidP="00376F80">
            <w:pPr>
              <w:rPr>
                <w:b/>
                <w:bCs/>
              </w:rPr>
            </w:pPr>
            <w:r>
              <w:t>8</w:t>
            </w:r>
            <w:r>
              <w:rPr>
                <w:spacing w:val="1"/>
              </w:rPr>
              <w:t xml:space="preserve"> </w:t>
            </w:r>
            <w:r>
              <w:t>bis</w:t>
            </w:r>
            <w:r>
              <w:rPr>
                <w:spacing w:val="1"/>
              </w:rPr>
              <w:t xml:space="preserve"> </w:t>
            </w:r>
            <w:r>
              <w:t xml:space="preserve">&lt; </w:t>
            </w:r>
            <w:r>
              <w:rPr>
                <w:spacing w:val="-5"/>
              </w:rPr>
              <w:t>10</w:t>
            </w:r>
          </w:p>
        </w:tc>
        <w:tc>
          <w:tcPr>
            <w:tcW w:w="2266" w:type="dxa"/>
          </w:tcPr>
          <w:p w14:paraId="78491433" w14:textId="0750D9EB" w:rsidR="00465B27" w:rsidRDefault="00465B27" w:rsidP="00376F80">
            <w:pPr>
              <w:rPr>
                <w:b/>
                <w:bCs/>
              </w:rPr>
            </w:pPr>
            <w:r>
              <w:rPr>
                <w:spacing w:val="-5"/>
              </w:rPr>
              <w:t>40</w:t>
            </w:r>
          </w:p>
        </w:tc>
        <w:tc>
          <w:tcPr>
            <w:tcW w:w="2266" w:type="dxa"/>
          </w:tcPr>
          <w:p w14:paraId="2698F2B2" w14:textId="34133AB9" w:rsidR="00465B27" w:rsidRDefault="00465B27" w:rsidP="00376F80">
            <w:pPr>
              <w:rPr>
                <w:b/>
                <w:bCs/>
              </w:rPr>
            </w:pPr>
            <w:r>
              <w:rPr>
                <w:spacing w:val="-5"/>
              </w:rPr>
              <w:t>80</w:t>
            </w:r>
          </w:p>
        </w:tc>
      </w:tr>
      <w:tr w:rsidR="00465B27" w14:paraId="7A3F1009" w14:textId="77777777" w:rsidTr="00465B27">
        <w:tc>
          <w:tcPr>
            <w:tcW w:w="2265" w:type="dxa"/>
            <w:vMerge w:val="restart"/>
          </w:tcPr>
          <w:p w14:paraId="5B1B7810" w14:textId="5A0DE7AE" w:rsidR="00465B27" w:rsidRDefault="00465B27" w:rsidP="00376F80">
            <w:pPr>
              <w:rPr>
                <w:b/>
                <w:bCs/>
              </w:rPr>
            </w:pPr>
            <w:r>
              <w:t>5</w:t>
            </w:r>
            <w:r>
              <w:rPr>
                <w:spacing w:val="1"/>
              </w:rPr>
              <w:t xml:space="preserve"> </w:t>
            </w:r>
            <w:r>
              <w:t>bis</w:t>
            </w:r>
            <w:r>
              <w:rPr>
                <w:spacing w:val="1"/>
              </w:rPr>
              <w:t xml:space="preserve"> </w:t>
            </w:r>
            <w:r>
              <w:t xml:space="preserve">&lt; </w:t>
            </w:r>
            <w:r>
              <w:rPr>
                <w:spacing w:val="-10"/>
              </w:rPr>
              <w:t>7</w:t>
            </w:r>
          </w:p>
        </w:tc>
        <w:tc>
          <w:tcPr>
            <w:tcW w:w="2265" w:type="dxa"/>
          </w:tcPr>
          <w:p w14:paraId="47D9F77F" w14:textId="6298AF66" w:rsidR="00465B27" w:rsidRDefault="00465B27" w:rsidP="00376F80">
            <w:pPr>
              <w:rPr>
                <w:b/>
                <w:bCs/>
              </w:rPr>
            </w:pPr>
            <w:r>
              <w:t>0</w:t>
            </w:r>
            <w:r>
              <w:rPr>
                <w:spacing w:val="1"/>
              </w:rPr>
              <w:t xml:space="preserve"> </w:t>
            </w:r>
            <w:r>
              <w:t>bis</w:t>
            </w:r>
            <w:r>
              <w:rPr>
                <w:spacing w:val="1"/>
              </w:rPr>
              <w:t xml:space="preserve"> </w:t>
            </w:r>
            <w:r>
              <w:t xml:space="preserve">&lt; </w:t>
            </w:r>
            <w:r>
              <w:rPr>
                <w:spacing w:val="-10"/>
              </w:rPr>
              <w:t>1</w:t>
            </w:r>
          </w:p>
        </w:tc>
        <w:tc>
          <w:tcPr>
            <w:tcW w:w="2266" w:type="dxa"/>
          </w:tcPr>
          <w:p w14:paraId="0FF89C61" w14:textId="1DC09B3C" w:rsidR="00465B27" w:rsidRDefault="00465B27" w:rsidP="00376F80">
            <w:pPr>
              <w:rPr>
                <w:b/>
                <w:bCs/>
              </w:rPr>
            </w:pPr>
            <w:r>
              <w:rPr>
                <w:spacing w:val="-5"/>
              </w:rPr>
              <w:t>20</w:t>
            </w:r>
          </w:p>
        </w:tc>
        <w:tc>
          <w:tcPr>
            <w:tcW w:w="2266" w:type="dxa"/>
          </w:tcPr>
          <w:p w14:paraId="4F93F587" w14:textId="24CC2C56" w:rsidR="00465B27" w:rsidRDefault="00465B27" w:rsidP="00376F80">
            <w:pPr>
              <w:rPr>
                <w:b/>
                <w:bCs/>
              </w:rPr>
            </w:pPr>
            <w:r>
              <w:rPr>
                <w:spacing w:val="-5"/>
              </w:rPr>
              <w:t>40</w:t>
            </w:r>
          </w:p>
        </w:tc>
      </w:tr>
      <w:tr w:rsidR="00465B27" w14:paraId="2ACB9E29" w14:textId="77777777" w:rsidTr="00465B27">
        <w:tc>
          <w:tcPr>
            <w:tcW w:w="2265" w:type="dxa"/>
            <w:vMerge/>
          </w:tcPr>
          <w:p w14:paraId="7271D13E" w14:textId="77777777" w:rsidR="00465B27" w:rsidRDefault="00465B27" w:rsidP="00376F80">
            <w:pPr>
              <w:rPr>
                <w:b/>
                <w:bCs/>
              </w:rPr>
            </w:pPr>
          </w:p>
        </w:tc>
        <w:tc>
          <w:tcPr>
            <w:tcW w:w="2265" w:type="dxa"/>
          </w:tcPr>
          <w:p w14:paraId="13753050" w14:textId="2FD6B1CD" w:rsidR="00465B27" w:rsidRDefault="00465B27" w:rsidP="00376F80">
            <w:pPr>
              <w:rPr>
                <w:b/>
                <w:bCs/>
              </w:rPr>
            </w:pPr>
            <w:r>
              <w:t>1</w:t>
            </w:r>
            <w:r>
              <w:rPr>
                <w:spacing w:val="1"/>
              </w:rPr>
              <w:t xml:space="preserve"> </w:t>
            </w:r>
            <w:r>
              <w:t>bis</w:t>
            </w:r>
            <w:r>
              <w:rPr>
                <w:spacing w:val="1"/>
              </w:rPr>
              <w:t xml:space="preserve"> </w:t>
            </w:r>
            <w:r>
              <w:t xml:space="preserve">&lt; </w:t>
            </w:r>
            <w:r>
              <w:rPr>
                <w:spacing w:val="-10"/>
              </w:rPr>
              <w:t>5</w:t>
            </w:r>
          </w:p>
        </w:tc>
        <w:tc>
          <w:tcPr>
            <w:tcW w:w="2266" w:type="dxa"/>
          </w:tcPr>
          <w:p w14:paraId="11CB190C" w14:textId="6E238A3D" w:rsidR="00465B27" w:rsidRDefault="00465B27" w:rsidP="00376F80">
            <w:pPr>
              <w:rPr>
                <w:b/>
                <w:bCs/>
              </w:rPr>
            </w:pPr>
            <w:r>
              <w:rPr>
                <w:spacing w:val="-5"/>
              </w:rPr>
              <w:t>30</w:t>
            </w:r>
          </w:p>
        </w:tc>
        <w:tc>
          <w:tcPr>
            <w:tcW w:w="2266" w:type="dxa"/>
          </w:tcPr>
          <w:p w14:paraId="378CACBD" w14:textId="1B57911D" w:rsidR="00465B27" w:rsidRDefault="00465B27" w:rsidP="00376F80">
            <w:pPr>
              <w:rPr>
                <w:b/>
                <w:bCs/>
              </w:rPr>
            </w:pPr>
            <w:r>
              <w:rPr>
                <w:spacing w:val="-5"/>
              </w:rPr>
              <w:t>60</w:t>
            </w:r>
          </w:p>
        </w:tc>
      </w:tr>
      <w:tr w:rsidR="00465B27" w14:paraId="05B3666B" w14:textId="77777777" w:rsidTr="00465B27">
        <w:tc>
          <w:tcPr>
            <w:tcW w:w="2265" w:type="dxa"/>
            <w:vMerge/>
          </w:tcPr>
          <w:p w14:paraId="6E77A4E3" w14:textId="77777777" w:rsidR="00465B27" w:rsidRDefault="00465B27" w:rsidP="00376F80">
            <w:pPr>
              <w:rPr>
                <w:b/>
                <w:bCs/>
              </w:rPr>
            </w:pPr>
          </w:p>
        </w:tc>
        <w:tc>
          <w:tcPr>
            <w:tcW w:w="2265" w:type="dxa"/>
          </w:tcPr>
          <w:p w14:paraId="7EFD8615" w14:textId="11545EFF" w:rsidR="00465B27" w:rsidRDefault="00465B27" w:rsidP="00376F80">
            <w:pPr>
              <w:rPr>
                <w:b/>
                <w:bCs/>
              </w:rPr>
            </w:pPr>
            <w:r>
              <w:t>5</w:t>
            </w:r>
            <w:r>
              <w:rPr>
                <w:spacing w:val="1"/>
              </w:rPr>
              <w:t xml:space="preserve"> </w:t>
            </w:r>
            <w:r>
              <w:t>bis</w:t>
            </w:r>
            <w:r>
              <w:rPr>
                <w:spacing w:val="1"/>
              </w:rPr>
              <w:t xml:space="preserve"> </w:t>
            </w:r>
            <w:r>
              <w:t xml:space="preserve">&lt; </w:t>
            </w:r>
            <w:r>
              <w:rPr>
                <w:spacing w:val="-10"/>
              </w:rPr>
              <w:t>8</w:t>
            </w:r>
          </w:p>
        </w:tc>
        <w:tc>
          <w:tcPr>
            <w:tcW w:w="2266" w:type="dxa"/>
          </w:tcPr>
          <w:p w14:paraId="5F0DC9F0" w14:textId="63F11D11" w:rsidR="00465B27" w:rsidRDefault="00465B27" w:rsidP="00376F80">
            <w:pPr>
              <w:rPr>
                <w:b/>
                <w:bCs/>
              </w:rPr>
            </w:pPr>
            <w:r>
              <w:rPr>
                <w:spacing w:val="-5"/>
              </w:rPr>
              <w:t>40</w:t>
            </w:r>
          </w:p>
        </w:tc>
        <w:tc>
          <w:tcPr>
            <w:tcW w:w="2266" w:type="dxa"/>
          </w:tcPr>
          <w:p w14:paraId="2F08F533" w14:textId="68CA6BA2" w:rsidR="00465B27" w:rsidRDefault="00465B27" w:rsidP="00376F80">
            <w:pPr>
              <w:rPr>
                <w:b/>
                <w:bCs/>
              </w:rPr>
            </w:pPr>
            <w:r>
              <w:rPr>
                <w:spacing w:val="-5"/>
              </w:rPr>
              <w:t>80</w:t>
            </w:r>
          </w:p>
        </w:tc>
      </w:tr>
      <w:tr w:rsidR="00465B27" w14:paraId="4E3A4ADB" w14:textId="77777777" w:rsidTr="00465B27">
        <w:tc>
          <w:tcPr>
            <w:tcW w:w="2265" w:type="dxa"/>
            <w:vMerge/>
          </w:tcPr>
          <w:p w14:paraId="51930B61" w14:textId="77777777" w:rsidR="00465B27" w:rsidRDefault="00465B27" w:rsidP="00376F80">
            <w:pPr>
              <w:rPr>
                <w:b/>
                <w:bCs/>
              </w:rPr>
            </w:pPr>
          </w:p>
        </w:tc>
        <w:tc>
          <w:tcPr>
            <w:tcW w:w="2265" w:type="dxa"/>
          </w:tcPr>
          <w:p w14:paraId="112863E1" w14:textId="27402C48" w:rsidR="00465B27" w:rsidRDefault="00465B27" w:rsidP="00376F80">
            <w:pPr>
              <w:rPr>
                <w:b/>
                <w:bCs/>
              </w:rPr>
            </w:pPr>
            <w:r>
              <w:t>8</w:t>
            </w:r>
            <w:r>
              <w:rPr>
                <w:spacing w:val="1"/>
              </w:rPr>
              <w:t xml:space="preserve"> </w:t>
            </w:r>
            <w:r>
              <w:t>bis</w:t>
            </w:r>
            <w:r>
              <w:rPr>
                <w:spacing w:val="1"/>
              </w:rPr>
              <w:t xml:space="preserve"> </w:t>
            </w:r>
            <w:r>
              <w:t xml:space="preserve">&lt; </w:t>
            </w:r>
            <w:r>
              <w:rPr>
                <w:spacing w:val="-5"/>
              </w:rPr>
              <w:t>12</w:t>
            </w:r>
          </w:p>
        </w:tc>
        <w:tc>
          <w:tcPr>
            <w:tcW w:w="2266" w:type="dxa"/>
          </w:tcPr>
          <w:p w14:paraId="558C67D5" w14:textId="684CCBBD" w:rsidR="00465B27" w:rsidRDefault="00465B27" w:rsidP="00376F80">
            <w:pPr>
              <w:rPr>
                <w:b/>
                <w:bCs/>
              </w:rPr>
            </w:pPr>
            <w:r>
              <w:rPr>
                <w:spacing w:val="-5"/>
              </w:rPr>
              <w:t>50</w:t>
            </w:r>
          </w:p>
        </w:tc>
        <w:tc>
          <w:tcPr>
            <w:tcW w:w="2266" w:type="dxa"/>
          </w:tcPr>
          <w:p w14:paraId="06783FF5" w14:textId="391DD49C" w:rsidR="00465B27" w:rsidRDefault="00465B27" w:rsidP="00376F80">
            <w:pPr>
              <w:rPr>
                <w:b/>
                <w:bCs/>
              </w:rPr>
            </w:pPr>
            <w:r>
              <w:rPr>
                <w:spacing w:val="-5"/>
              </w:rPr>
              <w:t>100</w:t>
            </w:r>
          </w:p>
        </w:tc>
      </w:tr>
      <w:tr w:rsidR="00465B27" w14:paraId="4035A0D1" w14:textId="77777777" w:rsidTr="00465B27">
        <w:tc>
          <w:tcPr>
            <w:tcW w:w="2265" w:type="dxa"/>
            <w:vMerge w:val="restart"/>
          </w:tcPr>
          <w:p w14:paraId="2DFED1F0" w14:textId="06AFDCCF" w:rsidR="00465B27" w:rsidRDefault="00465B27" w:rsidP="00376F80">
            <w:pPr>
              <w:rPr>
                <w:b/>
                <w:bCs/>
              </w:rPr>
            </w:pPr>
            <w:r>
              <w:t>7</w:t>
            </w:r>
            <w:r>
              <w:rPr>
                <w:spacing w:val="1"/>
              </w:rPr>
              <w:t xml:space="preserve"> </w:t>
            </w:r>
            <w:r>
              <w:t>bis</w:t>
            </w:r>
            <w:r>
              <w:rPr>
                <w:spacing w:val="1"/>
              </w:rPr>
              <w:t xml:space="preserve"> </w:t>
            </w:r>
            <w:r>
              <w:t xml:space="preserve">&lt; </w:t>
            </w:r>
            <w:r>
              <w:rPr>
                <w:spacing w:val="-10"/>
              </w:rPr>
              <w:t>9</w:t>
            </w:r>
          </w:p>
        </w:tc>
        <w:tc>
          <w:tcPr>
            <w:tcW w:w="2265" w:type="dxa"/>
          </w:tcPr>
          <w:p w14:paraId="23C8BABB" w14:textId="0C3EBA8E" w:rsidR="00465B27" w:rsidRDefault="00465B27" w:rsidP="00376F80">
            <w:pPr>
              <w:rPr>
                <w:b/>
                <w:bCs/>
              </w:rPr>
            </w:pPr>
            <w:r>
              <w:t>3</w:t>
            </w:r>
            <w:r>
              <w:rPr>
                <w:spacing w:val="1"/>
              </w:rPr>
              <w:t xml:space="preserve"> </w:t>
            </w:r>
            <w:r>
              <w:t>bis</w:t>
            </w:r>
            <w:r>
              <w:rPr>
                <w:spacing w:val="1"/>
              </w:rPr>
              <w:t xml:space="preserve"> </w:t>
            </w:r>
            <w:r>
              <w:t xml:space="preserve">&lt; </w:t>
            </w:r>
            <w:r>
              <w:rPr>
                <w:spacing w:val="-10"/>
              </w:rPr>
              <w:t>4</w:t>
            </w:r>
          </w:p>
        </w:tc>
        <w:tc>
          <w:tcPr>
            <w:tcW w:w="2266" w:type="dxa"/>
          </w:tcPr>
          <w:p w14:paraId="66B069E7" w14:textId="7DBC9F69" w:rsidR="00465B27" w:rsidRDefault="00465B27" w:rsidP="00376F80">
            <w:pPr>
              <w:rPr>
                <w:b/>
                <w:bCs/>
              </w:rPr>
            </w:pPr>
            <w:r>
              <w:rPr>
                <w:spacing w:val="-5"/>
              </w:rPr>
              <w:t>40</w:t>
            </w:r>
          </w:p>
        </w:tc>
        <w:tc>
          <w:tcPr>
            <w:tcW w:w="2266" w:type="dxa"/>
          </w:tcPr>
          <w:p w14:paraId="18DBB82F" w14:textId="0DE4FE34" w:rsidR="00465B27" w:rsidRDefault="00465B27" w:rsidP="00376F80">
            <w:pPr>
              <w:rPr>
                <w:b/>
                <w:bCs/>
              </w:rPr>
            </w:pPr>
            <w:r>
              <w:rPr>
                <w:spacing w:val="-5"/>
              </w:rPr>
              <w:t>80</w:t>
            </w:r>
          </w:p>
        </w:tc>
      </w:tr>
      <w:tr w:rsidR="00465B27" w14:paraId="4EFA9F98" w14:textId="77777777" w:rsidTr="00465B27">
        <w:tc>
          <w:tcPr>
            <w:tcW w:w="2265" w:type="dxa"/>
            <w:vMerge/>
          </w:tcPr>
          <w:p w14:paraId="605DE8BF" w14:textId="77777777" w:rsidR="00465B27" w:rsidRDefault="00465B27" w:rsidP="00376F80">
            <w:pPr>
              <w:rPr>
                <w:b/>
                <w:bCs/>
              </w:rPr>
            </w:pPr>
          </w:p>
        </w:tc>
        <w:tc>
          <w:tcPr>
            <w:tcW w:w="2265" w:type="dxa"/>
          </w:tcPr>
          <w:p w14:paraId="0DB6DE00" w14:textId="35323D85" w:rsidR="00465B27" w:rsidRDefault="00465B27" w:rsidP="00376F80">
            <w:pPr>
              <w:rPr>
                <w:b/>
                <w:bCs/>
              </w:rPr>
            </w:pPr>
            <w:r>
              <w:t>4</w:t>
            </w:r>
            <w:r>
              <w:rPr>
                <w:spacing w:val="1"/>
              </w:rPr>
              <w:t xml:space="preserve"> </w:t>
            </w:r>
            <w:r>
              <w:t>bis</w:t>
            </w:r>
            <w:r>
              <w:rPr>
                <w:spacing w:val="1"/>
              </w:rPr>
              <w:t xml:space="preserve"> </w:t>
            </w:r>
            <w:r>
              <w:t xml:space="preserve">&lt; </w:t>
            </w:r>
            <w:r>
              <w:rPr>
                <w:spacing w:val="-10"/>
              </w:rPr>
              <w:t>9</w:t>
            </w:r>
          </w:p>
        </w:tc>
        <w:tc>
          <w:tcPr>
            <w:tcW w:w="2266" w:type="dxa"/>
          </w:tcPr>
          <w:p w14:paraId="3B6F6E15" w14:textId="5C5572DF" w:rsidR="00465B27" w:rsidRDefault="00465B27" w:rsidP="00376F80">
            <w:pPr>
              <w:rPr>
                <w:b/>
                <w:bCs/>
              </w:rPr>
            </w:pPr>
            <w:r>
              <w:rPr>
                <w:spacing w:val="-5"/>
              </w:rPr>
              <w:t>50</w:t>
            </w:r>
          </w:p>
        </w:tc>
        <w:tc>
          <w:tcPr>
            <w:tcW w:w="2266" w:type="dxa"/>
          </w:tcPr>
          <w:p w14:paraId="3CDEEB6E" w14:textId="321209EC" w:rsidR="00465B27" w:rsidRDefault="00465B27" w:rsidP="00376F80">
            <w:pPr>
              <w:rPr>
                <w:b/>
                <w:bCs/>
              </w:rPr>
            </w:pPr>
            <w:r>
              <w:rPr>
                <w:spacing w:val="-5"/>
              </w:rPr>
              <w:t>100</w:t>
            </w:r>
          </w:p>
        </w:tc>
      </w:tr>
      <w:tr w:rsidR="00465B27" w14:paraId="6EE1C852" w14:textId="77777777" w:rsidTr="00465B27">
        <w:tc>
          <w:tcPr>
            <w:tcW w:w="2265" w:type="dxa"/>
            <w:vMerge/>
          </w:tcPr>
          <w:p w14:paraId="7CCA5768" w14:textId="77777777" w:rsidR="00465B27" w:rsidRDefault="00465B27" w:rsidP="00376F80">
            <w:pPr>
              <w:rPr>
                <w:b/>
                <w:bCs/>
              </w:rPr>
            </w:pPr>
          </w:p>
        </w:tc>
        <w:tc>
          <w:tcPr>
            <w:tcW w:w="2265" w:type="dxa"/>
          </w:tcPr>
          <w:p w14:paraId="79883866" w14:textId="75ED2C82" w:rsidR="00465B27" w:rsidRDefault="00465B27" w:rsidP="00376F80">
            <w:pPr>
              <w:rPr>
                <w:b/>
                <w:bCs/>
              </w:rPr>
            </w:pPr>
            <w:r>
              <w:t>9</w:t>
            </w:r>
            <w:r>
              <w:rPr>
                <w:spacing w:val="1"/>
              </w:rPr>
              <w:t xml:space="preserve"> </w:t>
            </w:r>
            <w:r>
              <w:t>bis</w:t>
            </w:r>
            <w:r>
              <w:rPr>
                <w:spacing w:val="1"/>
              </w:rPr>
              <w:t xml:space="preserve"> </w:t>
            </w:r>
            <w:r>
              <w:t xml:space="preserve">&lt; </w:t>
            </w:r>
            <w:r>
              <w:rPr>
                <w:spacing w:val="-5"/>
              </w:rPr>
              <w:t>12</w:t>
            </w:r>
          </w:p>
        </w:tc>
        <w:tc>
          <w:tcPr>
            <w:tcW w:w="2266" w:type="dxa"/>
          </w:tcPr>
          <w:p w14:paraId="79E89890" w14:textId="5BFB9186" w:rsidR="00465B27" w:rsidRDefault="00465B27" w:rsidP="00376F80">
            <w:pPr>
              <w:rPr>
                <w:b/>
                <w:bCs/>
              </w:rPr>
            </w:pPr>
            <w:r>
              <w:rPr>
                <w:spacing w:val="-5"/>
              </w:rPr>
              <w:t>60</w:t>
            </w:r>
          </w:p>
        </w:tc>
        <w:tc>
          <w:tcPr>
            <w:tcW w:w="2266" w:type="dxa"/>
          </w:tcPr>
          <w:p w14:paraId="6B31C1B9" w14:textId="3211BBA2" w:rsidR="00465B27" w:rsidRDefault="00465B27" w:rsidP="00376F80">
            <w:pPr>
              <w:rPr>
                <w:b/>
                <w:bCs/>
              </w:rPr>
            </w:pPr>
            <w:r>
              <w:rPr>
                <w:spacing w:val="-5"/>
              </w:rPr>
              <w:t>120</w:t>
            </w:r>
          </w:p>
        </w:tc>
      </w:tr>
      <w:tr w:rsidR="00465B27" w14:paraId="1CA221F9" w14:textId="77777777" w:rsidTr="00465B27">
        <w:tc>
          <w:tcPr>
            <w:tcW w:w="2265" w:type="dxa"/>
            <w:vMerge w:val="restart"/>
          </w:tcPr>
          <w:p w14:paraId="13202632" w14:textId="6B55BDBC" w:rsidR="00465B27" w:rsidRDefault="00465B27" w:rsidP="00376F80">
            <w:pPr>
              <w:rPr>
                <w:b/>
                <w:bCs/>
              </w:rPr>
            </w:pPr>
            <w:r>
              <w:t>9</w:t>
            </w:r>
            <w:r>
              <w:rPr>
                <w:spacing w:val="1"/>
              </w:rPr>
              <w:t xml:space="preserve"> </w:t>
            </w:r>
            <w:r>
              <w:t>bis</w:t>
            </w:r>
            <w:r>
              <w:rPr>
                <w:spacing w:val="1"/>
              </w:rPr>
              <w:t xml:space="preserve"> </w:t>
            </w:r>
            <w:r>
              <w:t xml:space="preserve">&lt; </w:t>
            </w:r>
            <w:r>
              <w:rPr>
                <w:spacing w:val="-5"/>
              </w:rPr>
              <w:t>11</w:t>
            </w:r>
          </w:p>
        </w:tc>
        <w:tc>
          <w:tcPr>
            <w:tcW w:w="2265" w:type="dxa"/>
          </w:tcPr>
          <w:p w14:paraId="53661465" w14:textId="0AFB2B95" w:rsidR="00465B27" w:rsidRDefault="00465B27" w:rsidP="00376F80">
            <w:pPr>
              <w:rPr>
                <w:b/>
                <w:bCs/>
              </w:rPr>
            </w:pPr>
            <w:r>
              <w:t>5</w:t>
            </w:r>
            <w:r>
              <w:rPr>
                <w:spacing w:val="1"/>
              </w:rPr>
              <w:t xml:space="preserve"> </w:t>
            </w:r>
            <w:r>
              <w:t>bis</w:t>
            </w:r>
            <w:r>
              <w:rPr>
                <w:spacing w:val="1"/>
              </w:rPr>
              <w:t xml:space="preserve"> </w:t>
            </w:r>
            <w:r>
              <w:t xml:space="preserve">&lt; </w:t>
            </w:r>
            <w:r>
              <w:rPr>
                <w:spacing w:val="-10"/>
              </w:rPr>
              <w:t>6</w:t>
            </w:r>
          </w:p>
        </w:tc>
        <w:tc>
          <w:tcPr>
            <w:tcW w:w="2266" w:type="dxa"/>
          </w:tcPr>
          <w:p w14:paraId="0E29446E" w14:textId="1A2AF700" w:rsidR="00465B27" w:rsidRDefault="00465B27" w:rsidP="00376F80">
            <w:pPr>
              <w:rPr>
                <w:b/>
                <w:bCs/>
              </w:rPr>
            </w:pPr>
            <w:r>
              <w:rPr>
                <w:spacing w:val="-5"/>
              </w:rPr>
              <w:t>50</w:t>
            </w:r>
          </w:p>
        </w:tc>
        <w:tc>
          <w:tcPr>
            <w:tcW w:w="2266" w:type="dxa"/>
          </w:tcPr>
          <w:p w14:paraId="6032EC5A" w14:textId="54621CCC" w:rsidR="00465B27" w:rsidRDefault="00465B27" w:rsidP="00376F80">
            <w:pPr>
              <w:rPr>
                <w:b/>
                <w:bCs/>
              </w:rPr>
            </w:pPr>
            <w:r>
              <w:rPr>
                <w:spacing w:val="-5"/>
              </w:rPr>
              <w:t>100</w:t>
            </w:r>
          </w:p>
        </w:tc>
      </w:tr>
      <w:tr w:rsidR="00465B27" w14:paraId="7E42FE78" w14:textId="77777777" w:rsidTr="00465B27">
        <w:tc>
          <w:tcPr>
            <w:tcW w:w="2265" w:type="dxa"/>
            <w:vMerge/>
          </w:tcPr>
          <w:p w14:paraId="02BD27C5" w14:textId="77777777" w:rsidR="00465B27" w:rsidRDefault="00465B27" w:rsidP="00376F80">
            <w:pPr>
              <w:rPr>
                <w:b/>
                <w:bCs/>
              </w:rPr>
            </w:pPr>
          </w:p>
        </w:tc>
        <w:tc>
          <w:tcPr>
            <w:tcW w:w="2265" w:type="dxa"/>
          </w:tcPr>
          <w:p w14:paraId="2DAB5D86" w14:textId="3E9FD587" w:rsidR="00465B27" w:rsidRDefault="00465B27" w:rsidP="00376F80">
            <w:pPr>
              <w:rPr>
                <w:b/>
                <w:bCs/>
              </w:rPr>
            </w:pPr>
            <w:r>
              <w:t>6</w:t>
            </w:r>
            <w:r>
              <w:rPr>
                <w:spacing w:val="1"/>
              </w:rPr>
              <w:t xml:space="preserve"> </w:t>
            </w:r>
            <w:r>
              <w:t>bis</w:t>
            </w:r>
            <w:r>
              <w:rPr>
                <w:spacing w:val="1"/>
              </w:rPr>
              <w:t xml:space="preserve"> </w:t>
            </w:r>
            <w:r>
              <w:t xml:space="preserve">&lt; </w:t>
            </w:r>
            <w:r>
              <w:rPr>
                <w:spacing w:val="-5"/>
              </w:rPr>
              <w:t>11</w:t>
            </w:r>
          </w:p>
        </w:tc>
        <w:tc>
          <w:tcPr>
            <w:tcW w:w="2266" w:type="dxa"/>
          </w:tcPr>
          <w:p w14:paraId="222FB6EC" w14:textId="7B88622E" w:rsidR="00465B27" w:rsidRDefault="00465B27" w:rsidP="00376F80">
            <w:pPr>
              <w:rPr>
                <w:b/>
                <w:bCs/>
              </w:rPr>
            </w:pPr>
            <w:r>
              <w:rPr>
                <w:spacing w:val="-5"/>
              </w:rPr>
              <w:t>60</w:t>
            </w:r>
          </w:p>
        </w:tc>
        <w:tc>
          <w:tcPr>
            <w:tcW w:w="2266" w:type="dxa"/>
          </w:tcPr>
          <w:p w14:paraId="1B895307" w14:textId="113C61E7" w:rsidR="00465B27" w:rsidRDefault="00465B27" w:rsidP="00376F80">
            <w:pPr>
              <w:rPr>
                <w:b/>
                <w:bCs/>
              </w:rPr>
            </w:pPr>
            <w:r>
              <w:rPr>
                <w:spacing w:val="-5"/>
              </w:rPr>
              <w:t>120</w:t>
            </w:r>
          </w:p>
        </w:tc>
      </w:tr>
      <w:tr w:rsidR="00465B27" w14:paraId="23F40872" w14:textId="77777777" w:rsidTr="00465B27">
        <w:tc>
          <w:tcPr>
            <w:tcW w:w="2265" w:type="dxa"/>
            <w:vMerge/>
          </w:tcPr>
          <w:p w14:paraId="6B293402" w14:textId="77777777" w:rsidR="00465B27" w:rsidRDefault="00465B27" w:rsidP="00376F80">
            <w:pPr>
              <w:rPr>
                <w:b/>
                <w:bCs/>
              </w:rPr>
            </w:pPr>
          </w:p>
        </w:tc>
        <w:tc>
          <w:tcPr>
            <w:tcW w:w="2265" w:type="dxa"/>
          </w:tcPr>
          <w:p w14:paraId="26BD18A7" w14:textId="573F6208" w:rsidR="00465B27" w:rsidRDefault="00465B27" w:rsidP="00376F80">
            <w:pPr>
              <w:rPr>
                <w:b/>
                <w:bCs/>
              </w:rPr>
            </w:pPr>
            <w:r>
              <w:t>11</w:t>
            </w:r>
            <w:r>
              <w:rPr>
                <w:spacing w:val="-10"/>
              </w:rPr>
              <w:t xml:space="preserve"> </w:t>
            </w:r>
            <w:r>
              <w:t>bis</w:t>
            </w:r>
            <w:r>
              <w:rPr>
                <w:spacing w:val="-9"/>
              </w:rPr>
              <w:t xml:space="preserve"> </w:t>
            </w:r>
            <w:r>
              <w:t>&lt;</w:t>
            </w:r>
            <w:r>
              <w:rPr>
                <w:spacing w:val="-9"/>
              </w:rPr>
              <w:t xml:space="preserve"> </w:t>
            </w:r>
            <w:r>
              <w:rPr>
                <w:spacing w:val="-5"/>
              </w:rPr>
              <w:t>12</w:t>
            </w:r>
          </w:p>
        </w:tc>
        <w:tc>
          <w:tcPr>
            <w:tcW w:w="2266" w:type="dxa"/>
          </w:tcPr>
          <w:p w14:paraId="3F67961C" w14:textId="7762B1D8" w:rsidR="00465B27" w:rsidRDefault="00465B27" w:rsidP="00376F80">
            <w:pPr>
              <w:rPr>
                <w:b/>
                <w:bCs/>
              </w:rPr>
            </w:pPr>
            <w:r>
              <w:rPr>
                <w:spacing w:val="-5"/>
              </w:rPr>
              <w:t>70</w:t>
            </w:r>
          </w:p>
        </w:tc>
        <w:tc>
          <w:tcPr>
            <w:tcW w:w="2266" w:type="dxa"/>
          </w:tcPr>
          <w:p w14:paraId="03F6890A" w14:textId="4FC9F14C" w:rsidR="00465B27" w:rsidRDefault="00465B27" w:rsidP="00376F80">
            <w:pPr>
              <w:rPr>
                <w:b/>
                <w:bCs/>
              </w:rPr>
            </w:pPr>
            <w:r>
              <w:rPr>
                <w:spacing w:val="-5"/>
              </w:rPr>
              <w:t>140</w:t>
            </w:r>
          </w:p>
        </w:tc>
      </w:tr>
      <w:tr w:rsidR="00465B27" w14:paraId="368A3088" w14:textId="77777777" w:rsidTr="00465B27">
        <w:tc>
          <w:tcPr>
            <w:tcW w:w="2265" w:type="dxa"/>
            <w:vMerge w:val="restart"/>
          </w:tcPr>
          <w:p w14:paraId="63F4BFA6" w14:textId="4279254B" w:rsidR="00465B27" w:rsidRDefault="00465B27" w:rsidP="00376F80">
            <w:pPr>
              <w:rPr>
                <w:b/>
                <w:bCs/>
              </w:rPr>
            </w:pPr>
            <w:r>
              <w:t>11</w:t>
            </w:r>
            <w:r>
              <w:rPr>
                <w:spacing w:val="-10"/>
              </w:rPr>
              <w:t xml:space="preserve"> </w:t>
            </w:r>
            <w:r>
              <w:t>bis</w:t>
            </w:r>
            <w:r>
              <w:rPr>
                <w:spacing w:val="-9"/>
              </w:rPr>
              <w:t xml:space="preserve"> </w:t>
            </w:r>
            <w:r>
              <w:t>&lt;</w:t>
            </w:r>
            <w:r>
              <w:rPr>
                <w:spacing w:val="-9"/>
              </w:rPr>
              <w:t xml:space="preserve"> </w:t>
            </w:r>
            <w:r>
              <w:rPr>
                <w:spacing w:val="-5"/>
              </w:rPr>
              <w:t>13</w:t>
            </w:r>
          </w:p>
        </w:tc>
        <w:tc>
          <w:tcPr>
            <w:tcW w:w="2265" w:type="dxa"/>
          </w:tcPr>
          <w:p w14:paraId="3F693306" w14:textId="17CD03FF" w:rsidR="00465B27" w:rsidRDefault="00465B27" w:rsidP="00376F80">
            <w:pPr>
              <w:rPr>
                <w:b/>
                <w:bCs/>
              </w:rPr>
            </w:pPr>
            <w:r>
              <w:t>8</w:t>
            </w:r>
            <w:r>
              <w:rPr>
                <w:spacing w:val="1"/>
              </w:rPr>
              <w:t xml:space="preserve"> </w:t>
            </w:r>
            <w:r>
              <w:t>bis</w:t>
            </w:r>
            <w:r>
              <w:rPr>
                <w:spacing w:val="1"/>
              </w:rPr>
              <w:t xml:space="preserve"> </w:t>
            </w:r>
            <w:r>
              <w:t xml:space="preserve">&lt; </w:t>
            </w:r>
            <w:r>
              <w:rPr>
                <w:spacing w:val="-5"/>
              </w:rPr>
              <w:t>10</w:t>
            </w:r>
          </w:p>
        </w:tc>
        <w:tc>
          <w:tcPr>
            <w:tcW w:w="2266" w:type="dxa"/>
          </w:tcPr>
          <w:p w14:paraId="41D7405A" w14:textId="09427DB9" w:rsidR="00465B27" w:rsidRDefault="00465B27" w:rsidP="00376F80">
            <w:pPr>
              <w:rPr>
                <w:b/>
                <w:bCs/>
              </w:rPr>
            </w:pPr>
            <w:r>
              <w:rPr>
                <w:spacing w:val="-5"/>
              </w:rPr>
              <w:t>70</w:t>
            </w:r>
          </w:p>
        </w:tc>
        <w:tc>
          <w:tcPr>
            <w:tcW w:w="2266" w:type="dxa"/>
          </w:tcPr>
          <w:p w14:paraId="79CC87FF" w14:textId="7B596759" w:rsidR="00465B27" w:rsidRDefault="00465B27" w:rsidP="00376F80">
            <w:pPr>
              <w:rPr>
                <w:b/>
                <w:bCs/>
              </w:rPr>
            </w:pPr>
            <w:r>
              <w:rPr>
                <w:spacing w:val="-5"/>
              </w:rPr>
              <w:t>140</w:t>
            </w:r>
          </w:p>
        </w:tc>
      </w:tr>
      <w:tr w:rsidR="00465B27" w14:paraId="431D4171" w14:textId="77777777" w:rsidTr="00465B27">
        <w:tc>
          <w:tcPr>
            <w:tcW w:w="2265" w:type="dxa"/>
            <w:vMerge/>
          </w:tcPr>
          <w:p w14:paraId="6E74A4A6" w14:textId="77777777" w:rsidR="00465B27" w:rsidRDefault="00465B27" w:rsidP="00376F80">
            <w:pPr>
              <w:rPr>
                <w:b/>
                <w:bCs/>
              </w:rPr>
            </w:pPr>
          </w:p>
        </w:tc>
        <w:tc>
          <w:tcPr>
            <w:tcW w:w="2265" w:type="dxa"/>
          </w:tcPr>
          <w:p w14:paraId="0BDD6CF1" w14:textId="664FA6E9" w:rsidR="00465B27" w:rsidRDefault="00465B27" w:rsidP="00376F80">
            <w:pPr>
              <w:rPr>
                <w:b/>
                <w:bCs/>
              </w:rPr>
            </w:pPr>
            <w:r>
              <w:t>10</w:t>
            </w:r>
            <w:r>
              <w:rPr>
                <w:spacing w:val="-3"/>
              </w:rPr>
              <w:t xml:space="preserve"> </w:t>
            </w:r>
            <w:r>
              <w:t>bis</w:t>
            </w:r>
            <w:r>
              <w:rPr>
                <w:spacing w:val="-2"/>
              </w:rPr>
              <w:t xml:space="preserve"> </w:t>
            </w:r>
            <w:r>
              <w:t>&lt;</w:t>
            </w:r>
            <w:r>
              <w:rPr>
                <w:spacing w:val="-3"/>
              </w:rPr>
              <w:t xml:space="preserve"> </w:t>
            </w:r>
            <w:r>
              <w:rPr>
                <w:spacing w:val="-5"/>
              </w:rPr>
              <w:t>12</w:t>
            </w:r>
          </w:p>
        </w:tc>
        <w:tc>
          <w:tcPr>
            <w:tcW w:w="2266" w:type="dxa"/>
          </w:tcPr>
          <w:p w14:paraId="48A91E1C" w14:textId="1356F240" w:rsidR="00465B27" w:rsidRDefault="00465B27" w:rsidP="00376F80">
            <w:pPr>
              <w:rPr>
                <w:b/>
                <w:bCs/>
              </w:rPr>
            </w:pPr>
            <w:r>
              <w:rPr>
                <w:spacing w:val="-5"/>
              </w:rPr>
              <w:t>80</w:t>
            </w:r>
          </w:p>
        </w:tc>
        <w:tc>
          <w:tcPr>
            <w:tcW w:w="2266" w:type="dxa"/>
          </w:tcPr>
          <w:p w14:paraId="1AF4F9BB" w14:textId="62000B72" w:rsidR="00465B27" w:rsidRDefault="00465B27" w:rsidP="00376F80">
            <w:pPr>
              <w:rPr>
                <w:b/>
                <w:bCs/>
              </w:rPr>
            </w:pPr>
            <w:r>
              <w:rPr>
                <w:spacing w:val="-5"/>
              </w:rPr>
              <w:t>160</w:t>
            </w:r>
          </w:p>
        </w:tc>
      </w:tr>
      <w:tr w:rsidR="00465B27" w14:paraId="6DC32935" w14:textId="77777777" w:rsidTr="00465B27">
        <w:tc>
          <w:tcPr>
            <w:tcW w:w="2265" w:type="dxa"/>
            <w:vMerge w:val="restart"/>
          </w:tcPr>
          <w:p w14:paraId="38DA4886" w14:textId="73A52CC8" w:rsidR="00465B27" w:rsidRDefault="00465B27" w:rsidP="00376F80">
            <w:pPr>
              <w:rPr>
                <w:b/>
                <w:bCs/>
              </w:rPr>
            </w:pPr>
            <w:r>
              <w:t>13</w:t>
            </w:r>
            <w:r>
              <w:rPr>
                <w:spacing w:val="-5"/>
              </w:rPr>
              <w:t xml:space="preserve"> </w:t>
            </w:r>
            <w:r>
              <w:t>bis</w:t>
            </w:r>
            <w:r>
              <w:rPr>
                <w:spacing w:val="-4"/>
              </w:rPr>
              <w:t xml:space="preserve"> </w:t>
            </w:r>
            <w:r>
              <w:t>&lt;</w:t>
            </w:r>
            <w:r>
              <w:rPr>
                <w:spacing w:val="-5"/>
              </w:rPr>
              <w:t xml:space="preserve"> 16</w:t>
            </w:r>
          </w:p>
        </w:tc>
        <w:tc>
          <w:tcPr>
            <w:tcW w:w="2265" w:type="dxa"/>
          </w:tcPr>
          <w:p w14:paraId="291D06A3" w14:textId="6A7B8A2E" w:rsidR="00465B27" w:rsidRDefault="00465B27" w:rsidP="00376F80">
            <w:pPr>
              <w:rPr>
                <w:b/>
                <w:bCs/>
              </w:rPr>
            </w:pPr>
            <w:r>
              <w:t>10</w:t>
            </w:r>
            <w:r>
              <w:rPr>
                <w:spacing w:val="-3"/>
              </w:rPr>
              <w:t xml:space="preserve"> </w:t>
            </w:r>
            <w:r>
              <w:t>bis</w:t>
            </w:r>
            <w:r>
              <w:rPr>
                <w:spacing w:val="-2"/>
              </w:rPr>
              <w:t xml:space="preserve"> </w:t>
            </w:r>
            <w:r>
              <w:t>&lt;</w:t>
            </w:r>
            <w:r>
              <w:rPr>
                <w:spacing w:val="-3"/>
              </w:rPr>
              <w:t xml:space="preserve"> </w:t>
            </w:r>
            <w:r>
              <w:rPr>
                <w:spacing w:val="-5"/>
              </w:rPr>
              <w:t>11</w:t>
            </w:r>
          </w:p>
        </w:tc>
        <w:tc>
          <w:tcPr>
            <w:tcW w:w="2266" w:type="dxa"/>
          </w:tcPr>
          <w:p w14:paraId="59945967" w14:textId="0B8DA241" w:rsidR="00465B27" w:rsidRDefault="00465B27" w:rsidP="00376F80">
            <w:pPr>
              <w:rPr>
                <w:b/>
                <w:bCs/>
              </w:rPr>
            </w:pPr>
            <w:r>
              <w:rPr>
                <w:spacing w:val="-5"/>
              </w:rPr>
              <w:t>80</w:t>
            </w:r>
          </w:p>
        </w:tc>
        <w:tc>
          <w:tcPr>
            <w:tcW w:w="2266" w:type="dxa"/>
          </w:tcPr>
          <w:p w14:paraId="2B36BB7B" w14:textId="2D6B7EC5" w:rsidR="00465B27" w:rsidRDefault="00465B27" w:rsidP="00376F80">
            <w:pPr>
              <w:rPr>
                <w:b/>
                <w:bCs/>
              </w:rPr>
            </w:pPr>
            <w:r>
              <w:rPr>
                <w:spacing w:val="-5"/>
              </w:rPr>
              <w:t>160</w:t>
            </w:r>
          </w:p>
        </w:tc>
      </w:tr>
      <w:tr w:rsidR="00465B27" w14:paraId="08379307" w14:textId="77777777" w:rsidTr="00465B27">
        <w:tc>
          <w:tcPr>
            <w:tcW w:w="2265" w:type="dxa"/>
            <w:vMerge/>
          </w:tcPr>
          <w:p w14:paraId="7310DA0D" w14:textId="77777777" w:rsidR="00465B27" w:rsidRDefault="00465B27" w:rsidP="00376F80">
            <w:pPr>
              <w:rPr>
                <w:b/>
                <w:bCs/>
              </w:rPr>
            </w:pPr>
          </w:p>
        </w:tc>
        <w:tc>
          <w:tcPr>
            <w:tcW w:w="2265" w:type="dxa"/>
          </w:tcPr>
          <w:p w14:paraId="688A120A" w14:textId="7E3562CD" w:rsidR="00465B27" w:rsidRDefault="00465B27" w:rsidP="00376F80">
            <w:pPr>
              <w:rPr>
                <w:b/>
                <w:bCs/>
              </w:rPr>
            </w:pPr>
            <w:r>
              <w:t>11</w:t>
            </w:r>
            <w:r>
              <w:rPr>
                <w:spacing w:val="-10"/>
              </w:rPr>
              <w:t xml:space="preserve"> </w:t>
            </w:r>
            <w:r>
              <w:t>bis</w:t>
            </w:r>
            <w:r>
              <w:rPr>
                <w:spacing w:val="-9"/>
              </w:rPr>
              <w:t xml:space="preserve"> </w:t>
            </w:r>
            <w:r>
              <w:t>&lt;</w:t>
            </w:r>
            <w:r>
              <w:rPr>
                <w:spacing w:val="-9"/>
              </w:rPr>
              <w:t xml:space="preserve"> </w:t>
            </w:r>
            <w:r>
              <w:rPr>
                <w:spacing w:val="-5"/>
              </w:rPr>
              <w:t>12</w:t>
            </w:r>
          </w:p>
        </w:tc>
        <w:tc>
          <w:tcPr>
            <w:tcW w:w="2266" w:type="dxa"/>
          </w:tcPr>
          <w:p w14:paraId="13E30A70" w14:textId="79409FDF" w:rsidR="00465B27" w:rsidRDefault="00465B27" w:rsidP="00376F80">
            <w:pPr>
              <w:rPr>
                <w:b/>
                <w:bCs/>
              </w:rPr>
            </w:pPr>
            <w:r>
              <w:rPr>
                <w:spacing w:val="-5"/>
              </w:rPr>
              <w:t>100</w:t>
            </w:r>
          </w:p>
        </w:tc>
        <w:tc>
          <w:tcPr>
            <w:tcW w:w="2266" w:type="dxa"/>
          </w:tcPr>
          <w:p w14:paraId="08142762" w14:textId="72DAEC80" w:rsidR="00465B27" w:rsidRDefault="00465B27" w:rsidP="00376F80">
            <w:pPr>
              <w:rPr>
                <w:b/>
                <w:bCs/>
              </w:rPr>
            </w:pPr>
            <w:r>
              <w:rPr>
                <w:spacing w:val="-5"/>
              </w:rPr>
              <w:t>200</w:t>
            </w:r>
          </w:p>
        </w:tc>
      </w:tr>
    </w:tbl>
    <w:p w14:paraId="4AF279DC" w14:textId="47ECBD58" w:rsidR="00410892" w:rsidRPr="003260A6" w:rsidRDefault="00410892" w:rsidP="00376F80"/>
    <w:p w14:paraId="6028A2D9" w14:textId="10A61A7A" w:rsidR="00465B27" w:rsidRPr="003260A6" w:rsidRDefault="004248F3" w:rsidP="00376F80">
      <w:r w:rsidRPr="003260A6">
        <w:t>Geeignete Beutelkombinationen zum Erreichen der in der Dosierungstabelle empfohlenen Einzeldosen lauten wie folgt (andere Kombinationen sind möglich):</w:t>
      </w:r>
    </w:p>
    <w:p w14:paraId="410CA33A" w14:textId="77777777" w:rsidR="004248F3" w:rsidRDefault="004248F3" w:rsidP="00376F80">
      <w:r w:rsidRPr="004248F3">
        <w:t>20 mg: ein 20-mg-Beutel</w:t>
      </w:r>
    </w:p>
    <w:p w14:paraId="6F0F8236" w14:textId="77777777" w:rsidR="004248F3" w:rsidRDefault="004248F3" w:rsidP="00376F80">
      <w:r w:rsidRPr="004248F3">
        <w:t>30 mg: ein 30-mg-Beutel</w:t>
      </w:r>
    </w:p>
    <w:p w14:paraId="1690BA5E" w14:textId="77777777" w:rsidR="004248F3" w:rsidRDefault="004248F3" w:rsidP="00376F80">
      <w:r w:rsidRPr="004248F3">
        <w:t>40 mg: ein 40-mg-Beutel</w:t>
      </w:r>
    </w:p>
    <w:p w14:paraId="04F1F98D" w14:textId="60259651" w:rsidR="00465B27" w:rsidRPr="003260A6" w:rsidRDefault="004248F3" w:rsidP="00376F80">
      <w:r w:rsidRPr="004248F3">
        <w:lastRenderedPageBreak/>
        <w:t>50 mg: ein 50-mg-</w:t>
      </w:r>
      <w:r>
        <w:t>Beutel</w:t>
      </w:r>
    </w:p>
    <w:p w14:paraId="268077B9" w14:textId="77777777" w:rsidR="004248F3" w:rsidRDefault="004248F3" w:rsidP="004248F3">
      <w:r>
        <w:t>60 mg: zwei 30-mg-Beutel</w:t>
      </w:r>
    </w:p>
    <w:p w14:paraId="5DB493C3" w14:textId="22998C28" w:rsidR="004248F3" w:rsidRDefault="004248F3" w:rsidP="004248F3">
      <w:r>
        <w:t>70 mg: ein 30-mg- und ein 40-mg-Beutel</w:t>
      </w:r>
    </w:p>
    <w:p w14:paraId="62684401" w14:textId="77777777" w:rsidR="004248F3" w:rsidRDefault="004248F3" w:rsidP="004248F3">
      <w:r>
        <w:t>80 mg: zwei 40-mg-Beutel</w:t>
      </w:r>
    </w:p>
    <w:p w14:paraId="7532022F" w14:textId="7B74AEBC" w:rsidR="00465B27" w:rsidRDefault="004248F3" w:rsidP="004248F3">
      <w:r>
        <w:t>100 mg: zwei 50-mg-Beutel</w:t>
      </w:r>
    </w:p>
    <w:p w14:paraId="46606E43" w14:textId="78C8A414" w:rsidR="009C1FE3" w:rsidRDefault="009C1FE3" w:rsidP="004248F3"/>
    <w:p w14:paraId="282E3CA6" w14:textId="5F5D095B" w:rsidR="009C1FE3" w:rsidRDefault="009C1FE3" w:rsidP="009C1FE3">
      <w:r>
        <w:t xml:space="preserve">Tabelle 3: </w:t>
      </w:r>
      <w:r w:rsidR="0098453A" w:rsidRPr="0098453A">
        <w:t>Dabigatranetexilat</w:t>
      </w:r>
      <w:r>
        <w:t xml:space="preserve"> Granulat:</w:t>
      </w:r>
    </w:p>
    <w:p w14:paraId="444B9DA9" w14:textId="10D97789" w:rsidR="009C1FE3" w:rsidRDefault="009C1FE3" w:rsidP="009C1FE3">
      <w:r>
        <w:t xml:space="preserve">Einzeldosen und Tagesgesamtdosen in Milligramm (mg) für Patienten im Alter von 1 Jahr bis unter 12 Jahren. Die Dosen richten sich nach Körpergewicht in Kilogramm (kg) und Alter des Patienten in </w:t>
      </w:r>
      <w:r w:rsidRPr="003260A6">
        <w:rPr>
          <w:u w:val="single"/>
        </w:rPr>
        <w:t>Jahren</w:t>
      </w:r>
      <w:r>
        <w:t>.</w:t>
      </w:r>
    </w:p>
    <w:tbl>
      <w:tblPr>
        <w:tblStyle w:val="Tabellenraster"/>
        <w:tblW w:w="0" w:type="auto"/>
        <w:tblLook w:val="04A0" w:firstRow="1" w:lastRow="0" w:firstColumn="1" w:lastColumn="0" w:noHBand="0" w:noVBand="1"/>
      </w:tblPr>
      <w:tblGrid>
        <w:gridCol w:w="2265"/>
        <w:gridCol w:w="2265"/>
        <w:gridCol w:w="2266"/>
        <w:gridCol w:w="2266"/>
      </w:tblGrid>
      <w:tr w:rsidR="009C1FE3" w14:paraId="5F85F45E" w14:textId="77777777" w:rsidTr="00A31FA5">
        <w:tc>
          <w:tcPr>
            <w:tcW w:w="4530" w:type="dxa"/>
            <w:gridSpan w:val="2"/>
          </w:tcPr>
          <w:p w14:paraId="46199E82" w14:textId="77777777" w:rsidR="009C1FE3" w:rsidRDefault="009C1FE3" w:rsidP="00A31FA5">
            <w:pPr>
              <w:rPr>
                <w:b/>
                <w:bCs/>
              </w:rPr>
            </w:pPr>
            <w:r w:rsidRPr="00465B27">
              <w:rPr>
                <w:b/>
                <w:bCs/>
              </w:rPr>
              <w:t>Körpergewicht/Alter-Kombinationen</w:t>
            </w:r>
          </w:p>
        </w:tc>
        <w:tc>
          <w:tcPr>
            <w:tcW w:w="2266" w:type="dxa"/>
            <w:vMerge w:val="restart"/>
          </w:tcPr>
          <w:p w14:paraId="5FE2C5EE" w14:textId="77777777" w:rsidR="009C1FE3" w:rsidRDefault="009C1FE3" w:rsidP="00A31FA5">
            <w:pPr>
              <w:rPr>
                <w:b/>
                <w:bCs/>
              </w:rPr>
            </w:pPr>
            <w:r>
              <w:rPr>
                <w:b/>
                <w:spacing w:val="-2"/>
              </w:rPr>
              <w:t xml:space="preserve">Einzeldosis </w:t>
            </w:r>
            <w:r>
              <w:rPr>
                <w:b/>
              </w:rPr>
              <w:t>in mg</w:t>
            </w:r>
          </w:p>
        </w:tc>
        <w:tc>
          <w:tcPr>
            <w:tcW w:w="2266" w:type="dxa"/>
            <w:vMerge w:val="restart"/>
          </w:tcPr>
          <w:p w14:paraId="19D01A19" w14:textId="77777777" w:rsidR="009C1FE3" w:rsidRDefault="009C1FE3" w:rsidP="00A31FA5">
            <w:pPr>
              <w:rPr>
                <w:b/>
                <w:bCs/>
              </w:rPr>
            </w:pPr>
            <w:r>
              <w:rPr>
                <w:b/>
                <w:spacing w:val="-2"/>
              </w:rPr>
              <w:t xml:space="preserve">Tagesgesamtdosis </w:t>
            </w:r>
            <w:r>
              <w:rPr>
                <w:b/>
              </w:rPr>
              <w:t>in mg</w:t>
            </w:r>
          </w:p>
        </w:tc>
      </w:tr>
      <w:tr w:rsidR="009C1FE3" w14:paraId="74A4B6A6" w14:textId="77777777" w:rsidTr="00A31FA5">
        <w:tc>
          <w:tcPr>
            <w:tcW w:w="2265" w:type="dxa"/>
          </w:tcPr>
          <w:p w14:paraId="30FC9856" w14:textId="77777777" w:rsidR="009C1FE3" w:rsidRDefault="009C1FE3" w:rsidP="00A31FA5">
            <w:pPr>
              <w:rPr>
                <w:b/>
                <w:bCs/>
              </w:rPr>
            </w:pPr>
            <w:r>
              <w:rPr>
                <w:b/>
                <w:spacing w:val="-2"/>
              </w:rPr>
              <w:t xml:space="preserve">Körpergewicht </w:t>
            </w:r>
            <w:r>
              <w:rPr>
                <w:b/>
              </w:rPr>
              <w:t>in kg</w:t>
            </w:r>
          </w:p>
        </w:tc>
        <w:tc>
          <w:tcPr>
            <w:tcW w:w="2265" w:type="dxa"/>
          </w:tcPr>
          <w:p w14:paraId="656CDB14" w14:textId="4CD9EB99" w:rsidR="009C1FE3" w:rsidRDefault="009C1FE3" w:rsidP="00A31FA5">
            <w:pPr>
              <w:rPr>
                <w:b/>
                <w:bCs/>
              </w:rPr>
            </w:pPr>
            <w:r>
              <w:rPr>
                <w:b/>
              </w:rPr>
              <w:t xml:space="preserve">Alter in </w:t>
            </w:r>
            <w:r>
              <w:rPr>
                <w:b/>
                <w:color w:val="00ACE9"/>
                <w:spacing w:val="-4"/>
              </w:rPr>
              <w:t>JAHREN</w:t>
            </w:r>
          </w:p>
        </w:tc>
        <w:tc>
          <w:tcPr>
            <w:tcW w:w="2266" w:type="dxa"/>
            <w:vMerge/>
          </w:tcPr>
          <w:p w14:paraId="1C1D852E" w14:textId="77777777" w:rsidR="009C1FE3" w:rsidRDefault="009C1FE3" w:rsidP="00A31FA5">
            <w:pPr>
              <w:rPr>
                <w:b/>
                <w:bCs/>
              </w:rPr>
            </w:pPr>
          </w:p>
        </w:tc>
        <w:tc>
          <w:tcPr>
            <w:tcW w:w="2266" w:type="dxa"/>
            <w:vMerge/>
          </w:tcPr>
          <w:p w14:paraId="338AF34E" w14:textId="77777777" w:rsidR="009C1FE3" w:rsidRDefault="009C1FE3" w:rsidP="00A31FA5">
            <w:pPr>
              <w:rPr>
                <w:b/>
                <w:bCs/>
              </w:rPr>
            </w:pPr>
          </w:p>
        </w:tc>
      </w:tr>
      <w:tr w:rsidR="009C1FE3" w14:paraId="4E028CAD" w14:textId="77777777" w:rsidTr="00A31FA5">
        <w:tc>
          <w:tcPr>
            <w:tcW w:w="2265" w:type="dxa"/>
          </w:tcPr>
          <w:p w14:paraId="6DFFEACC" w14:textId="07789EB4" w:rsidR="009C1FE3" w:rsidRDefault="009C1FE3" w:rsidP="00A31FA5">
            <w:pPr>
              <w:rPr>
                <w:b/>
                <w:bCs/>
              </w:rPr>
            </w:pPr>
            <w:r>
              <w:t>5</w:t>
            </w:r>
            <w:r>
              <w:rPr>
                <w:spacing w:val="1"/>
              </w:rPr>
              <w:t xml:space="preserve"> </w:t>
            </w:r>
            <w:r>
              <w:t>bis</w:t>
            </w:r>
            <w:r>
              <w:rPr>
                <w:spacing w:val="1"/>
              </w:rPr>
              <w:t xml:space="preserve"> </w:t>
            </w:r>
            <w:r>
              <w:t xml:space="preserve">&lt; </w:t>
            </w:r>
            <w:r>
              <w:rPr>
                <w:spacing w:val="-10"/>
              </w:rPr>
              <w:t>7</w:t>
            </w:r>
          </w:p>
        </w:tc>
        <w:tc>
          <w:tcPr>
            <w:tcW w:w="2265" w:type="dxa"/>
          </w:tcPr>
          <w:p w14:paraId="0DDF94EA" w14:textId="5D5B70CB" w:rsidR="009C1FE3" w:rsidRDefault="00DC492D" w:rsidP="00A31FA5">
            <w:pPr>
              <w:rPr>
                <w:b/>
                <w:bCs/>
              </w:rPr>
            </w:pPr>
            <w:r>
              <w:t>1</w:t>
            </w:r>
            <w:r>
              <w:rPr>
                <w:spacing w:val="1"/>
              </w:rPr>
              <w:t xml:space="preserve"> </w:t>
            </w:r>
            <w:r>
              <w:t>bis</w:t>
            </w:r>
            <w:r>
              <w:rPr>
                <w:spacing w:val="1"/>
              </w:rPr>
              <w:t xml:space="preserve"> </w:t>
            </w:r>
            <w:r>
              <w:t xml:space="preserve">&lt; </w:t>
            </w:r>
            <w:r>
              <w:rPr>
                <w:spacing w:val="-10"/>
              </w:rPr>
              <w:t>2</w:t>
            </w:r>
          </w:p>
        </w:tc>
        <w:tc>
          <w:tcPr>
            <w:tcW w:w="2266" w:type="dxa"/>
          </w:tcPr>
          <w:p w14:paraId="556091C6" w14:textId="2068A1A9" w:rsidR="009C1FE3" w:rsidRDefault="00DC492D" w:rsidP="00A31FA5">
            <w:pPr>
              <w:rPr>
                <w:b/>
                <w:bCs/>
              </w:rPr>
            </w:pPr>
            <w:r>
              <w:rPr>
                <w:spacing w:val="-5"/>
              </w:rPr>
              <w:t>50</w:t>
            </w:r>
          </w:p>
        </w:tc>
        <w:tc>
          <w:tcPr>
            <w:tcW w:w="2266" w:type="dxa"/>
          </w:tcPr>
          <w:p w14:paraId="74C53EAE" w14:textId="1F169806" w:rsidR="009C1FE3" w:rsidRDefault="00DC492D" w:rsidP="00A31FA5">
            <w:pPr>
              <w:rPr>
                <w:b/>
                <w:bCs/>
              </w:rPr>
            </w:pPr>
            <w:r>
              <w:rPr>
                <w:spacing w:val="-5"/>
              </w:rPr>
              <w:t>100</w:t>
            </w:r>
          </w:p>
        </w:tc>
      </w:tr>
      <w:tr w:rsidR="009C1FE3" w14:paraId="4C0686D2" w14:textId="77777777" w:rsidTr="00A31FA5">
        <w:tc>
          <w:tcPr>
            <w:tcW w:w="2265" w:type="dxa"/>
            <w:vMerge w:val="restart"/>
          </w:tcPr>
          <w:p w14:paraId="1F6ACC40" w14:textId="4FB5BB79" w:rsidR="009C1FE3" w:rsidRDefault="00DC492D" w:rsidP="00A31FA5">
            <w:pPr>
              <w:rPr>
                <w:b/>
                <w:bCs/>
              </w:rPr>
            </w:pPr>
            <w:r>
              <w:t>7</w:t>
            </w:r>
            <w:r>
              <w:rPr>
                <w:spacing w:val="1"/>
              </w:rPr>
              <w:t xml:space="preserve"> </w:t>
            </w:r>
            <w:r>
              <w:t>bis</w:t>
            </w:r>
            <w:r>
              <w:rPr>
                <w:spacing w:val="1"/>
              </w:rPr>
              <w:t xml:space="preserve"> </w:t>
            </w:r>
            <w:r>
              <w:t xml:space="preserve">&lt; </w:t>
            </w:r>
            <w:r>
              <w:rPr>
                <w:spacing w:val="-10"/>
              </w:rPr>
              <w:t>9</w:t>
            </w:r>
          </w:p>
        </w:tc>
        <w:tc>
          <w:tcPr>
            <w:tcW w:w="2265" w:type="dxa"/>
          </w:tcPr>
          <w:p w14:paraId="5F2A6454" w14:textId="466CC4C9" w:rsidR="009C1FE3" w:rsidRDefault="00DC492D" w:rsidP="00A31FA5">
            <w:pPr>
              <w:rPr>
                <w:b/>
                <w:bCs/>
              </w:rPr>
            </w:pPr>
            <w:r>
              <w:t>1</w:t>
            </w:r>
            <w:r>
              <w:rPr>
                <w:spacing w:val="1"/>
              </w:rPr>
              <w:t xml:space="preserve"> </w:t>
            </w:r>
            <w:r>
              <w:t>bis</w:t>
            </w:r>
            <w:r>
              <w:rPr>
                <w:spacing w:val="1"/>
              </w:rPr>
              <w:t xml:space="preserve"> </w:t>
            </w:r>
            <w:r>
              <w:t xml:space="preserve">&lt; </w:t>
            </w:r>
            <w:r>
              <w:rPr>
                <w:spacing w:val="-10"/>
              </w:rPr>
              <w:t>2</w:t>
            </w:r>
          </w:p>
        </w:tc>
        <w:tc>
          <w:tcPr>
            <w:tcW w:w="2266" w:type="dxa"/>
          </w:tcPr>
          <w:p w14:paraId="7857C361" w14:textId="6EE83435" w:rsidR="009C1FE3" w:rsidRDefault="00DC492D" w:rsidP="00A31FA5">
            <w:pPr>
              <w:rPr>
                <w:b/>
                <w:bCs/>
              </w:rPr>
            </w:pPr>
            <w:r>
              <w:rPr>
                <w:spacing w:val="-5"/>
              </w:rPr>
              <w:t>60</w:t>
            </w:r>
          </w:p>
        </w:tc>
        <w:tc>
          <w:tcPr>
            <w:tcW w:w="2266" w:type="dxa"/>
          </w:tcPr>
          <w:p w14:paraId="59EF4A69" w14:textId="5AB3450A" w:rsidR="009C1FE3" w:rsidRDefault="00DC492D" w:rsidP="00A31FA5">
            <w:pPr>
              <w:rPr>
                <w:b/>
                <w:bCs/>
              </w:rPr>
            </w:pPr>
            <w:r>
              <w:rPr>
                <w:spacing w:val="-5"/>
              </w:rPr>
              <w:t>120</w:t>
            </w:r>
          </w:p>
        </w:tc>
      </w:tr>
      <w:tr w:rsidR="009C1FE3" w14:paraId="07D5D8C8" w14:textId="77777777" w:rsidTr="00A31FA5">
        <w:tc>
          <w:tcPr>
            <w:tcW w:w="2265" w:type="dxa"/>
            <w:vMerge/>
          </w:tcPr>
          <w:p w14:paraId="316EF69D" w14:textId="77777777" w:rsidR="009C1FE3" w:rsidRDefault="009C1FE3" w:rsidP="00A31FA5">
            <w:pPr>
              <w:rPr>
                <w:b/>
                <w:bCs/>
              </w:rPr>
            </w:pPr>
          </w:p>
        </w:tc>
        <w:tc>
          <w:tcPr>
            <w:tcW w:w="2265" w:type="dxa"/>
          </w:tcPr>
          <w:p w14:paraId="08F7B417" w14:textId="058C9E7E" w:rsidR="009C1FE3" w:rsidRDefault="00DC492D" w:rsidP="00A31FA5">
            <w:pPr>
              <w:rPr>
                <w:b/>
                <w:bCs/>
              </w:rPr>
            </w:pPr>
            <w:r>
              <w:t>2</w:t>
            </w:r>
            <w:r>
              <w:rPr>
                <w:spacing w:val="1"/>
              </w:rPr>
              <w:t xml:space="preserve"> </w:t>
            </w:r>
            <w:r>
              <w:t>bis</w:t>
            </w:r>
            <w:r>
              <w:rPr>
                <w:spacing w:val="1"/>
              </w:rPr>
              <w:t xml:space="preserve"> </w:t>
            </w:r>
            <w:r>
              <w:t xml:space="preserve">&lt; </w:t>
            </w:r>
            <w:r>
              <w:rPr>
                <w:spacing w:val="-10"/>
              </w:rPr>
              <w:t>4</w:t>
            </w:r>
          </w:p>
        </w:tc>
        <w:tc>
          <w:tcPr>
            <w:tcW w:w="2266" w:type="dxa"/>
          </w:tcPr>
          <w:p w14:paraId="21C47BAC" w14:textId="41FB7B23" w:rsidR="009C1FE3" w:rsidRDefault="00DC492D" w:rsidP="00A31FA5">
            <w:pPr>
              <w:rPr>
                <w:b/>
                <w:bCs/>
              </w:rPr>
            </w:pPr>
            <w:r>
              <w:rPr>
                <w:spacing w:val="-5"/>
              </w:rPr>
              <w:t>70</w:t>
            </w:r>
          </w:p>
        </w:tc>
        <w:tc>
          <w:tcPr>
            <w:tcW w:w="2266" w:type="dxa"/>
          </w:tcPr>
          <w:p w14:paraId="09C93A7F" w14:textId="0AC59A03" w:rsidR="009C1FE3" w:rsidRDefault="00DC492D" w:rsidP="00A31FA5">
            <w:pPr>
              <w:rPr>
                <w:b/>
                <w:bCs/>
              </w:rPr>
            </w:pPr>
            <w:r>
              <w:rPr>
                <w:spacing w:val="-5"/>
              </w:rPr>
              <w:t>140</w:t>
            </w:r>
          </w:p>
        </w:tc>
      </w:tr>
      <w:tr w:rsidR="009C1FE3" w14:paraId="21B0354E" w14:textId="77777777" w:rsidTr="00A31FA5">
        <w:tc>
          <w:tcPr>
            <w:tcW w:w="2265" w:type="dxa"/>
            <w:vMerge w:val="restart"/>
          </w:tcPr>
          <w:p w14:paraId="26AEED7C" w14:textId="2CB51B02" w:rsidR="009C1FE3" w:rsidRDefault="00DC492D" w:rsidP="00A31FA5">
            <w:pPr>
              <w:rPr>
                <w:b/>
                <w:bCs/>
              </w:rPr>
            </w:pPr>
            <w:r>
              <w:t>9</w:t>
            </w:r>
            <w:r>
              <w:rPr>
                <w:spacing w:val="1"/>
              </w:rPr>
              <w:t xml:space="preserve"> </w:t>
            </w:r>
            <w:r>
              <w:t>bis</w:t>
            </w:r>
            <w:r>
              <w:rPr>
                <w:spacing w:val="1"/>
              </w:rPr>
              <w:t xml:space="preserve"> </w:t>
            </w:r>
            <w:r>
              <w:t xml:space="preserve">&lt; </w:t>
            </w:r>
            <w:r>
              <w:rPr>
                <w:spacing w:val="-5"/>
              </w:rPr>
              <w:t>11</w:t>
            </w:r>
          </w:p>
        </w:tc>
        <w:tc>
          <w:tcPr>
            <w:tcW w:w="2265" w:type="dxa"/>
          </w:tcPr>
          <w:p w14:paraId="1FD97408" w14:textId="65C2ADB7" w:rsidR="009C1FE3" w:rsidRDefault="00DC492D" w:rsidP="00A31FA5">
            <w:pPr>
              <w:rPr>
                <w:b/>
                <w:bCs/>
              </w:rPr>
            </w:pPr>
            <w:r>
              <w:t>1</w:t>
            </w:r>
            <w:r>
              <w:rPr>
                <w:spacing w:val="1"/>
              </w:rPr>
              <w:t xml:space="preserve"> </w:t>
            </w:r>
            <w:r>
              <w:t>bis</w:t>
            </w:r>
            <w:r>
              <w:rPr>
                <w:spacing w:val="1"/>
              </w:rPr>
              <w:t xml:space="preserve"> </w:t>
            </w:r>
            <w:r>
              <w:t xml:space="preserve">&lt; </w:t>
            </w:r>
            <w:r>
              <w:rPr>
                <w:spacing w:val="-5"/>
              </w:rPr>
              <w:t>1,5</w:t>
            </w:r>
          </w:p>
        </w:tc>
        <w:tc>
          <w:tcPr>
            <w:tcW w:w="2266" w:type="dxa"/>
          </w:tcPr>
          <w:p w14:paraId="74452368" w14:textId="188CDE9B" w:rsidR="009C1FE3" w:rsidRDefault="00DC492D" w:rsidP="00A31FA5">
            <w:pPr>
              <w:rPr>
                <w:b/>
                <w:bCs/>
              </w:rPr>
            </w:pPr>
            <w:r>
              <w:rPr>
                <w:spacing w:val="-5"/>
              </w:rPr>
              <w:t>70</w:t>
            </w:r>
          </w:p>
        </w:tc>
        <w:tc>
          <w:tcPr>
            <w:tcW w:w="2266" w:type="dxa"/>
          </w:tcPr>
          <w:p w14:paraId="1B6C3815" w14:textId="5129BFE5" w:rsidR="009C1FE3" w:rsidRDefault="00DC492D" w:rsidP="00A31FA5">
            <w:pPr>
              <w:rPr>
                <w:b/>
                <w:bCs/>
              </w:rPr>
            </w:pPr>
            <w:r>
              <w:rPr>
                <w:spacing w:val="-5"/>
              </w:rPr>
              <w:t>140</w:t>
            </w:r>
          </w:p>
        </w:tc>
      </w:tr>
      <w:tr w:rsidR="009C1FE3" w14:paraId="71884BA6" w14:textId="77777777" w:rsidTr="00A31FA5">
        <w:tc>
          <w:tcPr>
            <w:tcW w:w="2265" w:type="dxa"/>
            <w:vMerge/>
          </w:tcPr>
          <w:p w14:paraId="7FF9A33C" w14:textId="77777777" w:rsidR="009C1FE3" w:rsidRDefault="009C1FE3" w:rsidP="00A31FA5">
            <w:pPr>
              <w:rPr>
                <w:b/>
                <w:bCs/>
              </w:rPr>
            </w:pPr>
          </w:p>
        </w:tc>
        <w:tc>
          <w:tcPr>
            <w:tcW w:w="2265" w:type="dxa"/>
          </w:tcPr>
          <w:p w14:paraId="26F833F4" w14:textId="03133B42" w:rsidR="009C1FE3" w:rsidRDefault="00DC492D" w:rsidP="00A31FA5">
            <w:pPr>
              <w:rPr>
                <w:b/>
                <w:bCs/>
              </w:rPr>
            </w:pPr>
            <w:r>
              <w:t>1,5</w:t>
            </w:r>
            <w:r>
              <w:rPr>
                <w:spacing w:val="-6"/>
              </w:rPr>
              <w:t xml:space="preserve"> </w:t>
            </w:r>
            <w:r>
              <w:t>bis</w:t>
            </w:r>
            <w:r>
              <w:rPr>
                <w:spacing w:val="-5"/>
              </w:rPr>
              <w:t xml:space="preserve"> </w:t>
            </w:r>
            <w:r>
              <w:t>&lt;</w:t>
            </w:r>
            <w:r>
              <w:rPr>
                <w:spacing w:val="-5"/>
              </w:rPr>
              <w:t xml:space="preserve"> </w:t>
            </w:r>
            <w:r>
              <w:rPr>
                <w:spacing w:val="-10"/>
              </w:rPr>
              <w:t>7</w:t>
            </w:r>
          </w:p>
        </w:tc>
        <w:tc>
          <w:tcPr>
            <w:tcW w:w="2266" w:type="dxa"/>
          </w:tcPr>
          <w:p w14:paraId="1AEDD48F" w14:textId="7BF0FB86" w:rsidR="009C1FE3" w:rsidRDefault="00DC492D" w:rsidP="00A31FA5">
            <w:pPr>
              <w:rPr>
                <w:b/>
                <w:bCs/>
              </w:rPr>
            </w:pPr>
            <w:r>
              <w:rPr>
                <w:spacing w:val="-5"/>
              </w:rPr>
              <w:t>80</w:t>
            </w:r>
          </w:p>
        </w:tc>
        <w:tc>
          <w:tcPr>
            <w:tcW w:w="2266" w:type="dxa"/>
          </w:tcPr>
          <w:p w14:paraId="31003F47" w14:textId="67A5EE1A" w:rsidR="009C1FE3" w:rsidRDefault="00DC492D" w:rsidP="00A31FA5">
            <w:pPr>
              <w:rPr>
                <w:b/>
                <w:bCs/>
              </w:rPr>
            </w:pPr>
            <w:r>
              <w:rPr>
                <w:spacing w:val="-5"/>
              </w:rPr>
              <w:t>160</w:t>
            </w:r>
          </w:p>
        </w:tc>
      </w:tr>
      <w:tr w:rsidR="009C1FE3" w14:paraId="4C0596B3" w14:textId="77777777" w:rsidTr="00A31FA5">
        <w:tc>
          <w:tcPr>
            <w:tcW w:w="2265" w:type="dxa"/>
            <w:vMerge w:val="restart"/>
          </w:tcPr>
          <w:p w14:paraId="61A0A2A4" w14:textId="52836D7B" w:rsidR="009C1FE3" w:rsidRDefault="00DC492D" w:rsidP="00A31FA5">
            <w:pPr>
              <w:rPr>
                <w:b/>
                <w:bCs/>
              </w:rPr>
            </w:pPr>
            <w:r>
              <w:t>11</w:t>
            </w:r>
            <w:r>
              <w:rPr>
                <w:spacing w:val="-10"/>
              </w:rPr>
              <w:t xml:space="preserve"> </w:t>
            </w:r>
            <w:r>
              <w:t>bis</w:t>
            </w:r>
            <w:r>
              <w:rPr>
                <w:spacing w:val="-9"/>
              </w:rPr>
              <w:t xml:space="preserve"> </w:t>
            </w:r>
            <w:r>
              <w:t>&lt;</w:t>
            </w:r>
            <w:r>
              <w:rPr>
                <w:spacing w:val="-9"/>
              </w:rPr>
              <w:t xml:space="preserve"> </w:t>
            </w:r>
            <w:r>
              <w:rPr>
                <w:spacing w:val="-5"/>
              </w:rPr>
              <w:t>13</w:t>
            </w:r>
          </w:p>
        </w:tc>
        <w:tc>
          <w:tcPr>
            <w:tcW w:w="2265" w:type="dxa"/>
          </w:tcPr>
          <w:p w14:paraId="6A8C5281" w14:textId="1E36A151" w:rsidR="009C1FE3" w:rsidRDefault="00DC492D" w:rsidP="00A31FA5">
            <w:pPr>
              <w:rPr>
                <w:b/>
                <w:bCs/>
              </w:rPr>
            </w:pPr>
            <w:r>
              <w:t>1</w:t>
            </w:r>
            <w:r>
              <w:rPr>
                <w:spacing w:val="1"/>
              </w:rPr>
              <w:t xml:space="preserve"> </w:t>
            </w:r>
            <w:r>
              <w:t>bis</w:t>
            </w:r>
            <w:r>
              <w:rPr>
                <w:spacing w:val="1"/>
              </w:rPr>
              <w:t xml:space="preserve"> </w:t>
            </w:r>
            <w:r>
              <w:t xml:space="preserve">&lt; </w:t>
            </w:r>
            <w:r>
              <w:rPr>
                <w:spacing w:val="-5"/>
              </w:rPr>
              <w:t>1,5</w:t>
            </w:r>
          </w:p>
        </w:tc>
        <w:tc>
          <w:tcPr>
            <w:tcW w:w="2266" w:type="dxa"/>
          </w:tcPr>
          <w:p w14:paraId="24461268" w14:textId="4D4F6BCE" w:rsidR="009C1FE3" w:rsidRDefault="00DC492D" w:rsidP="00A31FA5">
            <w:pPr>
              <w:rPr>
                <w:b/>
                <w:bCs/>
              </w:rPr>
            </w:pPr>
            <w:r>
              <w:rPr>
                <w:spacing w:val="-5"/>
              </w:rPr>
              <w:t>80</w:t>
            </w:r>
          </w:p>
        </w:tc>
        <w:tc>
          <w:tcPr>
            <w:tcW w:w="2266" w:type="dxa"/>
          </w:tcPr>
          <w:p w14:paraId="2F3CD6B4" w14:textId="1FF81E86" w:rsidR="009C1FE3" w:rsidRDefault="00DC492D" w:rsidP="00A31FA5">
            <w:pPr>
              <w:rPr>
                <w:b/>
                <w:bCs/>
              </w:rPr>
            </w:pPr>
            <w:r>
              <w:rPr>
                <w:spacing w:val="-5"/>
              </w:rPr>
              <w:t>160</w:t>
            </w:r>
          </w:p>
        </w:tc>
      </w:tr>
      <w:tr w:rsidR="009C1FE3" w14:paraId="2B6DD0CC" w14:textId="77777777" w:rsidTr="00A31FA5">
        <w:tc>
          <w:tcPr>
            <w:tcW w:w="2265" w:type="dxa"/>
            <w:vMerge/>
          </w:tcPr>
          <w:p w14:paraId="0D732CAB" w14:textId="77777777" w:rsidR="009C1FE3" w:rsidRDefault="009C1FE3" w:rsidP="00A31FA5">
            <w:pPr>
              <w:rPr>
                <w:b/>
                <w:bCs/>
              </w:rPr>
            </w:pPr>
          </w:p>
        </w:tc>
        <w:tc>
          <w:tcPr>
            <w:tcW w:w="2265" w:type="dxa"/>
          </w:tcPr>
          <w:p w14:paraId="16855538" w14:textId="5031D3DA" w:rsidR="009C1FE3" w:rsidRDefault="00DC492D" w:rsidP="00A31FA5">
            <w:pPr>
              <w:rPr>
                <w:b/>
                <w:bCs/>
              </w:rPr>
            </w:pPr>
            <w:r>
              <w:t>1,5</w:t>
            </w:r>
            <w:r>
              <w:rPr>
                <w:spacing w:val="-6"/>
              </w:rPr>
              <w:t xml:space="preserve"> </w:t>
            </w:r>
            <w:r>
              <w:t>bis</w:t>
            </w:r>
            <w:r>
              <w:rPr>
                <w:spacing w:val="-5"/>
              </w:rPr>
              <w:t xml:space="preserve"> </w:t>
            </w:r>
            <w:r>
              <w:t>&lt;</w:t>
            </w:r>
            <w:r>
              <w:rPr>
                <w:spacing w:val="-5"/>
              </w:rPr>
              <w:t xml:space="preserve"> 2,5</w:t>
            </w:r>
          </w:p>
        </w:tc>
        <w:tc>
          <w:tcPr>
            <w:tcW w:w="2266" w:type="dxa"/>
          </w:tcPr>
          <w:p w14:paraId="1423088F" w14:textId="4E0B3EEF" w:rsidR="009C1FE3" w:rsidRDefault="00DC492D" w:rsidP="00A31FA5">
            <w:pPr>
              <w:rPr>
                <w:b/>
                <w:bCs/>
              </w:rPr>
            </w:pPr>
            <w:r>
              <w:rPr>
                <w:spacing w:val="-5"/>
              </w:rPr>
              <w:t>100</w:t>
            </w:r>
          </w:p>
        </w:tc>
        <w:tc>
          <w:tcPr>
            <w:tcW w:w="2266" w:type="dxa"/>
          </w:tcPr>
          <w:p w14:paraId="1F0C06CE" w14:textId="39844A74" w:rsidR="009C1FE3" w:rsidRDefault="00DC492D" w:rsidP="00A31FA5">
            <w:pPr>
              <w:rPr>
                <w:b/>
                <w:bCs/>
              </w:rPr>
            </w:pPr>
            <w:r>
              <w:rPr>
                <w:spacing w:val="-5"/>
              </w:rPr>
              <w:t>200</w:t>
            </w:r>
          </w:p>
        </w:tc>
      </w:tr>
      <w:tr w:rsidR="009C1FE3" w14:paraId="69733E7B" w14:textId="77777777" w:rsidTr="00A31FA5">
        <w:tc>
          <w:tcPr>
            <w:tcW w:w="2265" w:type="dxa"/>
            <w:vMerge/>
          </w:tcPr>
          <w:p w14:paraId="2EEFF249" w14:textId="77777777" w:rsidR="009C1FE3" w:rsidRDefault="009C1FE3" w:rsidP="00A31FA5">
            <w:pPr>
              <w:rPr>
                <w:b/>
                <w:bCs/>
              </w:rPr>
            </w:pPr>
          </w:p>
        </w:tc>
        <w:tc>
          <w:tcPr>
            <w:tcW w:w="2265" w:type="dxa"/>
          </w:tcPr>
          <w:p w14:paraId="462E9BA2" w14:textId="7018A6F1" w:rsidR="009C1FE3" w:rsidRDefault="00DC492D" w:rsidP="00A31FA5">
            <w:pPr>
              <w:rPr>
                <w:b/>
                <w:bCs/>
              </w:rPr>
            </w:pPr>
            <w:r>
              <w:t>2,5</w:t>
            </w:r>
            <w:r>
              <w:rPr>
                <w:spacing w:val="-1"/>
              </w:rPr>
              <w:t xml:space="preserve"> </w:t>
            </w:r>
            <w:r>
              <w:t>bis</w:t>
            </w:r>
            <w:r>
              <w:rPr>
                <w:spacing w:val="-1"/>
              </w:rPr>
              <w:t xml:space="preserve"> </w:t>
            </w:r>
            <w:r>
              <w:t>&lt;</w:t>
            </w:r>
            <w:r>
              <w:rPr>
                <w:spacing w:val="-1"/>
              </w:rPr>
              <w:t xml:space="preserve"> </w:t>
            </w:r>
            <w:r>
              <w:rPr>
                <w:spacing w:val="-10"/>
              </w:rPr>
              <w:t>9</w:t>
            </w:r>
          </w:p>
        </w:tc>
        <w:tc>
          <w:tcPr>
            <w:tcW w:w="2266" w:type="dxa"/>
          </w:tcPr>
          <w:p w14:paraId="051569C6" w14:textId="6B27992F" w:rsidR="009C1FE3" w:rsidRDefault="00DC492D" w:rsidP="00A31FA5">
            <w:pPr>
              <w:rPr>
                <w:b/>
                <w:bCs/>
              </w:rPr>
            </w:pPr>
            <w:r>
              <w:rPr>
                <w:spacing w:val="-5"/>
              </w:rPr>
              <w:t>110</w:t>
            </w:r>
          </w:p>
        </w:tc>
        <w:tc>
          <w:tcPr>
            <w:tcW w:w="2266" w:type="dxa"/>
          </w:tcPr>
          <w:p w14:paraId="21879531" w14:textId="7BABC82F" w:rsidR="009C1FE3" w:rsidRDefault="00DC492D" w:rsidP="00A31FA5">
            <w:pPr>
              <w:rPr>
                <w:b/>
                <w:bCs/>
              </w:rPr>
            </w:pPr>
            <w:r>
              <w:rPr>
                <w:spacing w:val="-5"/>
              </w:rPr>
              <w:t>220</w:t>
            </w:r>
          </w:p>
        </w:tc>
      </w:tr>
      <w:tr w:rsidR="009C1FE3" w14:paraId="69D398FF" w14:textId="77777777" w:rsidTr="00A31FA5">
        <w:tc>
          <w:tcPr>
            <w:tcW w:w="2265" w:type="dxa"/>
            <w:vMerge w:val="restart"/>
          </w:tcPr>
          <w:p w14:paraId="0530F20B" w14:textId="4F06E200" w:rsidR="009C1FE3" w:rsidRDefault="00DC492D" w:rsidP="00A31FA5">
            <w:pPr>
              <w:rPr>
                <w:b/>
                <w:bCs/>
              </w:rPr>
            </w:pPr>
            <w:r>
              <w:t>13</w:t>
            </w:r>
            <w:r>
              <w:rPr>
                <w:spacing w:val="-5"/>
              </w:rPr>
              <w:t xml:space="preserve"> </w:t>
            </w:r>
            <w:r>
              <w:t>bis</w:t>
            </w:r>
            <w:r>
              <w:rPr>
                <w:spacing w:val="-4"/>
              </w:rPr>
              <w:t xml:space="preserve"> </w:t>
            </w:r>
            <w:r>
              <w:t>&lt;</w:t>
            </w:r>
            <w:r>
              <w:rPr>
                <w:spacing w:val="-5"/>
              </w:rPr>
              <w:t xml:space="preserve"> 16</w:t>
            </w:r>
          </w:p>
        </w:tc>
        <w:tc>
          <w:tcPr>
            <w:tcW w:w="2265" w:type="dxa"/>
          </w:tcPr>
          <w:p w14:paraId="41C23F0D" w14:textId="7B0912CA" w:rsidR="009C1FE3" w:rsidRDefault="00DC492D" w:rsidP="00A31FA5">
            <w:pPr>
              <w:rPr>
                <w:b/>
                <w:bCs/>
              </w:rPr>
            </w:pPr>
            <w:r>
              <w:t>1</w:t>
            </w:r>
            <w:r>
              <w:rPr>
                <w:spacing w:val="1"/>
              </w:rPr>
              <w:t xml:space="preserve"> </w:t>
            </w:r>
            <w:r>
              <w:t>bis</w:t>
            </w:r>
            <w:r>
              <w:rPr>
                <w:spacing w:val="1"/>
              </w:rPr>
              <w:t xml:space="preserve"> </w:t>
            </w:r>
            <w:r>
              <w:t xml:space="preserve">&lt; </w:t>
            </w:r>
            <w:r>
              <w:rPr>
                <w:spacing w:val="-5"/>
              </w:rPr>
              <w:t>1,5</w:t>
            </w:r>
          </w:p>
        </w:tc>
        <w:tc>
          <w:tcPr>
            <w:tcW w:w="2266" w:type="dxa"/>
          </w:tcPr>
          <w:p w14:paraId="53F9B242" w14:textId="44B1A5DC" w:rsidR="009C1FE3" w:rsidRDefault="00DC492D" w:rsidP="00A31FA5">
            <w:pPr>
              <w:rPr>
                <w:b/>
                <w:bCs/>
              </w:rPr>
            </w:pPr>
            <w:r>
              <w:rPr>
                <w:spacing w:val="-5"/>
              </w:rPr>
              <w:t>100</w:t>
            </w:r>
          </w:p>
        </w:tc>
        <w:tc>
          <w:tcPr>
            <w:tcW w:w="2266" w:type="dxa"/>
          </w:tcPr>
          <w:p w14:paraId="2D387455" w14:textId="19C1174C" w:rsidR="009C1FE3" w:rsidRDefault="00DC492D" w:rsidP="00A31FA5">
            <w:pPr>
              <w:rPr>
                <w:b/>
                <w:bCs/>
              </w:rPr>
            </w:pPr>
            <w:r>
              <w:rPr>
                <w:spacing w:val="-5"/>
              </w:rPr>
              <w:t>200</w:t>
            </w:r>
          </w:p>
        </w:tc>
      </w:tr>
      <w:tr w:rsidR="009C1FE3" w14:paraId="1F13BF58" w14:textId="77777777" w:rsidTr="00A31FA5">
        <w:tc>
          <w:tcPr>
            <w:tcW w:w="2265" w:type="dxa"/>
            <w:vMerge/>
          </w:tcPr>
          <w:p w14:paraId="75A170B6" w14:textId="77777777" w:rsidR="009C1FE3" w:rsidRDefault="009C1FE3" w:rsidP="00A31FA5">
            <w:pPr>
              <w:rPr>
                <w:b/>
                <w:bCs/>
              </w:rPr>
            </w:pPr>
          </w:p>
        </w:tc>
        <w:tc>
          <w:tcPr>
            <w:tcW w:w="2265" w:type="dxa"/>
          </w:tcPr>
          <w:p w14:paraId="4D6DDC8B" w14:textId="42D5445F" w:rsidR="009C1FE3" w:rsidRDefault="00DC492D" w:rsidP="00A31FA5">
            <w:pPr>
              <w:rPr>
                <w:b/>
                <w:bCs/>
              </w:rPr>
            </w:pPr>
            <w:r>
              <w:t>1,5</w:t>
            </w:r>
            <w:r>
              <w:rPr>
                <w:spacing w:val="-6"/>
              </w:rPr>
              <w:t xml:space="preserve"> </w:t>
            </w:r>
            <w:r>
              <w:t>bis</w:t>
            </w:r>
            <w:r>
              <w:rPr>
                <w:spacing w:val="-5"/>
              </w:rPr>
              <w:t xml:space="preserve"> </w:t>
            </w:r>
            <w:r>
              <w:t>&lt;</w:t>
            </w:r>
            <w:r>
              <w:rPr>
                <w:spacing w:val="-5"/>
              </w:rPr>
              <w:t xml:space="preserve"> </w:t>
            </w:r>
            <w:r>
              <w:rPr>
                <w:spacing w:val="-10"/>
              </w:rPr>
              <w:t>2</w:t>
            </w:r>
          </w:p>
        </w:tc>
        <w:tc>
          <w:tcPr>
            <w:tcW w:w="2266" w:type="dxa"/>
          </w:tcPr>
          <w:p w14:paraId="0AB2A607" w14:textId="579E1D5E" w:rsidR="009C1FE3" w:rsidRDefault="00DC492D" w:rsidP="00A31FA5">
            <w:pPr>
              <w:rPr>
                <w:b/>
                <w:bCs/>
              </w:rPr>
            </w:pPr>
            <w:r>
              <w:rPr>
                <w:spacing w:val="-5"/>
              </w:rPr>
              <w:t>110</w:t>
            </w:r>
          </w:p>
        </w:tc>
        <w:tc>
          <w:tcPr>
            <w:tcW w:w="2266" w:type="dxa"/>
          </w:tcPr>
          <w:p w14:paraId="029812BE" w14:textId="7CECABDD" w:rsidR="009C1FE3" w:rsidRDefault="00DC492D" w:rsidP="00A31FA5">
            <w:pPr>
              <w:rPr>
                <w:b/>
                <w:bCs/>
              </w:rPr>
            </w:pPr>
            <w:r>
              <w:rPr>
                <w:spacing w:val="-5"/>
              </w:rPr>
              <w:t>220</w:t>
            </w:r>
          </w:p>
        </w:tc>
      </w:tr>
      <w:tr w:rsidR="009C1FE3" w14:paraId="7B48EEB6" w14:textId="77777777" w:rsidTr="00A31FA5">
        <w:tc>
          <w:tcPr>
            <w:tcW w:w="2265" w:type="dxa"/>
            <w:vMerge/>
          </w:tcPr>
          <w:p w14:paraId="53A04EEA" w14:textId="77777777" w:rsidR="009C1FE3" w:rsidRDefault="009C1FE3" w:rsidP="00A31FA5">
            <w:pPr>
              <w:rPr>
                <w:b/>
                <w:bCs/>
              </w:rPr>
            </w:pPr>
          </w:p>
        </w:tc>
        <w:tc>
          <w:tcPr>
            <w:tcW w:w="2265" w:type="dxa"/>
          </w:tcPr>
          <w:p w14:paraId="48003D7A" w14:textId="7ABD6C7D" w:rsidR="009C1FE3" w:rsidRDefault="00DC492D" w:rsidP="00A31FA5">
            <w:pPr>
              <w:rPr>
                <w:b/>
                <w:bCs/>
              </w:rPr>
            </w:pPr>
            <w:r>
              <w:t>2</w:t>
            </w:r>
            <w:r>
              <w:rPr>
                <w:spacing w:val="1"/>
              </w:rPr>
              <w:t xml:space="preserve"> </w:t>
            </w:r>
            <w:r>
              <w:t>bis</w:t>
            </w:r>
            <w:r>
              <w:rPr>
                <w:spacing w:val="1"/>
              </w:rPr>
              <w:t xml:space="preserve"> </w:t>
            </w:r>
            <w:r>
              <w:t xml:space="preserve">&lt; </w:t>
            </w:r>
            <w:r>
              <w:rPr>
                <w:spacing w:val="-5"/>
              </w:rPr>
              <w:t>12</w:t>
            </w:r>
          </w:p>
        </w:tc>
        <w:tc>
          <w:tcPr>
            <w:tcW w:w="2266" w:type="dxa"/>
          </w:tcPr>
          <w:p w14:paraId="4C433C53" w14:textId="450AAF83" w:rsidR="009C1FE3" w:rsidRDefault="00DC492D" w:rsidP="00A31FA5">
            <w:pPr>
              <w:rPr>
                <w:b/>
                <w:bCs/>
              </w:rPr>
            </w:pPr>
            <w:r>
              <w:rPr>
                <w:spacing w:val="-5"/>
              </w:rPr>
              <w:t>140</w:t>
            </w:r>
          </w:p>
        </w:tc>
        <w:tc>
          <w:tcPr>
            <w:tcW w:w="2266" w:type="dxa"/>
          </w:tcPr>
          <w:p w14:paraId="4A6E0F2C" w14:textId="460C70DE" w:rsidR="009C1FE3" w:rsidRDefault="00DC492D" w:rsidP="00A31FA5">
            <w:pPr>
              <w:rPr>
                <w:b/>
                <w:bCs/>
              </w:rPr>
            </w:pPr>
            <w:r>
              <w:rPr>
                <w:spacing w:val="-5"/>
              </w:rPr>
              <w:t>280</w:t>
            </w:r>
          </w:p>
        </w:tc>
      </w:tr>
      <w:tr w:rsidR="009C1FE3" w14:paraId="7D9FE066" w14:textId="77777777" w:rsidTr="00A31FA5">
        <w:tc>
          <w:tcPr>
            <w:tcW w:w="2265" w:type="dxa"/>
            <w:vMerge w:val="restart"/>
          </w:tcPr>
          <w:p w14:paraId="37FAB341" w14:textId="47A26F87" w:rsidR="009C1FE3" w:rsidRDefault="00DC492D" w:rsidP="00A31FA5">
            <w:pPr>
              <w:rPr>
                <w:b/>
                <w:bCs/>
              </w:rPr>
            </w:pPr>
            <w:r>
              <w:t>16</w:t>
            </w:r>
            <w:r>
              <w:rPr>
                <w:spacing w:val="-5"/>
              </w:rPr>
              <w:t xml:space="preserve"> </w:t>
            </w:r>
            <w:r>
              <w:t>bis</w:t>
            </w:r>
            <w:r>
              <w:rPr>
                <w:spacing w:val="-4"/>
              </w:rPr>
              <w:t xml:space="preserve"> </w:t>
            </w:r>
            <w:r>
              <w:t>&lt;</w:t>
            </w:r>
            <w:r>
              <w:rPr>
                <w:spacing w:val="-4"/>
              </w:rPr>
              <w:t xml:space="preserve"> </w:t>
            </w:r>
            <w:r>
              <w:rPr>
                <w:spacing w:val="-5"/>
              </w:rPr>
              <w:t>21</w:t>
            </w:r>
          </w:p>
        </w:tc>
        <w:tc>
          <w:tcPr>
            <w:tcW w:w="2265" w:type="dxa"/>
          </w:tcPr>
          <w:p w14:paraId="27BB9743" w14:textId="2069B86E" w:rsidR="009C1FE3" w:rsidRDefault="00DC492D" w:rsidP="00A31FA5">
            <w:pPr>
              <w:rPr>
                <w:b/>
                <w:bCs/>
              </w:rPr>
            </w:pPr>
            <w:r>
              <w:t>1</w:t>
            </w:r>
            <w:r>
              <w:rPr>
                <w:spacing w:val="1"/>
              </w:rPr>
              <w:t xml:space="preserve"> </w:t>
            </w:r>
            <w:r>
              <w:t>bis</w:t>
            </w:r>
            <w:r>
              <w:rPr>
                <w:spacing w:val="1"/>
              </w:rPr>
              <w:t xml:space="preserve"> </w:t>
            </w:r>
            <w:r>
              <w:t xml:space="preserve">&lt; </w:t>
            </w:r>
            <w:r>
              <w:rPr>
                <w:spacing w:val="-10"/>
              </w:rPr>
              <w:t>2</w:t>
            </w:r>
          </w:p>
        </w:tc>
        <w:tc>
          <w:tcPr>
            <w:tcW w:w="2266" w:type="dxa"/>
          </w:tcPr>
          <w:p w14:paraId="62A6A63A" w14:textId="0651BE7C" w:rsidR="009C1FE3" w:rsidRDefault="00DC492D" w:rsidP="00A31FA5">
            <w:pPr>
              <w:rPr>
                <w:b/>
                <w:bCs/>
              </w:rPr>
            </w:pPr>
            <w:r>
              <w:rPr>
                <w:spacing w:val="-5"/>
              </w:rPr>
              <w:t>110</w:t>
            </w:r>
          </w:p>
        </w:tc>
        <w:tc>
          <w:tcPr>
            <w:tcW w:w="2266" w:type="dxa"/>
          </w:tcPr>
          <w:p w14:paraId="2E43E473" w14:textId="7B61383C" w:rsidR="009C1FE3" w:rsidRDefault="00DC492D" w:rsidP="00A31FA5">
            <w:pPr>
              <w:rPr>
                <w:b/>
                <w:bCs/>
              </w:rPr>
            </w:pPr>
            <w:r>
              <w:rPr>
                <w:spacing w:val="-5"/>
              </w:rPr>
              <w:t>220</w:t>
            </w:r>
          </w:p>
        </w:tc>
      </w:tr>
      <w:tr w:rsidR="009C1FE3" w14:paraId="29CEB8C0" w14:textId="77777777" w:rsidTr="00A31FA5">
        <w:tc>
          <w:tcPr>
            <w:tcW w:w="2265" w:type="dxa"/>
            <w:vMerge/>
          </w:tcPr>
          <w:p w14:paraId="797093F9" w14:textId="77777777" w:rsidR="009C1FE3" w:rsidRDefault="009C1FE3" w:rsidP="00A31FA5">
            <w:pPr>
              <w:rPr>
                <w:b/>
                <w:bCs/>
              </w:rPr>
            </w:pPr>
          </w:p>
        </w:tc>
        <w:tc>
          <w:tcPr>
            <w:tcW w:w="2265" w:type="dxa"/>
          </w:tcPr>
          <w:p w14:paraId="6EE9BF73" w14:textId="12FE00C6" w:rsidR="009C1FE3" w:rsidRDefault="00DC492D" w:rsidP="00A31FA5">
            <w:pPr>
              <w:rPr>
                <w:b/>
                <w:bCs/>
              </w:rPr>
            </w:pPr>
            <w:r>
              <w:t>2</w:t>
            </w:r>
            <w:r>
              <w:rPr>
                <w:spacing w:val="1"/>
              </w:rPr>
              <w:t xml:space="preserve"> </w:t>
            </w:r>
            <w:r>
              <w:t>bis</w:t>
            </w:r>
            <w:r>
              <w:rPr>
                <w:spacing w:val="1"/>
              </w:rPr>
              <w:t xml:space="preserve"> </w:t>
            </w:r>
            <w:r>
              <w:t xml:space="preserve">&lt; </w:t>
            </w:r>
            <w:r>
              <w:rPr>
                <w:spacing w:val="-5"/>
              </w:rPr>
              <w:t>12</w:t>
            </w:r>
          </w:p>
        </w:tc>
        <w:tc>
          <w:tcPr>
            <w:tcW w:w="2266" w:type="dxa"/>
          </w:tcPr>
          <w:p w14:paraId="186292B2" w14:textId="36F87CBD" w:rsidR="009C1FE3" w:rsidRDefault="009C2E7D" w:rsidP="00A31FA5">
            <w:pPr>
              <w:rPr>
                <w:b/>
                <w:bCs/>
              </w:rPr>
            </w:pPr>
            <w:r>
              <w:rPr>
                <w:spacing w:val="-5"/>
              </w:rPr>
              <w:t>140</w:t>
            </w:r>
          </w:p>
        </w:tc>
        <w:tc>
          <w:tcPr>
            <w:tcW w:w="2266" w:type="dxa"/>
          </w:tcPr>
          <w:p w14:paraId="18A26A24" w14:textId="598BDCC4" w:rsidR="009C1FE3" w:rsidRDefault="009C2E7D" w:rsidP="00A31FA5">
            <w:pPr>
              <w:rPr>
                <w:b/>
                <w:bCs/>
              </w:rPr>
            </w:pPr>
            <w:r>
              <w:rPr>
                <w:spacing w:val="-5"/>
              </w:rPr>
              <w:t>280</w:t>
            </w:r>
          </w:p>
        </w:tc>
      </w:tr>
      <w:tr w:rsidR="009C1FE3" w14:paraId="5EA0A5C2" w14:textId="77777777" w:rsidTr="00A31FA5">
        <w:tc>
          <w:tcPr>
            <w:tcW w:w="2265" w:type="dxa"/>
            <w:vMerge w:val="restart"/>
          </w:tcPr>
          <w:p w14:paraId="7A927723" w14:textId="44EB5793" w:rsidR="009C1FE3" w:rsidRDefault="009C2E7D" w:rsidP="00A31FA5">
            <w:pPr>
              <w:rPr>
                <w:b/>
                <w:bCs/>
              </w:rPr>
            </w:pPr>
            <w:r>
              <w:t>21</w:t>
            </w:r>
            <w:r>
              <w:rPr>
                <w:spacing w:val="-5"/>
              </w:rPr>
              <w:t xml:space="preserve"> </w:t>
            </w:r>
            <w:r>
              <w:t>bis</w:t>
            </w:r>
            <w:r>
              <w:rPr>
                <w:spacing w:val="-4"/>
              </w:rPr>
              <w:t xml:space="preserve"> </w:t>
            </w:r>
            <w:r>
              <w:t>&lt;</w:t>
            </w:r>
            <w:r>
              <w:rPr>
                <w:spacing w:val="-4"/>
              </w:rPr>
              <w:t xml:space="preserve"> </w:t>
            </w:r>
            <w:r>
              <w:rPr>
                <w:spacing w:val="-5"/>
              </w:rPr>
              <w:t>26</w:t>
            </w:r>
          </w:p>
        </w:tc>
        <w:tc>
          <w:tcPr>
            <w:tcW w:w="2265" w:type="dxa"/>
          </w:tcPr>
          <w:p w14:paraId="5FF16E4D" w14:textId="114CFE25" w:rsidR="009C1FE3" w:rsidRDefault="009C2E7D" w:rsidP="00A31FA5">
            <w:pPr>
              <w:rPr>
                <w:b/>
                <w:bCs/>
              </w:rPr>
            </w:pPr>
            <w:r>
              <w:t>1,5</w:t>
            </w:r>
            <w:r>
              <w:rPr>
                <w:spacing w:val="-6"/>
              </w:rPr>
              <w:t xml:space="preserve"> </w:t>
            </w:r>
            <w:r>
              <w:t>bis</w:t>
            </w:r>
            <w:r>
              <w:rPr>
                <w:spacing w:val="-5"/>
              </w:rPr>
              <w:t xml:space="preserve"> </w:t>
            </w:r>
            <w:r>
              <w:t>&lt;</w:t>
            </w:r>
            <w:r>
              <w:rPr>
                <w:spacing w:val="-5"/>
              </w:rPr>
              <w:t xml:space="preserve"> </w:t>
            </w:r>
            <w:r>
              <w:rPr>
                <w:spacing w:val="-10"/>
              </w:rPr>
              <w:t>2</w:t>
            </w:r>
          </w:p>
        </w:tc>
        <w:tc>
          <w:tcPr>
            <w:tcW w:w="2266" w:type="dxa"/>
          </w:tcPr>
          <w:p w14:paraId="4C217217" w14:textId="3E0306E0" w:rsidR="009C1FE3" w:rsidRDefault="009C2E7D" w:rsidP="00A31FA5">
            <w:pPr>
              <w:rPr>
                <w:b/>
                <w:bCs/>
              </w:rPr>
            </w:pPr>
            <w:r>
              <w:rPr>
                <w:spacing w:val="-5"/>
              </w:rPr>
              <w:t>140</w:t>
            </w:r>
          </w:p>
        </w:tc>
        <w:tc>
          <w:tcPr>
            <w:tcW w:w="2266" w:type="dxa"/>
          </w:tcPr>
          <w:p w14:paraId="3A22A855" w14:textId="2D566838" w:rsidR="009C1FE3" w:rsidRDefault="009C2E7D" w:rsidP="00A31FA5">
            <w:pPr>
              <w:rPr>
                <w:b/>
                <w:bCs/>
              </w:rPr>
            </w:pPr>
            <w:r>
              <w:rPr>
                <w:spacing w:val="-5"/>
              </w:rPr>
              <w:t>280</w:t>
            </w:r>
          </w:p>
        </w:tc>
      </w:tr>
      <w:tr w:rsidR="009C1FE3" w14:paraId="1B3A968E" w14:textId="77777777" w:rsidTr="00A31FA5">
        <w:tc>
          <w:tcPr>
            <w:tcW w:w="2265" w:type="dxa"/>
            <w:vMerge/>
          </w:tcPr>
          <w:p w14:paraId="5403FE5C" w14:textId="77777777" w:rsidR="009C1FE3" w:rsidRDefault="009C1FE3" w:rsidP="00A31FA5">
            <w:pPr>
              <w:rPr>
                <w:b/>
                <w:bCs/>
              </w:rPr>
            </w:pPr>
          </w:p>
        </w:tc>
        <w:tc>
          <w:tcPr>
            <w:tcW w:w="2265" w:type="dxa"/>
          </w:tcPr>
          <w:p w14:paraId="3841E511" w14:textId="709BFAE9" w:rsidR="009C1FE3" w:rsidRDefault="009C2E7D" w:rsidP="00A31FA5">
            <w:pPr>
              <w:rPr>
                <w:b/>
                <w:bCs/>
              </w:rPr>
            </w:pPr>
            <w:r>
              <w:t>2</w:t>
            </w:r>
            <w:r>
              <w:rPr>
                <w:spacing w:val="1"/>
              </w:rPr>
              <w:t xml:space="preserve"> </w:t>
            </w:r>
            <w:r>
              <w:t>bis</w:t>
            </w:r>
            <w:r>
              <w:rPr>
                <w:spacing w:val="1"/>
              </w:rPr>
              <w:t xml:space="preserve"> </w:t>
            </w:r>
            <w:r>
              <w:t xml:space="preserve">&lt; </w:t>
            </w:r>
            <w:r>
              <w:rPr>
                <w:spacing w:val="-5"/>
              </w:rPr>
              <w:t>12</w:t>
            </w:r>
          </w:p>
        </w:tc>
        <w:tc>
          <w:tcPr>
            <w:tcW w:w="2266" w:type="dxa"/>
          </w:tcPr>
          <w:p w14:paraId="52FD8841" w14:textId="7D6A59BD" w:rsidR="009C1FE3" w:rsidRDefault="009C2E7D" w:rsidP="00A31FA5">
            <w:pPr>
              <w:rPr>
                <w:b/>
                <w:bCs/>
              </w:rPr>
            </w:pPr>
            <w:r>
              <w:rPr>
                <w:spacing w:val="-5"/>
              </w:rPr>
              <w:t>180</w:t>
            </w:r>
          </w:p>
        </w:tc>
        <w:tc>
          <w:tcPr>
            <w:tcW w:w="2266" w:type="dxa"/>
          </w:tcPr>
          <w:p w14:paraId="6360FF9A" w14:textId="2015898A" w:rsidR="009C1FE3" w:rsidRDefault="009C2E7D" w:rsidP="00A31FA5">
            <w:pPr>
              <w:rPr>
                <w:b/>
                <w:bCs/>
              </w:rPr>
            </w:pPr>
            <w:r>
              <w:rPr>
                <w:spacing w:val="-5"/>
              </w:rPr>
              <w:t>360</w:t>
            </w:r>
          </w:p>
        </w:tc>
      </w:tr>
      <w:tr w:rsidR="009C2E7D" w14:paraId="4F10A7D7" w14:textId="77777777" w:rsidTr="00A31FA5">
        <w:tc>
          <w:tcPr>
            <w:tcW w:w="2265" w:type="dxa"/>
          </w:tcPr>
          <w:p w14:paraId="565E94C5" w14:textId="721D7B5F" w:rsidR="009C2E7D" w:rsidRDefault="009C2E7D" w:rsidP="00A31FA5">
            <w:pPr>
              <w:rPr>
                <w:b/>
                <w:bCs/>
              </w:rPr>
            </w:pPr>
            <w:r>
              <w:t>26</w:t>
            </w:r>
            <w:r>
              <w:rPr>
                <w:spacing w:val="-1"/>
              </w:rPr>
              <w:t xml:space="preserve"> </w:t>
            </w:r>
            <w:r>
              <w:t>bis</w:t>
            </w:r>
            <w:r>
              <w:rPr>
                <w:spacing w:val="-1"/>
              </w:rPr>
              <w:t xml:space="preserve"> </w:t>
            </w:r>
            <w:r>
              <w:t>&lt;</w:t>
            </w:r>
            <w:r>
              <w:rPr>
                <w:spacing w:val="-1"/>
              </w:rPr>
              <w:t xml:space="preserve"> </w:t>
            </w:r>
            <w:r>
              <w:rPr>
                <w:spacing w:val="-5"/>
              </w:rPr>
              <w:t>31</w:t>
            </w:r>
          </w:p>
        </w:tc>
        <w:tc>
          <w:tcPr>
            <w:tcW w:w="2265" w:type="dxa"/>
          </w:tcPr>
          <w:p w14:paraId="057E394A" w14:textId="38E14084" w:rsidR="009C2E7D" w:rsidRDefault="009C2E7D" w:rsidP="00A31FA5">
            <w:r>
              <w:t>2,5</w:t>
            </w:r>
            <w:r>
              <w:rPr>
                <w:spacing w:val="-1"/>
              </w:rPr>
              <w:t xml:space="preserve"> </w:t>
            </w:r>
            <w:r>
              <w:t>bis</w:t>
            </w:r>
            <w:r>
              <w:rPr>
                <w:spacing w:val="-1"/>
              </w:rPr>
              <w:t xml:space="preserve"> </w:t>
            </w:r>
            <w:r>
              <w:t>&lt;</w:t>
            </w:r>
            <w:r>
              <w:rPr>
                <w:spacing w:val="-1"/>
              </w:rPr>
              <w:t xml:space="preserve"> </w:t>
            </w:r>
            <w:r>
              <w:rPr>
                <w:spacing w:val="-5"/>
              </w:rPr>
              <w:t>12</w:t>
            </w:r>
          </w:p>
        </w:tc>
        <w:tc>
          <w:tcPr>
            <w:tcW w:w="2266" w:type="dxa"/>
          </w:tcPr>
          <w:p w14:paraId="566878B0" w14:textId="6E39FD69" w:rsidR="009C2E7D" w:rsidRDefault="009C2E7D" w:rsidP="00A31FA5">
            <w:pPr>
              <w:rPr>
                <w:spacing w:val="-5"/>
              </w:rPr>
            </w:pPr>
            <w:r>
              <w:rPr>
                <w:spacing w:val="-5"/>
              </w:rPr>
              <w:t>180</w:t>
            </w:r>
          </w:p>
        </w:tc>
        <w:tc>
          <w:tcPr>
            <w:tcW w:w="2266" w:type="dxa"/>
          </w:tcPr>
          <w:p w14:paraId="00EAE99C" w14:textId="040369A6" w:rsidR="009C2E7D" w:rsidRDefault="009C2E7D" w:rsidP="00A31FA5">
            <w:pPr>
              <w:rPr>
                <w:spacing w:val="-5"/>
              </w:rPr>
            </w:pPr>
            <w:r>
              <w:rPr>
                <w:spacing w:val="-5"/>
              </w:rPr>
              <w:t>360</w:t>
            </w:r>
          </w:p>
        </w:tc>
      </w:tr>
      <w:tr w:rsidR="009C2E7D" w14:paraId="79F8D4D1" w14:textId="77777777" w:rsidTr="00A31FA5">
        <w:tc>
          <w:tcPr>
            <w:tcW w:w="2265" w:type="dxa"/>
          </w:tcPr>
          <w:p w14:paraId="4D03B65A" w14:textId="6891C900" w:rsidR="009C2E7D" w:rsidRDefault="009C2E7D" w:rsidP="00A31FA5">
            <w:pPr>
              <w:rPr>
                <w:b/>
                <w:bCs/>
              </w:rPr>
            </w:pPr>
            <w:r>
              <w:t>31</w:t>
            </w:r>
            <w:r>
              <w:rPr>
                <w:spacing w:val="-6"/>
              </w:rPr>
              <w:t xml:space="preserve"> </w:t>
            </w:r>
            <w:r>
              <w:t>bis</w:t>
            </w:r>
            <w:r>
              <w:rPr>
                <w:spacing w:val="-5"/>
              </w:rPr>
              <w:t xml:space="preserve"> </w:t>
            </w:r>
            <w:r>
              <w:t>&lt;</w:t>
            </w:r>
            <w:r>
              <w:rPr>
                <w:spacing w:val="-6"/>
              </w:rPr>
              <w:t xml:space="preserve"> </w:t>
            </w:r>
            <w:r>
              <w:rPr>
                <w:spacing w:val="-5"/>
              </w:rPr>
              <w:t>41</w:t>
            </w:r>
          </w:p>
        </w:tc>
        <w:tc>
          <w:tcPr>
            <w:tcW w:w="2265" w:type="dxa"/>
          </w:tcPr>
          <w:p w14:paraId="2277786F" w14:textId="7796AE5E" w:rsidR="009C2E7D" w:rsidRDefault="009C2E7D" w:rsidP="00A31FA5">
            <w:r>
              <w:t>2,5</w:t>
            </w:r>
            <w:r>
              <w:rPr>
                <w:spacing w:val="-1"/>
              </w:rPr>
              <w:t xml:space="preserve"> </w:t>
            </w:r>
            <w:r>
              <w:t>bis</w:t>
            </w:r>
            <w:r>
              <w:rPr>
                <w:spacing w:val="-1"/>
              </w:rPr>
              <w:t xml:space="preserve"> </w:t>
            </w:r>
            <w:r>
              <w:t>&lt;</w:t>
            </w:r>
            <w:r>
              <w:rPr>
                <w:spacing w:val="-1"/>
              </w:rPr>
              <w:t xml:space="preserve"> </w:t>
            </w:r>
            <w:r>
              <w:rPr>
                <w:spacing w:val="-5"/>
              </w:rPr>
              <w:t>12</w:t>
            </w:r>
          </w:p>
        </w:tc>
        <w:tc>
          <w:tcPr>
            <w:tcW w:w="2266" w:type="dxa"/>
          </w:tcPr>
          <w:p w14:paraId="5C53F6B7" w14:textId="5210AD64" w:rsidR="009C2E7D" w:rsidRDefault="009C2E7D" w:rsidP="00A31FA5">
            <w:pPr>
              <w:rPr>
                <w:spacing w:val="-5"/>
              </w:rPr>
            </w:pPr>
            <w:r>
              <w:rPr>
                <w:spacing w:val="-5"/>
              </w:rPr>
              <w:t>220</w:t>
            </w:r>
          </w:p>
        </w:tc>
        <w:tc>
          <w:tcPr>
            <w:tcW w:w="2266" w:type="dxa"/>
          </w:tcPr>
          <w:p w14:paraId="1C2CB3C2" w14:textId="3DF829B0" w:rsidR="009C2E7D" w:rsidRDefault="009C2E7D" w:rsidP="00A31FA5">
            <w:pPr>
              <w:rPr>
                <w:spacing w:val="-5"/>
              </w:rPr>
            </w:pPr>
            <w:r>
              <w:rPr>
                <w:spacing w:val="-5"/>
              </w:rPr>
              <w:t>440</w:t>
            </w:r>
          </w:p>
        </w:tc>
      </w:tr>
      <w:tr w:rsidR="009C2E7D" w14:paraId="7C915CDF" w14:textId="77777777" w:rsidTr="00A31FA5">
        <w:tc>
          <w:tcPr>
            <w:tcW w:w="2265" w:type="dxa"/>
          </w:tcPr>
          <w:p w14:paraId="19A3C1DC" w14:textId="61C76AF5" w:rsidR="009C2E7D" w:rsidRDefault="009C2E7D" w:rsidP="00A31FA5">
            <w:pPr>
              <w:rPr>
                <w:b/>
                <w:bCs/>
              </w:rPr>
            </w:pPr>
            <w:r>
              <w:t>41</w:t>
            </w:r>
            <w:r>
              <w:rPr>
                <w:spacing w:val="-5"/>
              </w:rPr>
              <w:t xml:space="preserve"> </w:t>
            </w:r>
            <w:r>
              <w:t>bis</w:t>
            </w:r>
            <w:r>
              <w:rPr>
                <w:spacing w:val="-4"/>
              </w:rPr>
              <w:t xml:space="preserve"> </w:t>
            </w:r>
            <w:r>
              <w:t>&lt;</w:t>
            </w:r>
            <w:r>
              <w:rPr>
                <w:spacing w:val="-5"/>
              </w:rPr>
              <w:t xml:space="preserve"> 51</w:t>
            </w:r>
          </w:p>
        </w:tc>
        <w:tc>
          <w:tcPr>
            <w:tcW w:w="2265" w:type="dxa"/>
          </w:tcPr>
          <w:p w14:paraId="3A50C52D" w14:textId="3BA2E8F4" w:rsidR="009C2E7D" w:rsidRDefault="009C2E7D" w:rsidP="00A31FA5">
            <w:r>
              <w:t>4</w:t>
            </w:r>
            <w:r>
              <w:rPr>
                <w:spacing w:val="1"/>
              </w:rPr>
              <w:t xml:space="preserve"> </w:t>
            </w:r>
            <w:r>
              <w:t>bis</w:t>
            </w:r>
            <w:r>
              <w:rPr>
                <w:spacing w:val="1"/>
              </w:rPr>
              <w:t xml:space="preserve"> </w:t>
            </w:r>
            <w:r>
              <w:t xml:space="preserve">&lt; </w:t>
            </w:r>
            <w:r>
              <w:rPr>
                <w:spacing w:val="-5"/>
              </w:rPr>
              <w:t>12</w:t>
            </w:r>
          </w:p>
        </w:tc>
        <w:tc>
          <w:tcPr>
            <w:tcW w:w="2266" w:type="dxa"/>
          </w:tcPr>
          <w:p w14:paraId="47A9284A" w14:textId="6C1CBB90" w:rsidR="009C2E7D" w:rsidRDefault="009C2E7D" w:rsidP="00A31FA5">
            <w:pPr>
              <w:rPr>
                <w:spacing w:val="-5"/>
              </w:rPr>
            </w:pPr>
            <w:r>
              <w:rPr>
                <w:spacing w:val="-5"/>
              </w:rPr>
              <w:t>260</w:t>
            </w:r>
          </w:p>
        </w:tc>
        <w:tc>
          <w:tcPr>
            <w:tcW w:w="2266" w:type="dxa"/>
          </w:tcPr>
          <w:p w14:paraId="3F7B69A9" w14:textId="1604138D" w:rsidR="009C2E7D" w:rsidRDefault="009C2E7D" w:rsidP="00A31FA5">
            <w:pPr>
              <w:rPr>
                <w:spacing w:val="-5"/>
              </w:rPr>
            </w:pPr>
            <w:r>
              <w:rPr>
                <w:spacing w:val="-5"/>
              </w:rPr>
              <w:t>520</w:t>
            </w:r>
          </w:p>
        </w:tc>
      </w:tr>
      <w:tr w:rsidR="009C2E7D" w14:paraId="2010AD29" w14:textId="77777777" w:rsidTr="00A31FA5">
        <w:tc>
          <w:tcPr>
            <w:tcW w:w="2265" w:type="dxa"/>
          </w:tcPr>
          <w:p w14:paraId="6FA4C71A" w14:textId="7217C274" w:rsidR="009C2E7D" w:rsidRDefault="009C2E7D" w:rsidP="00A31FA5">
            <w:pPr>
              <w:rPr>
                <w:b/>
                <w:bCs/>
              </w:rPr>
            </w:pPr>
            <w:r>
              <w:t>51</w:t>
            </w:r>
            <w:r>
              <w:rPr>
                <w:spacing w:val="-5"/>
              </w:rPr>
              <w:t xml:space="preserve"> </w:t>
            </w:r>
            <w:r>
              <w:t>bis</w:t>
            </w:r>
            <w:r>
              <w:rPr>
                <w:spacing w:val="-4"/>
              </w:rPr>
              <w:t xml:space="preserve"> </w:t>
            </w:r>
            <w:r>
              <w:t>&lt;</w:t>
            </w:r>
            <w:r>
              <w:rPr>
                <w:spacing w:val="-4"/>
              </w:rPr>
              <w:t xml:space="preserve"> </w:t>
            </w:r>
            <w:r>
              <w:rPr>
                <w:spacing w:val="-5"/>
              </w:rPr>
              <w:t>61</w:t>
            </w:r>
          </w:p>
        </w:tc>
        <w:tc>
          <w:tcPr>
            <w:tcW w:w="2265" w:type="dxa"/>
          </w:tcPr>
          <w:p w14:paraId="1F772676" w14:textId="595F20C1" w:rsidR="009C2E7D" w:rsidRDefault="009C2E7D" w:rsidP="00A31FA5">
            <w:r>
              <w:t>5</w:t>
            </w:r>
            <w:r>
              <w:rPr>
                <w:spacing w:val="1"/>
              </w:rPr>
              <w:t xml:space="preserve"> </w:t>
            </w:r>
            <w:r>
              <w:t>bis</w:t>
            </w:r>
            <w:r>
              <w:rPr>
                <w:spacing w:val="1"/>
              </w:rPr>
              <w:t xml:space="preserve"> </w:t>
            </w:r>
            <w:r>
              <w:t xml:space="preserve">&lt; </w:t>
            </w:r>
            <w:r>
              <w:rPr>
                <w:spacing w:val="-5"/>
              </w:rPr>
              <w:t>12</w:t>
            </w:r>
          </w:p>
        </w:tc>
        <w:tc>
          <w:tcPr>
            <w:tcW w:w="2266" w:type="dxa"/>
          </w:tcPr>
          <w:p w14:paraId="390B33A4" w14:textId="04D4C1FA" w:rsidR="009C2E7D" w:rsidRDefault="009C2E7D" w:rsidP="00A31FA5">
            <w:pPr>
              <w:rPr>
                <w:spacing w:val="-5"/>
              </w:rPr>
            </w:pPr>
            <w:r>
              <w:rPr>
                <w:spacing w:val="-5"/>
              </w:rPr>
              <w:t>300</w:t>
            </w:r>
          </w:p>
        </w:tc>
        <w:tc>
          <w:tcPr>
            <w:tcW w:w="2266" w:type="dxa"/>
          </w:tcPr>
          <w:p w14:paraId="7DC8EBF2" w14:textId="5DBC0AAF" w:rsidR="009C2E7D" w:rsidRDefault="009C2E7D" w:rsidP="00A31FA5">
            <w:pPr>
              <w:rPr>
                <w:spacing w:val="-5"/>
              </w:rPr>
            </w:pPr>
            <w:r>
              <w:rPr>
                <w:spacing w:val="-5"/>
              </w:rPr>
              <w:t>600</w:t>
            </w:r>
          </w:p>
        </w:tc>
      </w:tr>
      <w:tr w:rsidR="009C2E7D" w14:paraId="40A15743" w14:textId="77777777" w:rsidTr="00A31FA5">
        <w:tc>
          <w:tcPr>
            <w:tcW w:w="2265" w:type="dxa"/>
          </w:tcPr>
          <w:p w14:paraId="092A6B17" w14:textId="58411AE8" w:rsidR="009C2E7D" w:rsidRDefault="009C2E7D" w:rsidP="00A31FA5">
            <w:pPr>
              <w:rPr>
                <w:b/>
                <w:bCs/>
              </w:rPr>
            </w:pPr>
            <w:r>
              <w:t>61</w:t>
            </w:r>
            <w:r>
              <w:rPr>
                <w:spacing w:val="-7"/>
              </w:rPr>
              <w:t xml:space="preserve"> </w:t>
            </w:r>
            <w:r>
              <w:t>bis</w:t>
            </w:r>
            <w:r>
              <w:rPr>
                <w:spacing w:val="-6"/>
              </w:rPr>
              <w:t xml:space="preserve"> </w:t>
            </w:r>
            <w:r>
              <w:t>&lt;</w:t>
            </w:r>
            <w:r>
              <w:rPr>
                <w:spacing w:val="-6"/>
              </w:rPr>
              <w:t xml:space="preserve"> </w:t>
            </w:r>
            <w:r>
              <w:rPr>
                <w:spacing w:val="-5"/>
              </w:rPr>
              <w:t>71</w:t>
            </w:r>
          </w:p>
        </w:tc>
        <w:tc>
          <w:tcPr>
            <w:tcW w:w="2265" w:type="dxa"/>
          </w:tcPr>
          <w:p w14:paraId="3B5AF758" w14:textId="2E051197" w:rsidR="009C2E7D" w:rsidRDefault="009C2E7D" w:rsidP="00A31FA5">
            <w:r>
              <w:t>6</w:t>
            </w:r>
            <w:r>
              <w:rPr>
                <w:spacing w:val="1"/>
              </w:rPr>
              <w:t xml:space="preserve"> </w:t>
            </w:r>
            <w:r>
              <w:t>bis</w:t>
            </w:r>
            <w:r>
              <w:rPr>
                <w:spacing w:val="1"/>
              </w:rPr>
              <w:t xml:space="preserve"> </w:t>
            </w:r>
            <w:r>
              <w:t xml:space="preserve">&lt; </w:t>
            </w:r>
            <w:r>
              <w:rPr>
                <w:spacing w:val="-5"/>
              </w:rPr>
              <w:t>12</w:t>
            </w:r>
          </w:p>
        </w:tc>
        <w:tc>
          <w:tcPr>
            <w:tcW w:w="2266" w:type="dxa"/>
          </w:tcPr>
          <w:p w14:paraId="2BCFC855" w14:textId="4CEBA27C" w:rsidR="009C2E7D" w:rsidRDefault="009C2E7D" w:rsidP="00A31FA5">
            <w:pPr>
              <w:rPr>
                <w:spacing w:val="-5"/>
              </w:rPr>
            </w:pPr>
            <w:r>
              <w:rPr>
                <w:spacing w:val="-5"/>
              </w:rPr>
              <w:t>300</w:t>
            </w:r>
          </w:p>
        </w:tc>
        <w:tc>
          <w:tcPr>
            <w:tcW w:w="2266" w:type="dxa"/>
          </w:tcPr>
          <w:p w14:paraId="5D4524CB" w14:textId="4DCA0A7D" w:rsidR="009C2E7D" w:rsidRDefault="009C2E7D" w:rsidP="00A31FA5">
            <w:pPr>
              <w:rPr>
                <w:spacing w:val="-5"/>
              </w:rPr>
            </w:pPr>
            <w:r>
              <w:rPr>
                <w:spacing w:val="-5"/>
              </w:rPr>
              <w:t>600</w:t>
            </w:r>
          </w:p>
        </w:tc>
      </w:tr>
      <w:tr w:rsidR="009C2E7D" w14:paraId="6617F2C5" w14:textId="77777777" w:rsidTr="00A31FA5">
        <w:tc>
          <w:tcPr>
            <w:tcW w:w="2265" w:type="dxa"/>
          </w:tcPr>
          <w:p w14:paraId="089D852D" w14:textId="4922C06C" w:rsidR="009C2E7D" w:rsidRDefault="009C2E7D" w:rsidP="00A31FA5">
            <w:pPr>
              <w:rPr>
                <w:b/>
                <w:bCs/>
              </w:rPr>
            </w:pPr>
            <w:r>
              <w:t>71</w:t>
            </w:r>
            <w:r>
              <w:rPr>
                <w:spacing w:val="-4"/>
              </w:rPr>
              <w:t xml:space="preserve"> </w:t>
            </w:r>
            <w:r>
              <w:t>bis</w:t>
            </w:r>
            <w:r>
              <w:rPr>
                <w:spacing w:val="-3"/>
              </w:rPr>
              <w:t xml:space="preserve"> </w:t>
            </w:r>
            <w:r>
              <w:t>&lt;</w:t>
            </w:r>
            <w:r>
              <w:rPr>
                <w:spacing w:val="-4"/>
              </w:rPr>
              <w:t xml:space="preserve"> </w:t>
            </w:r>
            <w:r>
              <w:rPr>
                <w:spacing w:val="-5"/>
              </w:rPr>
              <w:t>81</w:t>
            </w:r>
          </w:p>
        </w:tc>
        <w:tc>
          <w:tcPr>
            <w:tcW w:w="2265" w:type="dxa"/>
          </w:tcPr>
          <w:p w14:paraId="1E0ACF0A" w14:textId="68D30381" w:rsidR="009C2E7D" w:rsidRDefault="009C2E7D" w:rsidP="00A31FA5">
            <w:r>
              <w:t>7</w:t>
            </w:r>
            <w:r>
              <w:rPr>
                <w:spacing w:val="1"/>
              </w:rPr>
              <w:t xml:space="preserve"> </w:t>
            </w:r>
            <w:r>
              <w:t>bis</w:t>
            </w:r>
            <w:r>
              <w:rPr>
                <w:spacing w:val="1"/>
              </w:rPr>
              <w:t xml:space="preserve"> </w:t>
            </w:r>
            <w:r>
              <w:t xml:space="preserve">&lt; </w:t>
            </w:r>
            <w:r>
              <w:rPr>
                <w:spacing w:val="-5"/>
              </w:rPr>
              <w:t>12</w:t>
            </w:r>
          </w:p>
        </w:tc>
        <w:tc>
          <w:tcPr>
            <w:tcW w:w="2266" w:type="dxa"/>
          </w:tcPr>
          <w:p w14:paraId="1FB5753F" w14:textId="5B59BBAA" w:rsidR="009C2E7D" w:rsidRDefault="009C2E7D" w:rsidP="00A31FA5">
            <w:pPr>
              <w:rPr>
                <w:spacing w:val="-5"/>
              </w:rPr>
            </w:pPr>
            <w:r>
              <w:rPr>
                <w:spacing w:val="-5"/>
              </w:rPr>
              <w:t>300</w:t>
            </w:r>
          </w:p>
        </w:tc>
        <w:tc>
          <w:tcPr>
            <w:tcW w:w="2266" w:type="dxa"/>
          </w:tcPr>
          <w:p w14:paraId="0F5FB7B9" w14:textId="0A50B775" w:rsidR="009C2E7D" w:rsidRDefault="009C2E7D" w:rsidP="00A31FA5">
            <w:pPr>
              <w:rPr>
                <w:spacing w:val="-5"/>
              </w:rPr>
            </w:pPr>
            <w:r>
              <w:rPr>
                <w:spacing w:val="-5"/>
              </w:rPr>
              <w:t>600</w:t>
            </w:r>
          </w:p>
        </w:tc>
      </w:tr>
      <w:tr w:rsidR="009C2E7D" w14:paraId="65BFD8C6" w14:textId="77777777" w:rsidTr="00A31FA5">
        <w:tc>
          <w:tcPr>
            <w:tcW w:w="2265" w:type="dxa"/>
          </w:tcPr>
          <w:p w14:paraId="57DFF652" w14:textId="040CCF45" w:rsidR="009C2E7D" w:rsidRDefault="009C2E7D" w:rsidP="00A31FA5">
            <w:pPr>
              <w:rPr>
                <w:b/>
                <w:bCs/>
              </w:rPr>
            </w:pPr>
            <w:r>
              <w:t xml:space="preserve">&gt; </w:t>
            </w:r>
            <w:r>
              <w:rPr>
                <w:spacing w:val="-5"/>
              </w:rPr>
              <w:t>81</w:t>
            </w:r>
          </w:p>
        </w:tc>
        <w:tc>
          <w:tcPr>
            <w:tcW w:w="2265" w:type="dxa"/>
          </w:tcPr>
          <w:p w14:paraId="45F9982E" w14:textId="17937149" w:rsidR="009C2E7D" w:rsidRDefault="009C2E7D" w:rsidP="00A31FA5">
            <w:r>
              <w:t>10</w:t>
            </w:r>
            <w:r>
              <w:rPr>
                <w:spacing w:val="-3"/>
              </w:rPr>
              <w:t xml:space="preserve"> </w:t>
            </w:r>
            <w:r>
              <w:t>bis</w:t>
            </w:r>
            <w:r>
              <w:rPr>
                <w:spacing w:val="-2"/>
              </w:rPr>
              <w:t xml:space="preserve"> </w:t>
            </w:r>
            <w:r>
              <w:t>&lt;</w:t>
            </w:r>
            <w:r>
              <w:rPr>
                <w:spacing w:val="-3"/>
              </w:rPr>
              <w:t xml:space="preserve"> </w:t>
            </w:r>
            <w:r>
              <w:rPr>
                <w:spacing w:val="-5"/>
              </w:rPr>
              <w:t>12</w:t>
            </w:r>
          </w:p>
        </w:tc>
        <w:tc>
          <w:tcPr>
            <w:tcW w:w="2266" w:type="dxa"/>
          </w:tcPr>
          <w:p w14:paraId="1350083C" w14:textId="26D169DD" w:rsidR="009C2E7D" w:rsidRDefault="009C2E7D" w:rsidP="00A31FA5">
            <w:pPr>
              <w:rPr>
                <w:spacing w:val="-5"/>
              </w:rPr>
            </w:pPr>
            <w:r>
              <w:rPr>
                <w:spacing w:val="-5"/>
              </w:rPr>
              <w:t>300</w:t>
            </w:r>
          </w:p>
        </w:tc>
        <w:tc>
          <w:tcPr>
            <w:tcW w:w="2266" w:type="dxa"/>
          </w:tcPr>
          <w:p w14:paraId="0058B261" w14:textId="5FE55401" w:rsidR="009C2E7D" w:rsidRDefault="009C2E7D" w:rsidP="00A31FA5">
            <w:pPr>
              <w:rPr>
                <w:spacing w:val="-5"/>
              </w:rPr>
            </w:pPr>
            <w:r>
              <w:rPr>
                <w:spacing w:val="-5"/>
              </w:rPr>
              <w:t>600</w:t>
            </w:r>
          </w:p>
        </w:tc>
      </w:tr>
    </w:tbl>
    <w:p w14:paraId="50889386" w14:textId="77777777" w:rsidR="009C2E7D" w:rsidRDefault="009C2E7D" w:rsidP="004248F3"/>
    <w:p w14:paraId="5891D83D" w14:textId="2392C47C" w:rsidR="009C1FE3" w:rsidRDefault="009C2E7D" w:rsidP="004248F3">
      <w:r w:rsidRPr="009C2E7D">
        <w:t>Geeignete Beutelkombinationen zum Erreichen der in der Dosierungstabelle empfohlenen Einzeldosen lauten wie folgt (andere Kombinationen sind möglich):</w:t>
      </w:r>
    </w:p>
    <w:p w14:paraId="07F1A199" w14:textId="77777777" w:rsidR="009C2E7D" w:rsidRDefault="009C2E7D" w:rsidP="004248F3">
      <w:r>
        <w:t>50 mg:</w:t>
      </w:r>
      <w:r>
        <w:rPr>
          <w:spacing w:val="80"/>
        </w:rPr>
        <w:t xml:space="preserve"> </w:t>
      </w:r>
      <w:r>
        <w:t>ein 50-mg-Beutel</w:t>
      </w:r>
    </w:p>
    <w:p w14:paraId="561A8B79" w14:textId="77777777" w:rsidR="009C2E7D" w:rsidRDefault="009C2E7D" w:rsidP="004248F3">
      <w:r>
        <w:t>60</w:t>
      </w:r>
      <w:r>
        <w:rPr>
          <w:spacing w:val="-8"/>
        </w:rPr>
        <w:t xml:space="preserve"> </w:t>
      </w:r>
      <w:r>
        <w:t>mg:</w:t>
      </w:r>
      <w:r>
        <w:rPr>
          <w:spacing w:val="80"/>
        </w:rPr>
        <w:t xml:space="preserve"> </w:t>
      </w:r>
      <w:r>
        <w:t>zwei</w:t>
      </w:r>
      <w:r>
        <w:rPr>
          <w:spacing w:val="-8"/>
        </w:rPr>
        <w:t xml:space="preserve"> </w:t>
      </w:r>
      <w:r>
        <w:t>30-mg-Beutel</w:t>
      </w:r>
    </w:p>
    <w:p w14:paraId="32FB1CF5" w14:textId="77777777" w:rsidR="009C2E7D" w:rsidRDefault="009C2E7D" w:rsidP="004248F3">
      <w:r>
        <w:t>70 mg:</w:t>
      </w:r>
      <w:r>
        <w:rPr>
          <w:spacing w:val="80"/>
        </w:rPr>
        <w:t xml:space="preserve"> </w:t>
      </w:r>
      <w:r>
        <w:t xml:space="preserve">ein 30-mg- und </w:t>
      </w:r>
      <w:r w:rsidRPr="009C2E7D">
        <w:t>ein 40-mg-Beutel</w:t>
      </w:r>
    </w:p>
    <w:p w14:paraId="7B530583" w14:textId="77777777" w:rsidR="009C2E7D" w:rsidRDefault="009C2E7D" w:rsidP="004248F3">
      <w:r w:rsidRPr="009C2E7D">
        <w:t>80 mg: zwei 40-mg-Beutel</w:t>
      </w:r>
    </w:p>
    <w:p w14:paraId="2CBF0619" w14:textId="77777777" w:rsidR="009C2E7D" w:rsidRDefault="009C2E7D" w:rsidP="004248F3">
      <w:r w:rsidRPr="009C2E7D">
        <w:t>100 mg: zwei 50-mg-Beutel</w:t>
      </w:r>
    </w:p>
    <w:p w14:paraId="61BD4460" w14:textId="3E5A641A" w:rsidR="009C1FE3" w:rsidRPr="003260A6" w:rsidRDefault="009C2E7D" w:rsidP="004248F3">
      <w:r w:rsidRPr="009C2E7D">
        <w:lastRenderedPageBreak/>
        <w:t>110 mg: ein 110-mg-Beutel</w:t>
      </w:r>
    </w:p>
    <w:p w14:paraId="5C3A7668" w14:textId="2AE2762E" w:rsidR="009C2E7D" w:rsidRDefault="009C2E7D" w:rsidP="009C2E7D">
      <w:r>
        <w:t>140 mg: ein 30-mg- und ein 110-mg-Beutel</w:t>
      </w:r>
    </w:p>
    <w:p w14:paraId="461B4239" w14:textId="77777777" w:rsidR="009C2E7D" w:rsidRDefault="009C2E7D" w:rsidP="009C2E7D">
      <w:r>
        <w:t>180 mg: ein 30-mg- und ein 150-mg-Beutel</w:t>
      </w:r>
    </w:p>
    <w:p w14:paraId="4941169C" w14:textId="7A91CABA" w:rsidR="009C2E7D" w:rsidRDefault="009C2E7D" w:rsidP="009C2E7D">
      <w:r>
        <w:t>220 mg: zwei 110-mg-Beutel</w:t>
      </w:r>
    </w:p>
    <w:p w14:paraId="0391CF8C" w14:textId="77777777" w:rsidR="009C2E7D" w:rsidRDefault="009C2E7D" w:rsidP="009C2E7D">
      <w:r>
        <w:t>260 mg: ein 110-mg- und ein 150-mg-Beutel</w:t>
      </w:r>
    </w:p>
    <w:p w14:paraId="77DC5757" w14:textId="78522CE9" w:rsidR="00410892" w:rsidRDefault="009C2E7D" w:rsidP="009C2E7D">
      <w:r>
        <w:t>300 mg: zwei 150-mg-Beutel</w:t>
      </w:r>
    </w:p>
    <w:p w14:paraId="3AD354F7" w14:textId="77777777" w:rsidR="009C2E7D" w:rsidRDefault="009C2E7D" w:rsidP="00376F80"/>
    <w:p w14:paraId="747699FA" w14:textId="3CFF5A47" w:rsidR="00882603" w:rsidRPr="007164FF" w:rsidRDefault="007164FF" w:rsidP="00376F80">
      <w:pPr>
        <w:rPr>
          <w:b/>
          <w:bCs/>
        </w:rPr>
      </w:pPr>
      <w:r w:rsidRPr="007164FF">
        <w:rPr>
          <w:b/>
          <w:bCs/>
        </w:rPr>
        <w:t>Anwendungsdauer</w:t>
      </w:r>
    </w:p>
    <w:p w14:paraId="1E573400" w14:textId="502552B9" w:rsidR="00882603" w:rsidRDefault="007164FF" w:rsidP="00376F80">
      <w:r>
        <w:t>Die Therapiedauer sollte nach Abschätzung des Nutzen-Risiko-Verhältnisses individuell angepasst werden.</w:t>
      </w:r>
    </w:p>
    <w:p w14:paraId="55D2DF52" w14:textId="77777777" w:rsidR="00882603" w:rsidRDefault="00882603" w:rsidP="00376F80"/>
    <w:p w14:paraId="77EF2BCF" w14:textId="27D57EDF" w:rsidR="00755DD1" w:rsidRPr="00755DD1" w:rsidRDefault="00755DD1" w:rsidP="00755DD1">
      <w:pPr>
        <w:rPr>
          <w:b/>
          <w:bCs/>
        </w:rPr>
      </w:pPr>
      <w:r w:rsidRPr="00755DD1">
        <w:rPr>
          <w:b/>
          <w:bCs/>
        </w:rPr>
        <w:t>Empfehlung zur Überprüfung der Nierenfunktion</w:t>
      </w:r>
    </w:p>
    <w:p w14:paraId="565FA994" w14:textId="69E965E9" w:rsidR="00755DD1" w:rsidRDefault="00755DD1" w:rsidP="00755DD1">
      <w:r>
        <w:t xml:space="preserve">• Vor </w:t>
      </w:r>
      <w:r w:rsidR="00764E57">
        <w:t>Beginn d</w:t>
      </w:r>
      <w:r>
        <w:t xml:space="preserve">er Behandlung mit Dabigatranetexilat sollte die </w:t>
      </w:r>
      <w:r w:rsidR="00764E57" w:rsidRPr="00764E57">
        <w:t>geschätzte glomeruläre Filtrationsrate (eGFR) anhand der Schwartz-Formel geschätzt werden (Methode zur Kreatinin-Bestimmung mit lokalem Labor abgleichen).</w:t>
      </w:r>
    </w:p>
    <w:p w14:paraId="2EF97D04" w14:textId="64DF7974" w:rsidR="00755DD1" w:rsidRDefault="00755DD1" w:rsidP="00764E57">
      <w:r>
        <w:t xml:space="preserve">• </w:t>
      </w:r>
      <w:r w:rsidR="00764E57">
        <w:t>Bei Kindern und Jugendlichen mit einer eGFR &lt; 50 ml/min/1,73 m</w:t>
      </w:r>
      <w:r w:rsidR="00764E57" w:rsidRPr="0045012F">
        <w:rPr>
          <w:vertAlign w:val="superscript"/>
        </w:rPr>
        <w:t>2</w:t>
      </w:r>
      <w:r w:rsidR="00764E57">
        <w:t xml:space="preserve"> ist eine Behandlung mit </w:t>
      </w:r>
      <w:r w:rsidR="0045012F" w:rsidRPr="0045012F">
        <w:t>Dabigatranetexilat</w:t>
      </w:r>
      <w:r w:rsidR="00764E57">
        <w:t xml:space="preserve"> kontraindiziert (siehe Abschnitt Kontraindikationen).</w:t>
      </w:r>
    </w:p>
    <w:p w14:paraId="41BAD7A1" w14:textId="704E5100" w:rsidR="00755DD1" w:rsidRDefault="00784274" w:rsidP="00755DD1">
      <w:r w:rsidRPr="00784274">
        <w:t>•</w:t>
      </w:r>
      <w:r>
        <w:t xml:space="preserve"> </w:t>
      </w:r>
      <w:r w:rsidRPr="00784274">
        <w:t>Patienten mit einer eGFR ≥ 50 ml/min/1,73 m</w:t>
      </w:r>
      <w:r w:rsidRPr="00784274">
        <w:rPr>
          <w:vertAlign w:val="superscript"/>
        </w:rPr>
        <w:t>2</w:t>
      </w:r>
      <w:r w:rsidRPr="00784274">
        <w:t xml:space="preserve"> sollten mit der geeigneten Dosis gemäß der entsprechenden Dosierungstabelle oben behandelt werden (siehe Tabellen 1–</w:t>
      </w:r>
      <w:r w:rsidR="00836CA0">
        <w:t>3</w:t>
      </w:r>
      <w:r w:rsidRPr="00784274">
        <w:t>).</w:t>
      </w:r>
    </w:p>
    <w:p w14:paraId="3CE5BF75" w14:textId="77777777" w:rsidR="00784274" w:rsidRDefault="00784274" w:rsidP="00755DD1"/>
    <w:p w14:paraId="1DA76150" w14:textId="77777777" w:rsidR="008659B7" w:rsidRPr="008659B7" w:rsidRDefault="008659B7" w:rsidP="008659B7">
      <w:pPr>
        <w:rPr>
          <w:b/>
          <w:bCs/>
        </w:rPr>
      </w:pPr>
      <w:r w:rsidRPr="008659B7">
        <w:rPr>
          <w:b/>
          <w:bCs/>
        </w:rPr>
        <w:t>Umstellung</w:t>
      </w:r>
    </w:p>
    <w:p w14:paraId="394D055E" w14:textId="77777777" w:rsidR="008659B7" w:rsidRPr="008659B7" w:rsidRDefault="008659B7" w:rsidP="008659B7">
      <w:pPr>
        <w:rPr>
          <w:i/>
          <w:iCs/>
        </w:rPr>
      </w:pPr>
      <w:r w:rsidRPr="008659B7">
        <w:rPr>
          <w:i/>
          <w:iCs/>
        </w:rPr>
        <w:t>Von Dabigatranetexilat auf ein parenterales Antikoagulans</w:t>
      </w:r>
    </w:p>
    <w:p w14:paraId="5AD3AFAD" w14:textId="77777777" w:rsidR="008659B7" w:rsidRDefault="008659B7" w:rsidP="008659B7">
      <w:r>
        <w:t>Es wird empfohlen nach der letzten Dosis 12 Stunden zu warten, bevor von Dabigatranetexilat auf ein parenterales Antikoagulans umgestellt wird.</w:t>
      </w:r>
    </w:p>
    <w:p w14:paraId="4D576E80" w14:textId="77777777" w:rsidR="008659B7" w:rsidRDefault="008659B7" w:rsidP="008659B7">
      <w:pPr>
        <w:rPr>
          <w:i/>
          <w:iCs/>
        </w:rPr>
      </w:pPr>
    </w:p>
    <w:p w14:paraId="06077976" w14:textId="2F904943" w:rsidR="008659B7" w:rsidRPr="008659B7" w:rsidRDefault="008659B7" w:rsidP="008659B7">
      <w:pPr>
        <w:rPr>
          <w:i/>
          <w:iCs/>
        </w:rPr>
      </w:pPr>
      <w:r w:rsidRPr="008659B7">
        <w:rPr>
          <w:i/>
          <w:iCs/>
        </w:rPr>
        <w:t>Von einem parenteralen Antikoagulans auf Dabigatranetexilat</w:t>
      </w:r>
    </w:p>
    <w:p w14:paraId="67CB4FC6" w14:textId="4CF17DA6" w:rsidR="008659B7" w:rsidRDefault="008659B7" w:rsidP="008659B7">
      <w:r>
        <w:t xml:space="preserve">Die parenterale Antikoagulation </w:t>
      </w:r>
      <w:r w:rsidR="00410892">
        <w:t>sollte beendet und</w:t>
      </w:r>
      <w:r>
        <w:t xml:space="preserve"> Dabigatranetexilat </w:t>
      </w:r>
      <w:r w:rsidR="00410892">
        <w:t xml:space="preserve">sollte </w:t>
      </w:r>
      <w:r>
        <w:t>0–2 Stunden vor der nächsten vorgesehenen Anwendung des Alternativpräparates oder bei fortlaufender Behandlung (z</w:t>
      </w:r>
      <w:r w:rsidR="009E70A0">
        <w:t>. </w:t>
      </w:r>
      <w:r>
        <w:t>B. intravenöse Behandlung mit unfraktioniertem Heparin</w:t>
      </w:r>
      <w:r w:rsidR="00784274">
        <w:t xml:space="preserve"> [UFH]</w:t>
      </w:r>
      <w:r>
        <w:t xml:space="preserve">) zum Zeitpunkt des Absetzens </w:t>
      </w:r>
      <w:r w:rsidR="00410892">
        <w:t>ge</w:t>
      </w:r>
      <w:r>
        <w:t>geben</w:t>
      </w:r>
      <w:r w:rsidR="00410892">
        <w:t xml:space="preserve"> werden</w:t>
      </w:r>
      <w:r>
        <w:t>.</w:t>
      </w:r>
    </w:p>
    <w:p w14:paraId="0CF6763B" w14:textId="77777777" w:rsidR="008659B7" w:rsidRDefault="008659B7" w:rsidP="008659B7"/>
    <w:p w14:paraId="772E403C" w14:textId="7BA2E920" w:rsidR="008659B7" w:rsidRPr="008659B7" w:rsidRDefault="008659B7" w:rsidP="008659B7">
      <w:pPr>
        <w:rPr>
          <w:i/>
          <w:iCs/>
        </w:rPr>
      </w:pPr>
      <w:r w:rsidRPr="008659B7">
        <w:rPr>
          <w:i/>
          <w:iCs/>
        </w:rPr>
        <w:t xml:space="preserve">Von </w:t>
      </w:r>
      <w:r w:rsidR="00784274" w:rsidRPr="008659B7">
        <w:rPr>
          <w:i/>
          <w:iCs/>
        </w:rPr>
        <w:t xml:space="preserve">Dabigatranetexilat </w:t>
      </w:r>
      <w:r w:rsidR="00784274">
        <w:rPr>
          <w:i/>
          <w:iCs/>
        </w:rPr>
        <w:t xml:space="preserve">auf </w:t>
      </w:r>
      <w:r w:rsidRPr="008659B7">
        <w:rPr>
          <w:i/>
          <w:iCs/>
        </w:rPr>
        <w:t>Vitamin</w:t>
      </w:r>
      <w:r w:rsidR="00410892">
        <w:rPr>
          <w:i/>
          <w:iCs/>
        </w:rPr>
        <w:t>-</w:t>
      </w:r>
      <w:r w:rsidRPr="008659B7">
        <w:rPr>
          <w:i/>
          <w:iCs/>
        </w:rPr>
        <w:t xml:space="preserve">K-Antagonisten </w:t>
      </w:r>
      <w:r w:rsidR="00784274">
        <w:rPr>
          <w:i/>
          <w:iCs/>
        </w:rPr>
        <w:t>(VKA)</w:t>
      </w:r>
    </w:p>
    <w:p w14:paraId="68E2DB16" w14:textId="251F6CC6" w:rsidR="00784274" w:rsidRDefault="00784274" w:rsidP="00784274">
      <w:r>
        <w:t>Die Behandlung mit VKA sollte 3 Tage vor dem Ende der Dabigatranetexilat-Behandlung begonnen werden.</w:t>
      </w:r>
    </w:p>
    <w:p w14:paraId="1330B01A" w14:textId="575F53B3" w:rsidR="00784274" w:rsidRDefault="00784274" w:rsidP="00784274">
      <w:r>
        <w:t xml:space="preserve">Da Dabigatranetexilat die International Normalised Ratio (INR)-Werte beeinflussen kann, zeigt sich die Wirkung des Vitamin-K-Antagonisten im INR-Test frühestens zwei Tage nach Abbruch der </w:t>
      </w:r>
      <w:r>
        <w:lastRenderedPageBreak/>
        <w:t>Dabigatranetexilat-Behandlung. Bis zu diesem Zeitpunkt sollten die INR-Werte mit Vorsicht interpretiert werden.</w:t>
      </w:r>
    </w:p>
    <w:p w14:paraId="4DE09E5A" w14:textId="77777777" w:rsidR="00784274" w:rsidRDefault="00784274" w:rsidP="00784274"/>
    <w:p w14:paraId="3D27B26B" w14:textId="0DFD4564" w:rsidR="00784274" w:rsidRPr="00784274" w:rsidRDefault="00784274" w:rsidP="00784274">
      <w:pPr>
        <w:rPr>
          <w:i/>
          <w:iCs/>
        </w:rPr>
      </w:pPr>
      <w:r w:rsidRPr="00784274">
        <w:rPr>
          <w:i/>
          <w:iCs/>
        </w:rPr>
        <w:t xml:space="preserve">Von VKA auf </w:t>
      </w:r>
      <w:r w:rsidR="008919A4">
        <w:t>Dabigatranetexilat</w:t>
      </w:r>
    </w:p>
    <w:p w14:paraId="59B2CBF3" w14:textId="5256C658" w:rsidR="00784274" w:rsidRDefault="00784274" w:rsidP="00784274">
      <w:r>
        <w:t>Eine Behandlung mit VKA sollte beendet werden. Die Anwendung von Dabigatranetexilat kann erfolgen, sobald der INR-Wert &lt; 2,0 ist.</w:t>
      </w:r>
    </w:p>
    <w:p w14:paraId="44DE687D" w14:textId="77777777" w:rsidR="00784274" w:rsidRDefault="00784274" w:rsidP="008659B7">
      <w:pPr>
        <w:rPr>
          <w:i/>
          <w:iCs/>
        </w:rPr>
      </w:pPr>
    </w:p>
    <w:p w14:paraId="0A30FBF3" w14:textId="66040FC8" w:rsidR="008659B7" w:rsidRPr="00E677EE" w:rsidRDefault="008659B7" w:rsidP="008659B7">
      <w:pPr>
        <w:rPr>
          <w:b/>
          <w:bCs/>
        </w:rPr>
      </w:pPr>
      <w:r w:rsidRPr="00E677EE">
        <w:rPr>
          <w:b/>
          <w:bCs/>
        </w:rPr>
        <w:t>Art der Anwendung</w:t>
      </w:r>
    </w:p>
    <w:p w14:paraId="6D1E35A7" w14:textId="4848F9D2" w:rsidR="00410892" w:rsidRDefault="00410892" w:rsidP="008659B7">
      <w:r w:rsidRPr="0090064F">
        <w:rPr>
          <w:b/>
        </w:rPr>
        <w:t xml:space="preserve">Dabigatranetexilat </w:t>
      </w:r>
      <w:r w:rsidRPr="00DB105C">
        <w:rPr>
          <w:b/>
        </w:rPr>
        <w:t>75 mg, 110 mg, 150 mg Kapseln</w:t>
      </w:r>
    </w:p>
    <w:p w14:paraId="143E567F" w14:textId="4B6497BE" w:rsidR="008659B7" w:rsidRDefault="008659B7" w:rsidP="008659B7">
      <w:r>
        <w:t>Dabigatranetexilat</w:t>
      </w:r>
      <w:r w:rsidR="00B23689">
        <w:t xml:space="preserve"> Kapseln</w:t>
      </w:r>
      <w:r>
        <w:t xml:space="preserve"> </w:t>
      </w:r>
      <w:r w:rsidR="00B23689">
        <w:t>sind</w:t>
      </w:r>
      <w:r>
        <w:t xml:space="preserve"> zum Einnehmen bestimmt.</w:t>
      </w:r>
    </w:p>
    <w:p w14:paraId="368908F9" w14:textId="47423C54" w:rsidR="008659B7" w:rsidRDefault="008659B7" w:rsidP="008659B7">
      <w:r>
        <w:t>•</w:t>
      </w:r>
      <w:r w:rsidR="00667F69">
        <w:t xml:space="preserve"> </w:t>
      </w:r>
      <w:r>
        <w:t>Die Kapseln können zu oder unabhängig von den Mahlzeiten eingenommen werden. Dabigatranetexilat sollte unzerkaut mit einem Glas Wasser geschluckt werden, um den Transport in den Magen zu gewährleisten.</w:t>
      </w:r>
    </w:p>
    <w:p w14:paraId="422A1332" w14:textId="3BA98E6C" w:rsidR="008659B7" w:rsidRDefault="008659B7" w:rsidP="008659B7">
      <w:r>
        <w:t>•</w:t>
      </w:r>
      <w:r w:rsidR="00667F69">
        <w:t xml:space="preserve"> </w:t>
      </w:r>
      <w:r>
        <w:t>Die Kapsel</w:t>
      </w:r>
      <w:r w:rsidR="00B23689">
        <w:t>n</w:t>
      </w:r>
      <w:r>
        <w:t xml:space="preserve"> nicht zerbrechen oder kauen und den Kapselinhalt nicht ausleeren, weil dies das Risiko für Blutungen erhöhen kann.</w:t>
      </w:r>
    </w:p>
    <w:p w14:paraId="4A4FCF0D" w14:textId="77777777" w:rsidR="00410892" w:rsidRPr="0090064F" w:rsidRDefault="00410892" w:rsidP="00410892">
      <w:pPr>
        <w:rPr>
          <w:b/>
        </w:rPr>
      </w:pPr>
      <w:r w:rsidRPr="0090064F">
        <w:rPr>
          <w:b/>
        </w:rPr>
        <w:t>Dabigatranetexilat 20 mg, 30 mg, 40 mg, 50 mg, 110 mg, 150 mg überzogenes Granulat</w:t>
      </w:r>
    </w:p>
    <w:p w14:paraId="632F3DBA" w14:textId="72C6EF86" w:rsidR="008659B7" w:rsidRDefault="00410892" w:rsidP="00410892">
      <w:r w:rsidRPr="0090064F">
        <w:t xml:space="preserve">Dabigatranetexilat </w:t>
      </w:r>
      <w:r>
        <w:t>überzogenes Granulat ist zum Einnehmen bestimmt. Die Hinweise für den Gebrauch müssen sorgfältig beachtet werden.</w:t>
      </w:r>
    </w:p>
    <w:p w14:paraId="65613E05" w14:textId="77777777" w:rsidR="00410892" w:rsidRDefault="00410892" w:rsidP="008659B7"/>
    <w:p w14:paraId="2431D83E" w14:textId="72C98E36" w:rsidR="008659B7" w:rsidRPr="008659B7" w:rsidRDefault="008659B7" w:rsidP="008659B7">
      <w:pPr>
        <w:rPr>
          <w:b/>
          <w:bCs/>
          <w:sz w:val="28"/>
          <w:szCs w:val="28"/>
        </w:rPr>
      </w:pPr>
      <w:r w:rsidRPr="008659B7">
        <w:rPr>
          <w:b/>
          <w:bCs/>
          <w:sz w:val="28"/>
          <w:szCs w:val="28"/>
        </w:rPr>
        <w:t>Besondere Patientengruppen mit potenziell erhöhtem Blutungsrisiko</w:t>
      </w:r>
    </w:p>
    <w:p w14:paraId="7D28D0AD" w14:textId="33D66D62" w:rsidR="00B23689" w:rsidRDefault="00B23689" w:rsidP="00B23689">
      <w:r>
        <w:t xml:space="preserve">Bei Patienten mit einem erhöhten Blutungsrisiko (siehe </w:t>
      </w:r>
      <w:r w:rsidRPr="004654C5">
        <w:t xml:space="preserve">Tabelle </w:t>
      </w:r>
      <w:r w:rsidR="004654C5">
        <w:t>4</w:t>
      </w:r>
      <w:r>
        <w:t>) wird eine engmaschige Überwachung auf Anzeichen für eine Blutung oder Anämie empfohlen, insbesondere bei Kombination von Risikofaktoren. Bei einem ungeklärten Abfall des Hämoglobin- und/oder Hämatokritwertes oder des Blutdrucks sollte nach einer Blutungsstelle gesucht werden. Bei Auftreten einer klinisch relevanten Blutung sollte die Behandlung unterbrochen werden. Für weitere Informationen siehe Abschnitt „Blutgerinnungstests und deren Interpretation“.</w:t>
      </w:r>
    </w:p>
    <w:p w14:paraId="3A831CBC" w14:textId="5BD6A6E6" w:rsidR="008C7377" w:rsidRDefault="00B23689" w:rsidP="00B23689">
      <w:r>
        <w:t>Die Wirksamkeit und Sicherheit des spezifischen Antidots (Idarucizumab) ist bei Kindern und Jugendlichen nicht erwiesen. Dabigatran kann durch Hämodialyse eliminiert werden.</w:t>
      </w:r>
    </w:p>
    <w:p w14:paraId="46531AC0" w14:textId="442F0CB6" w:rsidR="008659B7" w:rsidRDefault="008C7377" w:rsidP="008C7377">
      <w:pPr>
        <w:rPr>
          <w:b/>
          <w:bCs/>
        </w:rPr>
      </w:pPr>
      <w:r w:rsidRPr="00864DFA">
        <w:rPr>
          <w:b/>
          <w:bCs/>
        </w:rPr>
        <w:t xml:space="preserve">Tabelle </w:t>
      </w:r>
      <w:r w:rsidR="004654C5">
        <w:rPr>
          <w:b/>
          <w:bCs/>
        </w:rPr>
        <w:t>4</w:t>
      </w:r>
      <w:r w:rsidRPr="00864DFA">
        <w:rPr>
          <w:b/>
          <w:bCs/>
        </w:rPr>
        <w:t>: Faktoren, die das Blutungsrisiko erhöhen können</w:t>
      </w:r>
    </w:p>
    <w:tbl>
      <w:tblPr>
        <w:tblStyle w:val="Tabellenraster"/>
        <w:tblW w:w="0" w:type="auto"/>
        <w:tblLook w:val="04A0" w:firstRow="1" w:lastRow="0" w:firstColumn="1" w:lastColumn="0" w:noHBand="0" w:noVBand="1"/>
      </w:tblPr>
      <w:tblGrid>
        <w:gridCol w:w="4531"/>
        <w:gridCol w:w="4531"/>
      </w:tblGrid>
      <w:tr w:rsidR="00864DFA" w14:paraId="25E1C848" w14:textId="77777777" w:rsidTr="00864DFA">
        <w:tc>
          <w:tcPr>
            <w:tcW w:w="4531" w:type="dxa"/>
          </w:tcPr>
          <w:p w14:paraId="364EC8BF" w14:textId="15F34605" w:rsidR="00864DFA" w:rsidRDefault="00864DFA" w:rsidP="008C7377">
            <w:r w:rsidRPr="00864DFA">
              <w:t>Faktoren, die den Dabigatran-Plasmaspiegel erhöhen</w:t>
            </w:r>
          </w:p>
        </w:tc>
        <w:tc>
          <w:tcPr>
            <w:tcW w:w="4531" w:type="dxa"/>
          </w:tcPr>
          <w:p w14:paraId="4C467A1E" w14:textId="68C1D273" w:rsidR="00B23689" w:rsidRDefault="00B23689" w:rsidP="00B23689">
            <w:r>
              <w:t>• Starke P-Glykoproteinhemmer (siehe Abschnitt Kontraindikationen)</w:t>
            </w:r>
          </w:p>
          <w:p w14:paraId="07781C49" w14:textId="6EF2813E" w:rsidR="00864DFA" w:rsidRDefault="00B23689" w:rsidP="00B23689">
            <w:r>
              <w:t>• Gleichzeitige Behandlung mit leichten bis mäßigen P-Glykoproteinhemmern (z. B. Amiodaron, Verapamil, Chinidin und Ticagrelor)</w:t>
            </w:r>
          </w:p>
        </w:tc>
      </w:tr>
      <w:tr w:rsidR="00B23689" w14:paraId="49ABD3AB" w14:textId="77777777" w:rsidTr="00864DFA">
        <w:tc>
          <w:tcPr>
            <w:tcW w:w="4531" w:type="dxa"/>
          </w:tcPr>
          <w:p w14:paraId="1C684762" w14:textId="1B15A60B" w:rsidR="00B23689" w:rsidRPr="00864DFA" w:rsidRDefault="00B23689" w:rsidP="008C7377">
            <w:r w:rsidRPr="00A24445">
              <w:t>Pharmakodynamische Wechselwirkungen</w:t>
            </w:r>
          </w:p>
        </w:tc>
        <w:tc>
          <w:tcPr>
            <w:tcW w:w="4531" w:type="dxa"/>
          </w:tcPr>
          <w:p w14:paraId="7C0735D3" w14:textId="77777777" w:rsidR="00B23689" w:rsidRDefault="00B23689" w:rsidP="00B23689">
            <w:r>
              <w:t>Acetylsalicylsäure und andere Thrombozytenaggregationshemmer wie Clopidogrel</w:t>
            </w:r>
          </w:p>
          <w:p w14:paraId="3BA8DA16" w14:textId="04E636AE" w:rsidR="00B23689" w:rsidRDefault="00B23689" w:rsidP="00B23689">
            <w:r>
              <w:t>• NSAR</w:t>
            </w:r>
            <w:r w:rsidR="00836CA0">
              <w:t>†</w:t>
            </w:r>
          </w:p>
          <w:p w14:paraId="57C35056" w14:textId="77777777" w:rsidR="00B23689" w:rsidRDefault="00B23689" w:rsidP="00B23689">
            <w:r>
              <w:t>• SSRIs oder SNRIs†</w:t>
            </w:r>
          </w:p>
          <w:p w14:paraId="6787393D" w14:textId="7AEDE4FB" w:rsidR="00B23689" w:rsidRPr="0079187C" w:rsidRDefault="00B23689" w:rsidP="00B23689">
            <w:pPr>
              <w:rPr>
                <w:b/>
                <w:bCs/>
              </w:rPr>
            </w:pPr>
            <w:r>
              <w:lastRenderedPageBreak/>
              <w:t>• Weitere Arzneimittel, welche die Hämostase beeinträchtigen können</w:t>
            </w:r>
          </w:p>
        </w:tc>
      </w:tr>
      <w:tr w:rsidR="00B23689" w14:paraId="20EE9F37" w14:textId="77777777" w:rsidTr="00864DFA">
        <w:tc>
          <w:tcPr>
            <w:tcW w:w="4531" w:type="dxa"/>
          </w:tcPr>
          <w:p w14:paraId="11585302" w14:textId="09AFE332" w:rsidR="00B23689" w:rsidRPr="00864DFA" w:rsidRDefault="00B23689" w:rsidP="008C7377">
            <w:r w:rsidRPr="00A24445">
              <w:lastRenderedPageBreak/>
              <w:t>Erkrankungen/Eingriffe mit besonderem Blutungsrisiko</w:t>
            </w:r>
          </w:p>
        </w:tc>
        <w:tc>
          <w:tcPr>
            <w:tcW w:w="4531" w:type="dxa"/>
          </w:tcPr>
          <w:p w14:paraId="5BCEA384" w14:textId="77777777" w:rsidR="00B23689" w:rsidRDefault="00B23689" w:rsidP="003260A6">
            <w:pPr>
              <w:pStyle w:val="Listenabsatz"/>
              <w:numPr>
                <w:ilvl w:val="0"/>
                <w:numId w:val="5"/>
              </w:numPr>
              <w:ind w:left="183" w:hanging="183"/>
            </w:pPr>
            <w:r>
              <w:t>Angeborene oder erworbene Gerinnungsstörungen</w:t>
            </w:r>
          </w:p>
          <w:p w14:paraId="6D1C4D92" w14:textId="6A7C0EC3" w:rsidR="00410892" w:rsidRDefault="00B23689" w:rsidP="00B23689">
            <w:r>
              <w:t>• Thrombozytopenie oder funktionelle Thrombozytendefekte</w:t>
            </w:r>
          </w:p>
          <w:p w14:paraId="344F3126" w14:textId="40D63442" w:rsidR="00410892" w:rsidRDefault="00410892" w:rsidP="003260A6">
            <w:pPr>
              <w:pStyle w:val="Listenabsatz"/>
              <w:ind w:left="33"/>
            </w:pPr>
            <w:r>
              <w:t>• Ösophagitis, Gastritis oder gastro-ösophagealer Reflux</w:t>
            </w:r>
          </w:p>
          <w:p w14:paraId="121E4BC7" w14:textId="77777777" w:rsidR="00B23689" w:rsidRDefault="00B23689" w:rsidP="00B23689">
            <w:r>
              <w:t>• Kürzlich durchgeführte Biopsie oder kürzlich aufgetretenes schweres Trauma</w:t>
            </w:r>
          </w:p>
          <w:p w14:paraId="2F4DD40E" w14:textId="77777777" w:rsidR="00B23689" w:rsidRDefault="00B23689" w:rsidP="00B23689">
            <w:r>
              <w:t>• Bakterielle Endokarditis</w:t>
            </w:r>
          </w:p>
          <w:p w14:paraId="04753E95" w14:textId="5C07803A" w:rsidR="00B23689" w:rsidRPr="0079187C" w:rsidRDefault="00B23689" w:rsidP="00B23689">
            <w:pPr>
              <w:rPr>
                <w:b/>
                <w:bCs/>
              </w:rPr>
            </w:pPr>
          </w:p>
        </w:tc>
      </w:tr>
    </w:tbl>
    <w:p w14:paraId="2E58BBB7" w14:textId="3E4FC988" w:rsidR="00A24445" w:rsidRDefault="00265906" w:rsidP="00265906">
      <w:r>
        <w:t xml:space="preserve">† </w:t>
      </w:r>
      <w:r w:rsidR="00B23689" w:rsidRPr="00B23689">
        <w:t>NSAR: nicht-steroidale Antirheumatika; SSRI: Selektive-Serotonin-Wiederaufnahmehemmer; SNRI: Serotonin-Noradrenalin-Wiederaufnahmehemmer</w:t>
      </w:r>
    </w:p>
    <w:p w14:paraId="57392B08" w14:textId="3A9ABE7A" w:rsidR="00265906" w:rsidRDefault="00265906" w:rsidP="008C7377"/>
    <w:p w14:paraId="5D8A2550" w14:textId="77777777" w:rsidR="00E677EE" w:rsidRDefault="00E677EE" w:rsidP="008C7377"/>
    <w:p w14:paraId="41D1036E" w14:textId="51B74247" w:rsidR="0079187C" w:rsidRPr="0079187C" w:rsidRDefault="0079187C" w:rsidP="008C7377">
      <w:pPr>
        <w:rPr>
          <w:b/>
          <w:bCs/>
          <w:sz w:val="28"/>
          <w:szCs w:val="28"/>
        </w:rPr>
      </w:pPr>
      <w:r w:rsidRPr="0079187C">
        <w:rPr>
          <w:b/>
          <w:bCs/>
          <w:sz w:val="28"/>
          <w:szCs w:val="28"/>
        </w:rPr>
        <w:t>Perioperatives Management</w:t>
      </w:r>
    </w:p>
    <w:p w14:paraId="670EF025" w14:textId="4F2AC2B4" w:rsidR="0079187C" w:rsidRDefault="0079187C" w:rsidP="00B8420D">
      <w:pPr>
        <w:rPr>
          <w:b/>
          <w:bCs/>
        </w:rPr>
      </w:pPr>
      <w:r w:rsidRPr="0079187C">
        <w:rPr>
          <w:b/>
          <w:bCs/>
        </w:rPr>
        <w:t>Chirurgische und invasive interventionelle Eingriffe</w:t>
      </w:r>
    </w:p>
    <w:p w14:paraId="23E7112A" w14:textId="7255F7C3" w:rsidR="00B8420D" w:rsidRDefault="00B8420D" w:rsidP="00B8420D">
      <w:r>
        <w:t>Bei Patienten, die sich einem chirurgischen oder invasiven Eingriff unterziehen müssen, besteht ein erhöhtes Blutungsrisiko. Daher ist in diesen Fällen möglicherweise ein vorübergehendes Absetzen von Dabigatranetexilat erforderlich.</w:t>
      </w:r>
    </w:p>
    <w:p w14:paraId="3A1B78B4" w14:textId="1919E178" w:rsidR="00B8420D" w:rsidRDefault="00B8420D" w:rsidP="00B8420D">
      <w:r>
        <w:t>Bei Patienten mit Niereninsuffizienz kann die Dabigatran-Clearance verlängert sein. Dies sollte stets bei der Planung eines Eingriffs im Vorfeld berücksichtigt werden.</w:t>
      </w:r>
    </w:p>
    <w:p w14:paraId="4AF255F3" w14:textId="77777777" w:rsidR="00B8420D" w:rsidRDefault="00B8420D" w:rsidP="00B8420D"/>
    <w:p w14:paraId="4DD82CD5" w14:textId="77777777" w:rsidR="00B8420D" w:rsidRPr="00B8420D" w:rsidRDefault="00B8420D" w:rsidP="00B8420D">
      <w:pPr>
        <w:rPr>
          <w:b/>
          <w:bCs/>
        </w:rPr>
      </w:pPr>
      <w:r w:rsidRPr="00B8420D">
        <w:rPr>
          <w:b/>
          <w:bCs/>
        </w:rPr>
        <w:t>Notfalloperationen oder dringende Eingriffe</w:t>
      </w:r>
    </w:p>
    <w:p w14:paraId="793CD43F" w14:textId="17C6437C" w:rsidR="00B8420D" w:rsidRDefault="00B8420D" w:rsidP="00B8420D">
      <w:r>
        <w:t xml:space="preserve">Die Anwendung von Dabigatranetexilat sollte vorübergehend unterbrochen werden. </w:t>
      </w:r>
      <w:r w:rsidR="00213E1E" w:rsidRPr="00213E1E">
        <w:t>Dabigatran kann durch Hämodialyse eliminiert werden. Durch die Beendigung der Dabigatran-Therapie werden die Patienten dem thrombotischen Risiko ihrer Grunderkrankung ausgesetzt.</w:t>
      </w:r>
    </w:p>
    <w:p w14:paraId="0BD3AA13" w14:textId="77777777" w:rsidR="00B8420D" w:rsidRDefault="00B8420D" w:rsidP="00B8420D"/>
    <w:p w14:paraId="52305532" w14:textId="77777777" w:rsidR="00B8420D" w:rsidRPr="00B8420D" w:rsidRDefault="00B8420D" w:rsidP="00B8420D">
      <w:pPr>
        <w:rPr>
          <w:b/>
          <w:bCs/>
        </w:rPr>
      </w:pPr>
      <w:r w:rsidRPr="00B8420D">
        <w:rPr>
          <w:b/>
          <w:bCs/>
        </w:rPr>
        <w:t>Subakute chirurgische Eingriffe / Operationen</w:t>
      </w:r>
    </w:p>
    <w:p w14:paraId="4E0069C7" w14:textId="5D8F8A80" w:rsidR="00265906" w:rsidRDefault="00B8420D" w:rsidP="00B8420D">
      <w:r>
        <w:t>Die Anwendung von Dabigatranetexilat sollte vorübergehend unterbrochen werden. Ein Eingriff sollte, wenn möglich, frühestens 12 Stunden nach der letzten Dosis erfolgen. Wenn der Eingriff nicht verschoben werden kann, kann ein erhöhtes Blutungsrisiko bestehen. Das Blutungsrisiko und die Dringlichkeit des Eingriffs sollten gegeneinander abgewogen werden.</w:t>
      </w:r>
    </w:p>
    <w:p w14:paraId="06A69DB5" w14:textId="40FCCD18" w:rsidR="00B8420D" w:rsidRDefault="00B8420D" w:rsidP="008C7377"/>
    <w:p w14:paraId="69682E99" w14:textId="77777777" w:rsidR="00B8420D" w:rsidRPr="00B8420D" w:rsidRDefault="00B8420D" w:rsidP="00B8420D">
      <w:pPr>
        <w:rPr>
          <w:b/>
          <w:bCs/>
        </w:rPr>
      </w:pPr>
      <w:r w:rsidRPr="00B8420D">
        <w:rPr>
          <w:b/>
          <w:bCs/>
        </w:rPr>
        <w:t>Elektive Operationen</w:t>
      </w:r>
    </w:p>
    <w:p w14:paraId="5CD08A28" w14:textId="120B94D0" w:rsidR="00B8420D" w:rsidRDefault="00B8420D" w:rsidP="00B8420D">
      <w:r>
        <w:t>Dabigatranetexilat sollte, wenn möglich, mindestens 24 Stunden vor einem invasiven oder chirurgischen Eingriff abgesetzt werden. Bei Patienten mit einem höheren Blutungsrisiko oder bei größeren Eingriffen, bei denen eine komplette Blutstillung erforderlich ist, kann es notwendig sein, die Anwendung von Dabigatranetexilat 2–4 Tage vor dem Eingriff zu beenden</w:t>
      </w:r>
      <w:r w:rsidR="00213E1E">
        <w:t>.</w:t>
      </w:r>
    </w:p>
    <w:p w14:paraId="11E29727" w14:textId="7287533D" w:rsidR="00657EB2" w:rsidRDefault="00213E1E" w:rsidP="00B8420D">
      <w:r w:rsidRPr="00213E1E">
        <w:t>Regeln zum Absetzen vor invasiven oder chirurgischen Eingriffen bei Kindern und Jugendlichen:</w:t>
      </w:r>
    </w:p>
    <w:tbl>
      <w:tblPr>
        <w:tblStyle w:val="Tabellenraster"/>
        <w:tblW w:w="0" w:type="auto"/>
        <w:tblLook w:val="04A0" w:firstRow="1" w:lastRow="0" w:firstColumn="1" w:lastColumn="0" w:noHBand="0" w:noVBand="1"/>
      </w:tblPr>
      <w:tblGrid>
        <w:gridCol w:w="4531"/>
        <w:gridCol w:w="4531"/>
      </w:tblGrid>
      <w:tr w:rsidR="00213E1E" w14:paraId="6B95352A" w14:textId="77777777" w:rsidTr="00213E1E">
        <w:tc>
          <w:tcPr>
            <w:tcW w:w="4531" w:type="dxa"/>
          </w:tcPr>
          <w:p w14:paraId="68A1C333" w14:textId="77777777" w:rsidR="00213E1E" w:rsidRDefault="00213E1E" w:rsidP="00213E1E">
            <w:r>
              <w:lastRenderedPageBreak/>
              <w:t>Nierenfunktion</w:t>
            </w:r>
          </w:p>
          <w:p w14:paraId="71E26333" w14:textId="20CA6661" w:rsidR="00213E1E" w:rsidRDefault="00213E1E" w:rsidP="00213E1E">
            <w:r>
              <w:t>(eGFR in ml/min/1,73 m</w:t>
            </w:r>
            <w:r w:rsidRPr="00213E1E">
              <w:rPr>
                <w:vertAlign w:val="superscript"/>
              </w:rPr>
              <w:t>2</w:t>
            </w:r>
            <w:r>
              <w:t>)</w:t>
            </w:r>
          </w:p>
        </w:tc>
        <w:tc>
          <w:tcPr>
            <w:tcW w:w="4531" w:type="dxa"/>
          </w:tcPr>
          <w:p w14:paraId="15049357" w14:textId="6243F816" w:rsidR="00213E1E" w:rsidRDefault="00213E1E" w:rsidP="008C7377">
            <w:r w:rsidRPr="00213E1E">
              <w:t>Dabigatran vor einem elektiven Eingriff absetzen</w:t>
            </w:r>
          </w:p>
        </w:tc>
      </w:tr>
      <w:tr w:rsidR="00213E1E" w14:paraId="1D9385FC" w14:textId="77777777" w:rsidTr="00213E1E">
        <w:tc>
          <w:tcPr>
            <w:tcW w:w="4531" w:type="dxa"/>
          </w:tcPr>
          <w:p w14:paraId="56256DD0" w14:textId="6122EF0D" w:rsidR="00213E1E" w:rsidRDefault="00213E1E" w:rsidP="008C7377">
            <w:r>
              <w:t xml:space="preserve">&gt; </w:t>
            </w:r>
            <w:r>
              <w:rPr>
                <w:spacing w:val="-5"/>
              </w:rPr>
              <w:t>80</w:t>
            </w:r>
          </w:p>
        </w:tc>
        <w:tc>
          <w:tcPr>
            <w:tcW w:w="4531" w:type="dxa"/>
          </w:tcPr>
          <w:p w14:paraId="74F2B195" w14:textId="5644C281" w:rsidR="00213E1E" w:rsidRDefault="00213E1E" w:rsidP="008C7377">
            <w:r>
              <w:t>24</w:t>
            </w:r>
            <w:r>
              <w:rPr>
                <w:spacing w:val="1"/>
              </w:rPr>
              <w:t xml:space="preserve"> </w:t>
            </w:r>
            <w:r>
              <w:t>Stunden</w:t>
            </w:r>
            <w:r>
              <w:rPr>
                <w:spacing w:val="2"/>
              </w:rPr>
              <w:t xml:space="preserve"> </w:t>
            </w:r>
            <w:r>
              <w:rPr>
                <w:spacing w:val="-2"/>
              </w:rPr>
              <w:t>vorher</w:t>
            </w:r>
          </w:p>
        </w:tc>
      </w:tr>
      <w:tr w:rsidR="00213E1E" w14:paraId="5DE74408" w14:textId="77777777" w:rsidTr="00213E1E">
        <w:tc>
          <w:tcPr>
            <w:tcW w:w="4531" w:type="dxa"/>
          </w:tcPr>
          <w:p w14:paraId="3F87DAE8" w14:textId="411085E9" w:rsidR="00213E1E" w:rsidRDefault="00213E1E" w:rsidP="008C7377">
            <w:r>
              <w:rPr>
                <w:spacing w:val="-2"/>
              </w:rPr>
              <w:t>50–80</w:t>
            </w:r>
          </w:p>
        </w:tc>
        <w:tc>
          <w:tcPr>
            <w:tcW w:w="4531" w:type="dxa"/>
          </w:tcPr>
          <w:p w14:paraId="59E5BF43" w14:textId="6AFB6735" w:rsidR="00213E1E" w:rsidRDefault="00213E1E" w:rsidP="008C7377">
            <w:r>
              <w:t>2</w:t>
            </w:r>
            <w:r>
              <w:rPr>
                <w:spacing w:val="-5"/>
              </w:rPr>
              <w:t xml:space="preserve"> </w:t>
            </w:r>
            <w:r>
              <w:t>Tage</w:t>
            </w:r>
            <w:r>
              <w:rPr>
                <w:spacing w:val="-5"/>
              </w:rPr>
              <w:t xml:space="preserve"> </w:t>
            </w:r>
            <w:r>
              <w:rPr>
                <w:spacing w:val="-2"/>
              </w:rPr>
              <w:t>vorher</w:t>
            </w:r>
          </w:p>
        </w:tc>
      </w:tr>
      <w:tr w:rsidR="00213E1E" w14:paraId="23B266FC" w14:textId="77777777" w:rsidTr="00213E1E">
        <w:tc>
          <w:tcPr>
            <w:tcW w:w="4531" w:type="dxa"/>
          </w:tcPr>
          <w:p w14:paraId="0C29C6D1" w14:textId="1883CE57" w:rsidR="00213E1E" w:rsidRDefault="00213E1E" w:rsidP="008C7377">
            <w:r>
              <w:t xml:space="preserve">&lt; </w:t>
            </w:r>
            <w:r>
              <w:rPr>
                <w:spacing w:val="-5"/>
              </w:rPr>
              <w:t>50</w:t>
            </w:r>
          </w:p>
        </w:tc>
        <w:tc>
          <w:tcPr>
            <w:tcW w:w="4531" w:type="dxa"/>
          </w:tcPr>
          <w:p w14:paraId="39BD0695" w14:textId="5F3472EA" w:rsidR="00213E1E" w:rsidRDefault="00213E1E" w:rsidP="008C7377">
            <w:r>
              <w:t>Diese Patienten wurden nicht in Studien untersucht (siehe</w:t>
            </w:r>
            <w:r>
              <w:rPr>
                <w:spacing w:val="-7"/>
              </w:rPr>
              <w:t xml:space="preserve"> </w:t>
            </w:r>
            <w:r>
              <w:t>Abschnitt</w:t>
            </w:r>
            <w:r>
              <w:rPr>
                <w:spacing w:val="-7"/>
              </w:rPr>
              <w:t xml:space="preserve"> </w:t>
            </w:r>
            <w:r>
              <w:t xml:space="preserve">Kontraindi- </w:t>
            </w:r>
            <w:r>
              <w:rPr>
                <w:spacing w:val="-2"/>
              </w:rPr>
              <w:t>kationen).</w:t>
            </w:r>
          </w:p>
        </w:tc>
      </w:tr>
    </w:tbl>
    <w:p w14:paraId="53C6E056" w14:textId="77777777" w:rsidR="00213E1E" w:rsidRDefault="00213E1E" w:rsidP="008C7377"/>
    <w:p w14:paraId="7F054A4B" w14:textId="77777777" w:rsidR="00657EB2" w:rsidRPr="00657EB2" w:rsidRDefault="00657EB2" w:rsidP="00657EB2">
      <w:pPr>
        <w:rPr>
          <w:b/>
          <w:bCs/>
        </w:rPr>
      </w:pPr>
      <w:r w:rsidRPr="00657EB2">
        <w:rPr>
          <w:b/>
          <w:bCs/>
        </w:rPr>
        <w:t>Spinalanästhesie / Epiduralanästhesie / Lumbalpunktion</w:t>
      </w:r>
    </w:p>
    <w:p w14:paraId="559557CB" w14:textId="4D1C9774" w:rsidR="00B8420D" w:rsidRDefault="00657EB2" w:rsidP="00657EB2">
      <w:r>
        <w:t xml:space="preserve">Das Risiko von Spinal- oder Epiduralhämatomen kann bei traumatischer oder wiederholter Punktion und bei längerem Einsatz von Epiduralkathetern erhöht sein. Nach dem Entfernen eines Katheters sollte bis zur Einnahme der ersten Dabigatranetexilat Dosis ein Abstand von mindestens 2 Stunden eingehalten werden. Bei diesen </w:t>
      </w:r>
      <w:r w:rsidRPr="0022558B">
        <w:rPr>
          <w:rFonts w:cstheme="minorHAnsi"/>
          <w:spacing w:val="-2"/>
        </w:rPr>
        <w:t>Patienten</w:t>
      </w:r>
      <w:r w:rsidRPr="0022558B">
        <w:rPr>
          <w:rFonts w:cstheme="minorHAnsi"/>
          <w:spacing w:val="-11"/>
        </w:rPr>
        <w:t xml:space="preserve"> </w:t>
      </w:r>
      <w:r w:rsidRPr="0022558B">
        <w:rPr>
          <w:rFonts w:cstheme="minorHAnsi"/>
          <w:spacing w:val="-2"/>
        </w:rPr>
        <w:t>sind</w:t>
      </w:r>
      <w:r w:rsidRPr="0022558B">
        <w:rPr>
          <w:rFonts w:cstheme="minorHAnsi"/>
          <w:spacing w:val="-11"/>
        </w:rPr>
        <w:t xml:space="preserve"> </w:t>
      </w:r>
      <w:r w:rsidRPr="0022558B">
        <w:rPr>
          <w:rFonts w:cstheme="minorHAnsi"/>
          <w:spacing w:val="-2"/>
        </w:rPr>
        <w:t>häufige</w:t>
      </w:r>
      <w:r w:rsidRPr="0022558B">
        <w:rPr>
          <w:rFonts w:cstheme="minorHAnsi"/>
          <w:spacing w:val="-11"/>
        </w:rPr>
        <w:t xml:space="preserve"> </w:t>
      </w:r>
      <w:r w:rsidRPr="0022558B">
        <w:rPr>
          <w:rFonts w:cstheme="minorHAnsi"/>
          <w:spacing w:val="-2"/>
        </w:rPr>
        <w:t>Kontrollen</w:t>
      </w:r>
      <w:r w:rsidRPr="0022558B">
        <w:rPr>
          <w:rFonts w:cstheme="minorHAnsi"/>
          <w:spacing w:val="-11"/>
        </w:rPr>
        <w:t xml:space="preserve"> </w:t>
      </w:r>
      <w:r w:rsidRPr="0022558B">
        <w:rPr>
          <w:rFonts w:cstheme="minorHAnsi"/>
          <w:spacing w:val="-2"/>
        </w:rPr>
        <w:t>auf</w:t>
      </w:r>
      <w:r w:rsidRPr="0022558B">
        <w:rPr>
          <w:rFonts w:cstheme="minorHAnsi"/>
          <w:spacing w:val="-11"/>
        </w:rPr>
        <w:t xml:space="preserve"> </w:t>
      </w:r>
      <w:r w:rsidRPr="0022558B">
        <w:rPr>
          <w:rFonts w:cstheme="minorHAnsi"/>
          <w:spacing w:val="-2"/>
        </w:rPr>
        <w:t>neurologische</w:t>
      </w:r>
      <w:r w:rsidRPr="0022558B">
        <w:rPr>
          <w:rFonts w:cstheme="minorHAnsi"/>
          <w:spacing w:val="-11"/>
        </w:rPr>
        <w:t xml:space="preserve"> </w:t>
      </w:r>
      <w:r w:rsidRPr="0022558B">
        <w:rPr>
          <w:rFonts w:cstheme="minorHAnsi"/>
          <w:spacing w:val="-2"/>
        </w:rPr>
        <w:t>An</w:t>
      </w:r>
      <w:r w:rsidRPr="0022558B">
        <w:rPr>
          <w:rFonts w:cstheme="minorHAnsi"/>
        </w:rPr>
        <w:t xml:space="preserve">zeichen und Symptome von Spinal- oder Epiduralhämatomen </w:t>
      </w:r>
      <w:r w:rsidRPr="0022558B">
        <w:rPr>
          <w:rFonts w:cstheme="minorHAnsi"/>
          <w:spacing w:val="-2"/>
        </w:rPr>
        <w:t>erforderlich.</w:t>
      </w:r>
    </w:p>
    <w:p w14:paraId="439E2044" w14:textId="021FB67C" w:rsidR="00B8420D" w:rsidRDefault="00B8420D" w:rsidP="008C7377"/>
    <w:p w14:paraId="15A85FDB" w14:textId="69119C81" w:rsidR="00657EB2" w:rsidRPr="00740AE4" w:rsidRDefault="00213E1E" w:rsidP="008C7377">
      <w:pPr>
        <w:rPr>
          <w:b/>
          <w:bCs/>
          <w:sz w:val="28"/>
          <w:szCs w:val="28"/>
        </w:rPr>
      </w:pPr>
      <w:r>
        <w:rPr>
          <w:b/>
          <w:bCs/>
          <w:sz w:val="28"/>
          <w:szCs w:val="28"/>
        </w:rPr>
        <w:t>Blutg</w:t>
      </w:r>
      <w:r w:rsidR="00657EB2" w:rsidRPr="00740AE4">
        <w:rPr>
          <w:b/>
          <w:bCs/>
          <w:sz w:val="28"/>
          <w:szCs w:val="28"/>
        </w:rPr>
        <w:t>erinnungstests</w:t>
      </w:r>
      <w:r w:rsidR="00740AE4" w:rsidRPr="00740AE4">
        <w:rPr>
          <w:b/>
          <w:bCs/>
          <w:sz w:val="28"/>
          <w:szCs w:val="28"/>
        </w:rPr>
        <w:t xml:space="preserve"> und deren Interpretation</w:t>
      </w:r>
    </w:p>
    <w:p w14:paraId="1339DE67" w14:textId="0AD6C3E3" w:rsidR="00657EB2" w:rsidRDefault="00213E1E" w:rsidP="00657EB2">
      <w:r>
        <w:t>Die Behandlung mit Dabigatranetexilat erfordert im Allgemeinen keine routinemäßige Überwachung.</w:t>
      </w:r>
      <w:r w:rsidR="00657EB2" w:rsidRPr="00740AE4">
        <w:rPr>
          <w:vertAlign w:val="superscript"/>
        </w:rPr>
        <w:t>3,4</w:t>
      </w:r>
    </w:p>
    <w:p w14:paraId="5DD0756B" w14:textId="272A1A1A" w:rsidR="00213E1E" w:rsidRDefault="00213E1E" w:rsidP="00213E1E">
      <w:r>
        <w:t>Die Bestimmung der Dabigatran-bedingten Gerinnungshemmung kann hilfreich sein, um eine übermäßig hohe Exposition gegenüber Dabigatran bei Vorliegen weiterer Risikofaktoren zu entdecken.</w:t>
      </w:r>
    </w:p>
    <w:p w14:paraId="21356237" w14:textId="26CF104E" w:rsidR="00213E1E" w:rsidRDefault="00213E1E" w:rsidP="00213E1E">
      <w:r>
        <w:t xml:space="preserve">• Bei Patienten, die </w:t>
      </w:r>
      <w:r w:rsidR="0098453A" w:rsidRPr="0098453A">
        <w:t>Dabigatranetexilat</w:t>
      </w:r>
      <w:r>
        <w:t xml:space="preserve"> erhalten, ist die Messung des INR-Wertes unzuverlässig und es liegen Berichte von falsch positiv erhöhten INR-Werten vor. INR-Werte sollten deshalb nicht gemessen werden.</w:t>
      </w:r>
    </w:p>
    <w:p w14:paraId="18B3FDBB" w14:textId="30DD02E0" w:rsidR="00657EB2" w:rsidRDefault="00213E1E" w:rsidP="00213E1E">
      <w:r>
        <w:t>• Die Bestimmung der Thrombinzeit in verdünnten Plasmaproben (dTT), der Ecarin-Clotting-Zeit (ECT) und der aktivierten partiellen Thromboplastinzeit (aPTT) kann hilfreich sein, jedoch sind die Ergebnisse wegen der Variabilität zwischen den einzelnen Tests mit Vorsicht zu interpretieren.</w:t>
      </w:r>
    </w:p>
    <w:p w14:paraId="1903A170" w14:textId="6AAE76A8" w:rsidR="00213E1E" w:rsidRDefault="00213E1E" w:rsidP="00657EB2"/>
    <w:p w14:paraId="420B00BE" w14:textId="7A10C3BE" w:rsidR="00213E1E" w:rsidRDefault="00213E1E" w:rsidP="00213E1E">
      <w:r w:rsidRPr="00213E1E">
        <w:rPr>
          <w:b/>
          <w:bCs/>
        </w:rPr>
        <w:t>Zeitpunkt der Bestimmung:</w:t>
      </w:r>
      <w:r>
        <w:t xml:space="preserve"> Die Gerinnungsparameter sind abhängig vom Zeitpunkt der Blutprobenahme und dem Zeitpunkt der letzten Dosisgabe. Eine Blutprobe, die 2 Stunden nach der Einnahme von </w:t>
      </w:r>
      <w:r w:rsidRPr="00213E1E">
        <w:t>Dabigatranetexilat</w:t>
      </w:r>
      <w:r>
        <w:t xml:space="preserve"> abgenommen wird (~Spitzenwert), wird in allen Gerinnungstests andere (höhere) Ergebnisse liefern als eine Blutprobe, die 10–16 Stunden (Talwert) nach Verabreichung der gleichen Dosis entnommen wird.</w:t>
      </w:r>
    </w:p>
    <w:p w14:paraId="000B1EF0" w14:textId="77777777" w:rsidR="003F2CEE" w:rsidRDefault="003F2CEE" w:rsidP="004567E9"/>
    <w:p w14:paraId="60737C55" w14:textId="4368D24B" w:rsidR="00754B62" w:rsidRPr="003F2CEE" w:rsidRDefault="003F2CEE" w:rsidP="004567E9">
      <w:pPr>
        <w:rPr>
          <w:b/>
          <w:bCs/>
          <w:sz w:val="28"/>
          <w:szCs w:val="28"/>
          <w:vertAlign w:val="superscript"/>
        </w:rPr>
      </w:pPr>
      <w:r w:rsidRPr="003F2CEE">
        <w:rPr>
          <w:b/>
          <w:bCs/>
          <w:sz w:val="28"/>
          <w:szCs w:val="28"/>
        </w:rPr>
        <w:t>Überdosierung</w:t>
      </w:r>
      <w:r w:rsidR="007301EF">
        <w:rPr>
          <w:b/>
          <w:bCs/>
          <w:sz w:val="28"/>
          <w:szCs w:val="28"/>
          <w:vertAlign w:val="superscript"/>
        </w:rPr>
        <w:t>2</w:t>
      </w:r>
      <w:r w:rsidRPr="003F2CEE">
        <w:rPr>
          <w:b/>
          <w:bCs/>
          <w:sz w:val="28"/>
          <w:szCs w:val="28"/>
          <w:vertAlign w:val="superscript"/>
        </w:rPr>
        <w:t>,</w:t>
      </w:r>
      <w:r w:rsidR="007301EF">
        <w:rPr>
          <w:b/>
          <w:bCs/>
          <w:sz w:val="28"/>
          <w:szCs w:val="28"/>
          <w:vertAlign w:val="superscript"/>
        </w:rPr>
        <w:t>3</w:t>
      </w:r>
    </w:p>
    <w:p w14:paraId="1B28F483" w14:textId="387B2C37" w:rsidR="003F2CEE" w:rsidRDefault="007301EF" w:rsidP="003F2CEE">
      <w:r w:rsidRPr="007301EF">
        <w:t xml:space="preserve">Bei übermäßiger Gerinnungshemmung muss die Behandlung mit Dabigatranetexilat unter Umständen unterbrochen werden. Da Dabigatran überwiegend renal ausgeschieden wird, ist eine ausreichende Diurese sicherzustellen. Aufgrund der geringen Plasmabindung ist Dabigatran dialysierbar; es liegen begrenzte klinische Erfahrungen vor, die den Nutzen dieses Ansatzes in klinischen Prüfungen zeigen. Eine Überdosierung von Dabigatranetexilat kann zu Blutungen führen. </w:t>
      </w:r>
      <w:r w:rsidRPr="007301EF">
        <w:lastRenderedPageBreak/>
        <w:t>Im Falle hämorrhagischer Komplikationen ist die Behandlung abzubrechen und die Blutungsquelle festzustellen (siehe Abschnitt Management von Blutungskomplikationen).</w:t>
      </w:r>
    </w:p>
    <w:p w14:paraId="0D390B6D" w14:textId="729B9A0E" w:rsidR="003F2CEE" w:rsidRDefault="003F2CEE" w:rsidP="003F2CEE"/>
    <w:p w14:paraId="5671EDB1" w14:textId="2B9CFD10" w:rsidR="003F2CEE" w:rsidRPr="003F2CEE" w:rsidRDefault="003F2CEE" w:rsidP="003F2CEE">
      <w:pPr>
        <w:rPr>
          <w:b/>
          <w:bCs/>
          <w:sz w:val="28"/>
          <w:szCs w:val="28"/>
        </w:rPr>
      </w:pPr>
      <w:r w:rsidRPr="003F2CEE">
        <w:rPr>
          <w:b/>
          <w:bCs/>
          <w:sz w:val="28"/>
          <w:szCs w:val="28"/>
        </w:rPr>
        <w:t>Management von Blutungskomplikationen</w:t>
      </w:r>
      <w:r w:rsidRPr="003F2CEE">
        <w:rPr>
          <w:b/>
          <w:bCs/>
          <w:sz w:val="28"/>
          <w:szCs w:val="28"/>
          <w:vertAlign w:val="superscript"/>
        </w:rPr>
        <w:t>1,2,</w:t>
      </w:r>
      <w:r w:rsidR="007301EF">
        <w:rPr>
          <w:b/>
          <w:bCs/>
          <w:sz w:val="28"/>
          <w:szCs w:val="28"/>
          <w:vertAlign w:val="superscript"/>
        </w:rPr>
        <w:t>5</w:t>
      </w:r>
    </w:p>
    <w:p w14:paraId="227A4B3D" w14:textId="35F58002" w:rsidR="007301EF" w:rsidRDefault="007301EF" w:rsidP="007301EF">
      <w:r>
        <w:t>Die Wirksamkeit und Sicherheit des spezifischen Antidots (Idarucizumab) ist bei Kindern und Jugendlichen nicht erwiesen. Dabigatran kann durch Hämodialyse eliminiert werden.</w:t>
      </w:r>
    </w:p>
    <w:p w14:paraId="42C4C970" w14:textId="48A5179C" w:rsidR="00754B62" w:rsidRDefault="007301EF" w:rsidP="007301EF">
      <w:r>
        <w:t>Abhängig von der klinischen Situation sollte eine geeignete unterstützende Behandlung, z. B. chirurgische Hämostase oder Blutvolumenersatz eingeleitet werden.</w:t>
      </w:r>
    </w:p>
    <w:p w14:paraId="70F94DA1" w14:textId="0670D544" w:rsidR="003F2CEE" w:rsidRDefault="003F2CEE" w:rsidP="003F2CEE"/>
    <w:p w14:paraId="31B24D92" w14:textId="70B15501" w:rsidR="003F2CEE" w:rsidRPr="003F2CEE" w:rsidRDefault="0002051D" w:rsidP="003F2CEE">
      <w:pPr>
        <w:rPr>
          <w:b/>
          <w:bCs/>
          <w:sz w:val="28"/>
          <w:szCs w:val="28"/>
        </w:rPr>
      </w:pPr>
      <w:r w:rsidRPr="0002051D">
        <w:rPr>
          <w:b/>
          <w:bCs/>
          <w:sz w:val="28"/>
          <w:szCs w:val="28"/>
        </w:rPr>
        <w:t>Patientenkarte</w:t>
      </w:r>
      <w:r w:rsidR="003F2CEE" w:rsidRPr="003F2CEE">
        <w:rPr>
          <w:b/>
          <w:bCs/>
          <w:sz w:val="28"/>
          <w:szCs w:val="28"/>
        </w:rPr>
        <w:t xml:space="preserve"> und Patientenberatung</w:t>
      </w:r>
    </w:p>
    <w:p w14:paraId="1701A409" w14:textId="50BC7951" w:rsidR="003F2CEE" w:rsidRPr="003F2CEE" w:rsidRDefault="007301EF" w:rsidP="007301EF">
      <w:r>
        <w:t>Ein</w:t>
      </w:r>
      <w:r w:rsidR="0002051D">
        <w:t>e</w:t>
      </w:r>
      <w:r>
        <w:t xml:space="preserve"> </w:t>
      </w:r>
      <w:r w:rsidR="0002051D">
        <w:t>Patientenkarte</w:t>
      </w:r>
      <w:r w:rsidR="001546B5">
        <w:t xml:space="preserve"> zur </w:t>
      </w:r>
      <w:r w:rsidR="0002051D">
        <w:t>s</w:t>
      </w:r>
      <w:r w:rsidR="001546B5">
        <w:t>icheren Anwendung</w:t>
      </w:r>
      <w:r w:rsidR="0002051D">
        <w:t xml:space="preserve"> </w:t>
      </w:r>
      <w:r>
        <w:t xml:space="preserve">wird dem Patienten in jeder </w:t>
      </w:r>
      <w:r w:rsidRPr="007301EF">
        <w:t>Dabigatranetexilat</w:t>
      </w:r>
      <w:r>
        <w:t xml:space="preserve"> Packung zur Verfügung gestellt. Der Patient oder die Betreuungsperson eines pädiatrischen Patienten sind zu instruieren, </w:t>
      </w:r>
      <w:r w:rsidR="001546B5">
        <w:t>die Patientenkarte</w:t>
      </w:r>
      <w:r>
        <w:t xml:space="preserve"> immer bei sich zu tragen und diese dem medizinischen Fachpersonal vor jeder Behandlung vorzulegen. </w:t>
      </w:r>
      <w:r w:rsidR="001546B5">
        <w:t xml:space="preserve">Die Patientenkarte </w:t>
      </w:r>
      <w:r>
        <w:t>ist mit dem Patienten oder der Betreuungsperson eines pädiatrischen Patienten durchzusprechen. Der Patient oder die Betreuungsperson ist insbesondere hinsichtlich der Anzeichen von Blutungen sowie der Umstände, unter denen ein Arzt aufzusuchen ist, zu instruieren.</w:t>
      </w:r>
    </w:p>
    <w:p w14:paraId="34FEBDF8" w14:textId="333E34D7" w:rsidR="003F2CEE" w:rsidRDefault="003F2CEE" w:rsidP="003F2CEE"/>
    <w:p w14:paraId="4C51EC50" w14:textId="77777777" w:rsidR="001546B5" w:rsidRPr="003260A6" w:rsidRDefault="001546B5" w:rsidP="001546B5">
      <w:pPr>
        <w:rPr>
          <w:b/>
          <w:bCs/>
        </w:rPr>
      </w:pPr>
      <w:r w:rsidRPr="003260A6">
        <w:rPr>
          <w:b/>
          <w:bCs/>
          <w:sz w:val="28"/>
          <w:szCs w:val="28"/>
        </w:rPr>
        <w:t>Meldung von Nebenwirkungen</w:t>
      </w:r>
    </w:p>
    <w:p w14:paraId="747DDBDE" w14:textId="676E1F2C" w:rsidR="001546B5" w:rsidRDefault="001546B5" w:rsidP="001546B5">
      <w:r>
        <w:t>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dem Bundesinstitut für Arzneimittel und Medizinprodukte, Abt. Pharmakovigilanz, Kurt-Georg-Kiesinger-Allee 3, D-53175 Bonn, http://www.bfarm.de, oder dem pharmazeutischen Unternehmen (siehe Fach- und Gebrauchsinformation) anzuzeigen.</w:t>
      </w:r>
    </w:p>
    <w:p w14:paraId="2594DC2E" w14:textId="77777777" w:rsidR="001546B5" w:rsidRDefault="001546B5" w:rsidP="003F2CEE"/>
    <w:p w14:paraId="6734EE67" w14:textId="77777777" w:rsidR="001546B5" w:rsidRDefault="001546B5">
      <w:pPr>
        <w:rPr>
          <w:b/>
          <w:bCs/>
          <w:sz w:val="28"/>
          <w:szCs w:val="28"/>
        </w:rPr>
      </w:pPr>
      <w:r>
        <w:rPr>
          <w:b/>
          <w:bCs/>
          <w:sz w:val="28"/>
          <w:szCs w:val="28"/>
        </w:rPr>
        <w:br w:type="page"/>
      </w:r>
    </w:p>
    <w:p w14:paraId="487CA120" w14:textId="0CDBCC2F" w:rsidR="0076189B" w:rsidRPr="0076189B" w:rsidRDefault="00E677EE" w:rsidP="003F2CEE">
      <w:pPr>
        <w:rPr>
          <w:b/>
          <w:bCs/>
          <w:sz w:val="28"/>
          <w:szCs w:val="28"/>
        </w:rPr>
      </w:pPr>
      <w:r>
        <w:rPr>
          <w:b/>
          <w:bCs/>
          <w:sz w:val="28"/>
          <w:szCs w:val="28"/>
        </w:rPr>
        <w:lastRenderedPageBreak/>
        <w:t>Referenzen</w:t>
      </w:r>
    </w:p>
    <w:p w14:paraId="17341733" w14:textId="530F18DA" w:rsidR="003F2CEE" w:rsidRPr="003F2CEE" w:rsidRDefault="003F2CEE" w:rsidP="003F2CEE">
      <w:r w:rsidRPr="003F2CEE">
        <w:t>1.</w:t>
      </w:r>
      <w:r w:rsidR="008425CA">
        <w:t xml:space="preserve"> </w:t>
      </w:r>
      <w:r w:rsidR="006708ED" w:rsidRPr="003F2CEE">
        <w:t>Dabigatranetexilat</w:t>
      </w:r>
      <w:r w:rsidRPr="003F2CEE">
        <w:t xml:space="preserve"> Fachinformation</w:t>
      </w:r>
    </w:p>
    <w:p w14:paraId="446AC669" w14:textId="171A9EF3" w:rsidR="003F2CEE" w:rsidRPr="003F2CEE" w:rsidRDefault="003F2CEE" w:rsidP="003F2CEE">
      <w:pPr>
        <w:rPr>
          <w:lang w:val="en-US"/>
        </w:rPr>
      </w:pPr>
      <w:r w:rsidRPr="00EC46D4">
        <w:t>2.</w:t>
      </w:r>
      <w:r w:rsidR="008425CA" w:rsidRPr="00EC46D4">
        <w:t xml:space="preserve"> </w:t>
      </w:r>
      <w:r w:rsidRPr="00EC46D4">
        <w:t xml:space="preserve">van Ryn J et al. </w:t>
      </w:r>
      <w:r w:rsidRPr="003F2CEE">
        <w:rPr>
          <w:lang w:val="en-US"/>
        </w:rPr>
        <w:t>Thromb Haemost 2010; 103: 1116–1127</w:t>
      </w:r>
    </w:p>
    <w:p w14:paraId="4F4A7D8A" w14:textId="7428DCC9" w:rsidR="003F2CEE" w:rsidRPr="003F2CEE" w:rsidRDefault="003F2CEE" w:rsidP="003F2CEE">
      <w:pPr>
        <w:rPr>
          <w:lang w:val="en-US"/>
        </w:rPr>
      </w:pPr>
      <w:r w:rsidRPr="003F2CEE">
        <w:rPr>
          <w:lang w:val="en-US"/>
        </w:rPr>
        <w:t>3.</w:t>
      </w:r>
      <w:r w:rsidR="008425CA">
        <w:rPr>
          <w:lang w:val="en-US"/>
        </w:rPr>
        <w:t xml:space="preserve"> </w:t>
      </w:r>
      <w:r w:rsidRPr="003F2CEE">
        <w:rPr>
          <w:lang w:val="en-US"/>
        </w:rPr>
        <w:t>Liesenfeld KH et al. Br J Clin Pharmacol 2006; 62: 527–537</w:t>
      </w:r>
    </w:p>
    <w:p w14:paraId="77BEF756" w14:textId="5EC9CA45" w:rsidR="003F2CEE" w:rsidRPr="003F2CEE" w:rsidRDefault="003F2CEE" w:rsidP="003F2CEE">
      <w:pPr>
        <w:rPr>
          <w:lang w:val="en-US"/>
        </w:rPr>
      </w:pPr>
      <w:r w:rsidRPr="003F2CEE">
        <w:rPr>
          <w:lang w:val="en-US"/>
        </w:rPr>
        <w:t>4.</w:t>
      </w:r>
      <w:r w:rsidR="008425CA">
        <w:rPr>
          <w:lang w:val="en-US"/>
        </w:rPr>
        <w:t xml:space="preserve"> </w:t>
      </w:r>
      <w:r w:rsidRPr="003F2CEE">
        <w:rPr>
          <w:lang w:val="en-US"/>
        </w:rPr>
        <w:t>Stangier J et al. Br J Clin Pharmacol 2007; 64: 292–303</w:t>
      </w:r>
    </w:p>
    <w:p w14:paraId="2CF7E420" w14:textId="0EC4C2AB" w:rsidR="003F2CEE" w:rsidRPr="002767FF" w:rsidRDefault="007301EF" w:rsidP="003F2CEE">
      <w:r>
        <w:rPr>
          <w:lang w:val="en-US"/>
        </w:rPr>
        <w:t>5</w:t>
      </w:r>
      <w:r w:rsidR="003F2CEE" w:rsidRPr="003F2CEE">
        <w:rPr>
          <w:lang w:val="en-US"/>
        </w:rPr>
        <w:t>.</w:t>
      </w:r>
      <w:r w:rsidR="008425CA">
        <w:rPr>
          <w:lang w:val="en-US"/>
        </w:rPr>
        <w:t xml:space="preserve"> </w:t>
      </w:r>
      <w:r w:rsidR="003F2CEE" w:rsidRPr="003F2CEE">
        <w:rPr>
          <w:lang w:val="en-US"/>
        </w:rPr>
        <w:t xml:space="preserve">Pollack C et al. </w:t>
      </w:r>
      <w:r w:rsidR="003F2CEE" w:rsidRPr="002767FF">
        <w:t>NEJM 2015; 373: 511–20</w:t>
      </w:r>
    </w:p>
    <w:p w14:paraId="787AEFC2" w14:textId="6DCEA3CC" w:rsidR="003F2CEE" w:rsidRPr="002767FF" w:rsidRDefault="003F2CEE" w:rsidP="003F2CEE"/>
    <w:p w14:paraId="2392424C" w14:textId="77777777" w:rsidR="000C245B" w:rsidRPr="002767FF" w:rsidRDefault="000C245B" w:rsidP="003F2CEE"/>
    <w:p w14:paraId="4F44DFFD" w14:textId="2F0002CA" w:rsidR="000C245B" w:rsidRPr="002767FF" w:rsidRDefault="000C245B" w:rsidP="003F2CEE"/>
    <w:p w14:paraId="2E77BDB9" w14:textId="42B640D7" w:rsidR="000C245B" w:rsidRPr="002767FF" w:rsidRDefault="000C245B" w:rsidP="003F2CEE"/>
    <w:p w14:paraId="64E261C1" w14:textId="5BCD074C" w:rsidR="000C245B" w:rsidRPr="002767FF" w:rsidRDefault="000C245B" w:rsidP="003F2CEE"/>
    <w:p w14:paraId="639DD4CF" w14:textId="38FA001C" w:rsidR="000C245B" w:rsidRPr="002767FF" w:rsidRDefault="000C245B" w:rsidP="003F2CEE"/>
    <w:p w14:paraId="420600F9" w14:textId="285A42D5" w:rsidR="000C245B" w:rsidRPr="0022558B" w:rsidRDefault="001546B5" w:rsidP="000C245B">
      <w:pPr>
        <w:pStyle w:val="Textkrper"/>
        <w:spacing w:before="95"/>
        <w:ind w:left="108"/>
        <w:rPr>
          <w:rFonts w:asciiTheme="minorHAnsi" w:hAnsiTheme="minorHAnsi" w:cstheme="minorHAnsi"/>
        </w:rPr>
      </w:pPr>
      <w:r>
        <w:rPr>
          <w:rFonts w:asciiTheme="minorHAnsi" w:hAnsiTheme="minorHAnsi" w:cstheme="minorHAnsi"/>
          <w:spacing w:val="-7"/>
        </w:rPr>
        <w:t>Für w</w:t>
      </w:r>
      <w:r w:rsidRPr="0022558B">
        <w:rPr>
          <w:rFonts w:asciiTheme="minorHAnsi" w:hAnsiTheme="minorHAnsi" w:cstheme="minorHAnsi"/>
          <w:spacing w:val="-7"/>
        </w:rPr>
        <w:t>eiterführende</w:t>
      </w:r>
      <w:r w:rsidRPr="0022558B">
        <w:rPr>
          <w:rFonts w:asciiTheme="minorHAnsi" w:hAnsiTheme="minorHAnsi" w:cstheme="minorHAnsi"/>
          <w:spacing w:val="2"/>
        </w:rPr>
        <w:t xml:space="preserve"> </w:t>
      </w:r>
      <w:r w:rsidR="000C245B" w:rsidRPr="0022558B">
        <w:rPr>
          <w:rFonts w:asciiTheme="minorHAnsi" w:hAnsiTheme="minorHAnsi" w:cstheme="minorHAnsi"/>
          <w:spacing w:val="-2"/>
        </w:rPr>
        <w:t>Informationen</w:t>
      </w:r>
      <w:r>
        <w:rPr>
          <w:rFonts w:asciiTheme="minorHAnsi" w:hAnsiTheme="minorHAnsi" w:cstheme="minorHAnsi"/>
          <w:spacing w:val="-2"/>
        </w:rPr>
        <w:t xml:space="preserve"> </w:t>
      </w:r>
      <w:r w:rsidRPr="001546B5">
        <w:rPr>
          <w:rFonts w:asciiTheme="minorHAnsi" w:hAnsiTheme="minorHAnsi" w:cstheme="minorHAnsi"/>
          <w:spacing w:val="-2"/>
        </w:rPr>
        <w:t>kontaktieren Sie bitte das pharmazeutische Unternehmen (siehe Fach- und Gebrauchsinformation).</w:t>
      </w:r>
    </w:p>
    <w:p w14:paraId="59CC6AF4" w14:textId="77777777" w:rsidR="000C245B" w:rsidRDefault="000C245B" w:rsidP="000C245B">
      <w:pPr>
        <w:spacing w:before="210"/>
        <w:ind w:left="108"/>
        <w:rPr>
          <w:rFonts w:cstheme="minorHAnsi"/>
          <w:spacing w:val="-4"/>
          <w:sz w:val="18"/>
        </w:rPr>
      </w:pPr>
    </w:p>
    <w:p w14:paraId="570DF422" w14:textId="77777777" w:rsidR="000C245B" w:rsidRDefault="000C245B" w:rsidP="000C245B">
      <w:pPr>
        <w:spacing w:before="210"/>
        <w:ind w:left="108"/>
        <w:rPr>
          <w:rFonts w:cstheme="minorHAnsi"/>
          <w:spacing w:val="-4"/>
          <w:sz w:val="18"/>
        </w:rPr>
      </w:pPr>
    </w:p>
    <w:p w14:paraId="7B601A7C" w14:textId="29C2A4C5" w:rsidR="000C245B" w:rsidRPr="0022558B" w:rsidRDefault="000C245B" w:rsidP="000C245B">
      <w:pPr>
        <w:spacing w:before="210"/>
        <w:ind w:left="108"/>
        <w:rPr>
          <w:rFonts w:cstheme="minorHAnsi"/>
          <w:sz w:val="18"/>
        </w:rPr>
      </w:pPr>
      <w:r w:rsidRPr="0022558B">
        <w:rPr>
          <w:rFonts w:cstheme="minorHAnsi"/>
          <w:spacing w:val="-4"/>
          <w:sz w:val="18"/>
        </w:rPr>
        <w:t>Stand</w:t>
      </w:r>
      <w:r w:rsidRPr="0022558B">
        <w:rPr>
          <w:rFonts w:cstheme="minorHAnsi"/>
          <w:spacing w:val="-2"/>
          <w:sz w:val="18"/>
        </w:rPr>
        <w:t xml:space="preserve"> </w:t>
      </w:r>
      <w:r w:rsidRPr="0022558B">
        <w:rPr>
          <w:rFonts w:cstheme="minorHAnsi"/>
          <w:spacing w:val="-4"/>
          <w:sz w:val="18"/>
        </w:rPr>
        <w:t>der</w:t>
      </w:r>
      <w:r w:rsidRPr="0022558B">
        <w:rPr>
          <w:rFonts w:cstheme="minorHAnsi"/>
          <w:spacing w:val="-2"/>
          <w:sz w:val="18"/>
        </w:rPr>
        <w:t xml:space="preserve"> </w:t>
      </w:r>
      <w:r w:rsidRPr="0022558B">
        <w:rPr>
          <w:rFonts w:cstheme="minorHAnsi"/>
          <w:spacing w:val="-4"/>
          <w:sz w:val="18"/>
        </w:rPr>
        <w:t>Information:</w:t>
      </w:r>
      <w:r w:rsidRPr="0022558B">
        <w:rPr>
          <w:rFonts w:cstheme="minorHAnsi"/>
          <w:spacing w:val="-2"/>
          <w:sz w:val="18"/>
        </w:rPr>
        <w:t xml:space="preserve"> </w:t>
      </w:r>
      <w:r w:rsidR="001546B5">
        <w:rPr>
          <w:rFonts w:cstheme="minorHAnsi"/>
          <w:spacing w:val="-4"/>
          <w:sz w:val="18"/>
        </w:rPr>
        <w:t>Ju</w:t>
      </w:r>
      <w:r w:rsidR="00682EA7">
        <w:rPr>
          <w:rFonts w:cstheme="minorHAnsi"/>
          <w:spacing w:val="-4"/>
          <w:sz w:val="18"/>
        </w:rPr>
        <w:t>l</w:t>
      </w:r>
      <w:r w:rsidR="001546B5">
        <w:rPr>
          <w:rFonts w:cstheme="minorHAnsi"/>
          <w:spacing w:val="-4"/>
          <w:sz w:val="18"/>
        </w:rPr>
        <w:t xml:space="preserve">i </w:t>
      </w:r>
      <w:r>
        <w:rPr>
          <w:rFonts w:cstheme="minorHAnsi"/>
          <w:spacing w:val="-4"/>
          <w:sz w:val="18"/>
        </w:rPr>
        <w:t>2023</w:t>
      </w:r>
    </w:p>
    <w:p w14:paraId="69E31620" w14:textId="58F7F8FB" w:rsidR="000C245B" w:rsidRPr="000C245B" w:rsidRDefault="000C245B" w:rsidP="003F2CEE"/>
    <w:p w14:paraId="45560978" w14:textId="3C17AB1F" w:rsidR="000C245B" w:rsidRPr="000C245B" w:rsidRDefault="000E1F14" w:rsidP="003F2CEE">
      <w:r w:rsidRPr="00811564">
        <w:rPr>
          <w:rFonts w:ascii="Arial" w:eastAsia="Arial" w:hAnsi="Arial" w:cs="Arial"/>
          <w:noProof/>
          <w:lang w:eastAsia="de-DE"/>
        </w:rPr>
        <w:drawing>
          <wp:anchor distT="0" distB="0" distL="114300" distR="114300" simplePos="0" relativeHeight="251661312" behindDoc="0" locked="0" layoutInCell="1" allowOverlap="1" wp14:anchorId="409A6D65" wp14:editId="21F7928B">
            <wp:simplePos x="0" y="0"/>
            <wp:positionH relativeFrom="column">
              <wp:posOffset>5486104</wp:posOffset>
            </wp:positionH>
            <wp:positionV relativeFrom="paragraph">
              <wp:posOffset>721995</wp:posOffset>
            </wp:positionV>
            <wp:extent cx="1335405" cy="20726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 r="-30037" b="-30037"/>
                    <a:stretch/>
                  </pic:blipFill>
                  <pic:spPr bwMode="auto">
                    <a:xfrm>
                      <a:off x="0" y="0"/>
                      <a:ext cx="1335405" cy="2072640"/>
                    </a:xfrm>
                    <a:prstGeom prst="rect">
                      <a:avLst/>
                    </a:prstGeom>
                    <a:noFill/>
                  </pic:spPr>
                </pic:pic>
              </a:graphicData>
            </a:graphic>
            <wp14:sizeRelH relativeFrom="page">
              <wp14:pctWidth>0</wp14:pctWidth>
            </wp14:sizeRelH>
            <wp14:sizeRelV relativeFrom="page">
              <wp14:pctHeight>0</wp14:pctHeight>
            </wp14:sizeRelV>
          </wp:anchor>
        </w:drawing>
      </w:r>
    </w:p>
    <w:sectPr w:rsidR="000C245B" w:rsidRPr="000C24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14800" w14:textId="77777777" w:rsidR="00F87B1B" w:rsidRDefault="00F87B1B" w:rsidP="003F3FA9">
      <w:pPr>
        <w:spacing w:after="0" w:line="240" w:lineRule="auto"/>
      </w:pPr>
      <w:r>
        <w:separator/>
      </w:r>
    </w:p>
  </w:endnote>
  <w:endnote w:type="continuationSeparator" w:id="0">
    <w:p w14:paraId="20290146" w14:textId="77777777" w:rsidR="00F87B1B" w:rsidRDefault="00F87B1B" w:rsidP="003F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4A890" w14:textId="77777777" w:rsidR="00F87B1B" w:rsidRDefault="00F87B1B" w:rsidP="003F3FA9">
      <w:pPr>
        <w:spacing w:after="0" w:line="240" w:lineRule="auto"/>
      </w:pPr>
      <w:r>
        <w:separator/>
      </w:r>
    </w:p>
  </w:footnote>
  <w:footnote w:type="continuationSeparator" w:id="0">
    <w:p w14:paraId="3DA2D8A7" w14:textId="77777777" w:rsidR="00F87B1B" w:rsidRDefault="00F87B1B" w:rsidP="003F3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81967"/>
    <w:multiLevelType w:val="hybridMultilevel"/>
    <w:tmpl w:val="6CC64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A526DD"/>
    <w:multiLevelType w:val="hybridMultilevel"/>
    <w:tmpl w:val="5A18D0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38432A1A"/>
    <w:multiLevelType w:val="hybridMultilevel"/>
    <w:tmpl w:val="6A6C2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FA3C74"/>
    <w:multiLevelType w:val="hybridMultilevel"/>
    <w:tmpl w:val="FB00DD78"/>
    <w:lvl w:ilvl="0" w:tplc="EBFCB13C">
      <w:numFmt w:val="bullet"/>
      <w:lvlText w:val="•"/>
      <w:lvlJc w:val="left"/>
      <w:pPr>
        <w:ind w:left="278" w:hanging="171"/>
      </w:pPr>
      <w:rPr>
        <w:rFonts w:ascii="Trebuchet MS" w:eastAsia="Trebuchet MS" w:hAnsi="Trebuchet MS" w:cs="Trebuchet MS" w:hint="default"/>
        <w:w w:val="127"/>
        <w:lang w:val="de-DE" w:eastAsia="en-US" w:bidi="ar-SA"/>
      </w:rPr>
    </w:lvl>
    <w:lvl w:ilvl="1" w:tplc="CAB648FC">
      <w:numFmt w:val="bullet"/>
      <w:lvlText w:val="•"/>
      <w:lvlJc w:val="left"/>
      <w:pPr>
        <w:ind w:left="712" w:hanging="199"/>
      </w:pPr>
      <w:rPr>
        <w:rFonts w:ascii="Trebuchet MS" w:eastAsia="Trebuchet MS" w:hAnsi="Trebuchet MS" w:cs="Trebuchet MS" w:hint="default"/>
        <w:b w:val="0"/>
        <w:bCs w:val="0"/>
        <w:i w:val="0"/>
        <w:iCs w:val="0"/>
        <w:color w:val="0252A0"/>
        <w:w w:val="127"/>
        <w:sz w:val="24"/>
        <w:szCs w:val="24"/>
        <w:lang w:val="de-DE" w:eastAsia="en-US" w:bidi="ar-SA"/>
      </w:rPr>
    </w:lvl>
    <w:lvl w:ilvl="2" w:tplc="6EECDA30">
      <w:numFmt w:val="bullet"/>
      <w:lvlText w:val="•"/>
      <w:lvlJc w:val="left"/>
      <w:pPr>
        <w:ind w:left="1407" w:hanging="199"/>
      </w:pPr>
      <w:rPr>
        <w:rFonts w:hint="default"/>
        <w:lang w:val="de-DE" w:eastAsia="en-US" w:bidi="ar-SA"/>
      </w:rPr>
    </w:lvl>
    <w:lvl w:ilvl="3" w:tplc="1EB08612">
      <w:numFmt w:val="bullet"/>
      <w:lvlText w:val="•"/>
      <w:lvlJc w:val="left"/>
      <w:pPr>
        <w:ind w:left="2095" w:hanging="199"/>
      </w:pPr>
      <w:rPr>
        <w:rFonts w:hint="default"/>
        <w:lang w:val="de-DE" w:eastAsia="en-US" w:bidi="ar-SA"/>
      </w:rPr>
    </w:lvl>
    <w:lvl w:ilvl="4" w:tplc="D01E9C98">
      <w:numFmt w:val="bullet"/>
      <w:lvlText w:val="•"/>
      <w:lvlJc w:val="left"/>
      <w:pPr>
        <w:ind w:left="2783" w:hanging="199"/>
      </w:pPr>
      <w:rPr>
        <w:rFonts w:hint="default"/>
        <w:lang w:val="de-DE" w:eastAsia="en-US" w:bidi="ar-SA"/>
      </w:rPr>
    </w:lvl>
    <w:lvl w:ilvl="5" w:tplc="FF38B5F6">
      <w:numFmt w:val="bullet"/>
      <w:lvlText w:val="•"/>
      <w:lvlJc w:val="left"/>
      <w:pPr>
        <w:ind w:left="3471" w:hanging="199"/>
      </w:pPr>
      <w:rPr>
        <w:rFonts w:hint="default"/>
        <w:lang w:val="de-DE" w:eastAsia="en-US" w:bidi="ar-SA"/>
      </w:rPr>
    </w:lvl>
    <w:lvl w:ilvl="6" w:tplc="1DFC9640">
      <w:numFmt w:val="bullet"/>
      <w:lvlText w:val="•"/>
      <w:lvlJc w:val="left"/>
      <w:pPr>
        <w:ind w:left="4159" w:hanging="199"/>
      </w:pPr>
      <w:rPr>
        <w:rFonts w:hint="default"/>
        <w:lang w:val="de-DE" w:eastAsia="en-US" w:bidi="ar-SA"/>
      </w:rPr>
    </w:lvl>
    <w:lvl w:ilvl="7" w:tplc="C2B64546">
      <w:numFmt w:val="bullet"/>
      <w:lvlText w:val="•"/>
      <w:lvlJc w:val="left"/>
      <w:pPr>
        <w:ind w:left="4847" w:hanging="199"/>
      </w:pPr>
      <w:rPr>
        <w:rFonts w:hint="default"/>
        <w:lang w:val="de-DE" w:eastAsia="en-US" w:bidi="ar-SA"/>
      </w:rPr>
    </w:lvl>
    <w:lvl w:ilvl="8" w:tplc="040ED376">
      <w:numFmt w:val="bullet"/>
      <w:lvlText w:val="•"/>
      <w:lvlJc w:val="left"/>
      <w:pPr>
        <w:ind w:left="5534" w:hanging="199"/>
      </w:pPr>
      <w:rPr>
        <w:rFonts w:hint="default"/>
        <w:lang w:val="de-DE" w:eastAsia="en-US" w:bidi="ar-SA"/>
      </w:rPr>
    </w:lvl>
  </w:abstractNum>
  <w:abstractNum w:abstractNumId="4" w15:restartNumberingAfterBreak="0">
    <w:nsid w:val="6FC828F2"/>
    <w:multiLevelType w:val="hybridMultilevel"/>
    <w:tmpl w:val="F990C9C8"/>
    <w:lvl w:ilvl="0" w:tplc="72628770">
      <w:numFmt w:val="bullet"/>
      <w:lvlText w:val="•"/>
      <w:lvlJc w:val="left"/>
      <w:pPr>
        <w:ind w:left="310" w:hanging="202"/>
      </w:pPr>
      <w:rPr>
        <w:rFonts w:ascii="Trebuchet MS" w:eastAsia="Trebuchet MS" w:hAnsi="Trebuchet MS" w:cs="Trebuchet MS" w:hint="default"/>
        <w:b w:val="0"/>
        <w:bCs w:val="0"/>
        <w:i w:val="0"/>
        <w:iCs w:val="0"/>
        <w:color w:val="0252A0"/>
        <w:w w:val="127"/>
        <w:sz w:val="22"/>
        <w:szCs w:val="22"/>
        <w:lang w:val="de-DE" w:eastAsia="en-US" w:bidi="ar-SA"/>
      </w:rPr>
    </w:lvl>
    <w:lvl w:ilvl="1" w:tplc="6C06BA46">
      <w:numFmt w:val="bullet"/>
      <w:lvlText w:val="•"/>
      <w:lvlJc w:val="left"/>
      <w:pPr>
        <w:ind w:left="604" w:hanging="202"/>
      </w:pPr>
      <w:rPr>
        <w:rFonts w:hint="default"/>
        <w:lang w:val="de-DE" w:eastAsia="en-US" w:bidi="ar-SA"/>
      </w:rPr>
    </w:lvl>
    <w:lvl w:ilvl="2" w:tplc="91BC3E86">
      <w:numFmt w:val="bullet"/>
      <w:lvlText w:val="•"/>
      <w:lvlJc w:val="left"/>
      <w:pPr>
        <w:ind w:left="908" w:hanging="202"/>
      </w:pPr>
      <w:rPr>
        <w:rFonts w:hint="default"/>
        <w:lang w:val="de-DE" w:eastAsia="en-US" w:bidi="ar-SA"/>
      </w:rPr>
    </w:lvl>
    <w:lvl w:ilvl="3" w:tplc="2C681286">
      <w:numFmt w:val="bullet"/>
      <w:lvlText w:val="•"/>
      <w:lvlJc w:val="left"/>
      <w:pPr>
        <w:ind w:left="1212" w:hanging="202"/>
      </w:pPr>
      <w:rPr>
        <w:rFonts w:hint="default"/>
        <w:lang w:val="de-DE" w:eastAsia="en-US" w:bidi="ar-SA"/>
      </w:rPr>
    </w:lvl>
    <w:lvl w:ilvl="4" w:tplc="E4F071AE">
      <w:numFmt w:val="bullet"/>
      <w:lvlText w:val="•"/>
      <w:lvlJc w:val="left"/>
      <w:pPr>
        <w:ind w:left="1516" w:hanging="202"/>
      </w:pPr>
      <w:rPr>
        <w:rFonts w:hint="default"/>
        <w:lang w:val="de-DE" w:eastAsia="en-US" w:bidi="ar-SA"/>
      </w:rPr>
    </w:lvl>
    <w:lvl w:ilvl="5" w:tplc="B4606C80">
      <w:numFmt w:val="bullet"/>
      <w:lvlText w:val="•"/>
      <w:lvlJc w:val="left"/>
      <w:pPr>
        <w:ind w:left="1820" w:hanging="202"/>
      </w:pPr>
      <w:rPr>
        <w:rFonts w:hint="default"/>
        <w:lang w:val="de-DE" w:eastAsia="en-US" w:bidi="ar-SA"/>
      </w:rPr>
    </w:lvl>
    <w:lvl w:ilvl="6" w:tplc="F68C1302">
      <w:numFmt w:val="bullet"/>
      <w:lvlText w:val="•"/>
      <w:lvlJc w:val="left"/>
      <w:pPr>
        <w:ind w:left="2124" w:hanging="202"/>
      </w:pPr>
      <w:rPr>
        <w:rFonts w:hint="default"/>
        <w:lang w:val="de-DE" w:eastAsia="en-US" w:bidi="ar-SA"/>
      </w:rPr>
    </w:lvl>
    <w:lvl w:ilvl="7" w:tplc="A0E6188A">
      <w:numFmt w:val="bullet"/>
      <w:lvlText w:val="•"/>
      <w:lvlJc w:val="left"/>
      <w:pPr>
        <w:ind w:left="2428" w:hanging="202"/>
      </w:pPr>
      <w:rPr>
        <w:rFonts w:hint="default"/>
        <w:lang w:val="de-DE" w:eastAsia="en-US" w:bidi="ar-SA"/>
      </w:rPr>
    </w:lvl>
    <w:lvl w:ilvl="8" w:tplc="E04C6FF8">
      <w:numFmt w:val="bullet"/>
      <w:lvlText w:val="•"/>
      <w:lvlJc w:val="left"/>
      <w:pPr>
        <w:ind w:left="2732" w:hanging="202"/>
      </w:pPr>
      <w:rPr>
        <w:rFonts w:hint="default"/>
        <w:lang w:val="de-DE"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6E"/>
    <w:rsid w:val="0000126D"/>
    <w:rsid w:val="00015056"/>
    <w:rsid w:val="0002051D"/>
    <w:rsid w:val="00025F3D"/>
    <w:rsid w:val="000C17B8"/>
    <w:rsid w:val="000C245B"/>
    <w:rsid w:val="000E1F14"/>
    <w:rsid w:val="000F3A5F"/>
    <w:rsid w:val="00147B26"/>
    <w:rsid w:val="001546B5"/>
    <w:rsid w:val="00190011"/>
    <w:rsid w:val="00213E1E"/>
    <w:rsid w:val="00255C1F"/>
    <w:rsid w:val="00265906"/>
    <w:rsid w:val="002767FF"/>
    <w:rsid w:val="00325491"/>
    <w:rsid w:val="003260A6"/>
    <w:rsid w:val="00375792"/>
    <w:rsid w:val="00376F80"/>
    <w:rsid w:val="003E5220"/>
    <w:rsid w:val="003F2CEE"/>
    <w:rsid w:val="003F3FA9"/>
    <w:rsid w:val="00410892"/>
    <w:rsid w:val="004248F3"/>
    <w:rsid w:val="0045012F"/>
    <w:rsid w:val="004567E9"/>
    <w:rsid w:val="004654C5"/>
    <w:rsid w:val="00465B27"/>
    <w:rsid w:val="004B3278"/>
    <w:rsid w:val="004D2A48"/>
    <w:rsid w:val="004D641D"/>
    <w:rsid w:val="00513835"/>
    <w:rsid w:val="00513D0E"/>
    <w:rsid w:val="0052653D"/>
    <w:rsid w:val="00552407"/>
    <w:rsid w:val="00580AAA"/>
    <w:rsid w:val="00657EB2"/>
    <w:rsid w:val="00667F69"/>
    <w:rsid w:val="006708ED"/>
    <w:rsid w:val="00682EA7"/>
    <w:rsid w:val="007164FF"/>
    <w:rsid w:val="007301EF"/>
    <w:rsid w:val="00730D14"/>
    <w:rsid w:val="007334AE"/>
    <w:rsid w:val="00740AE4"/>
    <w:rsid w:val="00754B62"/>
    <w:rsid w:val="00755DD1"/>
    <w:rsid w:val="007617B6"/>
    <w:rsid w:val="0076189B"/>
    <w:rsid w:val="00761D68"/>
    <w:rsid w:val="00764E57"/>
    <w:rsid w:val="00784274"/>
    <w:rsid w:val="0079187C"/>
    <w:rsid w:val="007B60F3"/>
    <w:rsid w:val="0080482C"/>
    <w:rsid w:val="00811564"/>
    <w:rsid w:val="00836CA0"/>
    <w:rsid w:val="008425CA"/>
    <w:rsid w:val="00853655"/>
    <w:rsid w:val="00864DFA"/>
    <w:rsid w:val="008659B7"/>
    <w:rsid w:val="00882603"/>
    <w:rsid w:val="00886D54"/>
    <w:rsid w:val="008919A4"/>
    <w:rsid w:val="008C7377"/>
    <w:rsid w:val="0098453A"/>
    <w:rsid w:val="009C1FE3"/>
    <w:rsid w:val="009C2E7D"/>
    <w:rsid w:val="009C76CA"/>
    <w:rsid w:val="009E70A0"/>
    <w:rsid w:val="00A24445"/>
    <w:rsid w:val="00A44C8B"/>
    <w:rsid w:val="00A6258C"/>
    <w:rsid w:val="00AB13D5"/>
    <w:rsid w:val="00AF36BC"/>
    <w:rsid w:val="00B1365F"/>
    <w:rsid w:val="00B23689"/>
    <w:rsid w:val="00B8420D"/>
    <w:rsid w:val="00B97A00"/>
    <w:rsid w:val="00BB4B1D"/>
    <w:rsid w:val="00BB5616"/>
    <w:rsid w:val="00BD14F4"/>
    <w:rsid w:val="00BD3886"/>
    <w:rsid w:val="00C04263"/>
    <w:rsid w:val="00C52B21"/>
    <w:rsid w:val="00C53229"/>
    <w:rsid w:val="00CC3D7E"/>
    <w:rsid w:val="00CC4C80"/>
    <w:rsid w:val="00CE686E"/>
    <w:rsid w:val="00D36205"/>
    <w:rsid w:val="00DA3026"/>
    <w:rsid w:val="00DB62BB"/>
    <w:rsid w:val="00DC492D"/>
    <w:rsid w:val="00DC7E4B"/>
    <w:rsid w:val="00DD54BA"/>
    <w:rsid w:val="00DE2199"/>
    <w:rsid w:val="00DF5038"/>
    <w:rsid w:val="00E677EE"/>
    <w:rsid w:val="00EC46D4"/>
    <w:rsid w:val="00EC68FD"/>
    <w:rsid w:val="00F353AC"/>
    <w:rsid w:val="00F87B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2B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E5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A24445"/>
    <w:pPr>
      <w:widowControl w:val="0"/>
      <w:autoSpaceDE w:val="0"/>
      <w:autoSpaceDN w:val="0"/>
      <w:spacing w:before="73" w:after="0" w:line="240" w:lineRule="auto"/>
      <w:ind w:left="108"/>
    </w:pPr>
    <w:rPr>
      <w:rFonts w:ascii="Trebuchet MS" w:eastAsia="Trebuchet MS" w:hAnsi="Trebuchet MS" w:cs="Trebuchet MS"/>
    </w:rPr>
  </w:style>
  <w:style w:type="character" w:styleId="Hyperlink">
    <w:name w:val="Hyperlink"/>
    <w:basedOn w:val="Absatz-Standardschriftart"/>
    <w:uiPriority w:val="99"/>
    <w:unhideWhenUsed/>
    <w:rsid w:val="0080482C"/>
    <w:rPr>
      <w:color w:val="0563C1" w:themeColor="hyperlink"/>
      <w:u w:val="single"/>
    </w:rPr>
  </w:style>
  <w:style w:type="character" w:customStyle="1" w:styleId="UnresolvedMention1">
    <w:name w:val="Unresolved Mention1"/>
    <w:basedOn w:val="Absatz-Standardschriftart"/>
    <w:uiPriority w:val="99"/>
    <w:semiHidden/>
    <w:unhideWhenUsed/>
    <w:rsid w:val="0080482C"/>
    <w:rPr>
      <w:color w:val="605E5C"/>
      <w:shd w:val="clear" w:color="auto" w:fill="E1DFDD"/>
    </w:rPr>
  </w:style>
  <w:style w:type="paragraph" w:styleId="Textkrper">
    <w:name w:val="Body Text"/>
    <w:basedOn w:val="Standard"/>
    <w:link w:val="TextkrperZchn"/>
    <w:uiPriority w:val="1"/>
    <w:qFormat/>
    <w:rsid w:val="000C245B"/>
    <w:pPr>
      <w:widowControl w:val="0"/>
      <w:autoSpaceDE w:val="0"/>
      <w:autoSpaceDN w:val="0"/>
      <w:spacing w:after="0" w:line="240" w:lineRule="auto"/>
    </w:pPr>
    <w:rPr>
      <w:rFonts w:ascii="Trebuchet MS" w:eastAsia="Trebuchet MS" w:hAnsi="Trebuchet MS" w:cs="Trebuchet MS"/>
      <w:sz w:val="24"/>
      <w:szCs w:val="24"/>
    </w:rPr>
  </w:style>
  <w:style w:type="character" w:customStyle="1" w:styleId="TextkrperZchn">
    <w:name w:val="Textkörper Zchn"/>
    <w:basedOn w:val="Absatz-Standardschriftart"/>
    <w:link w:val="Textkrper"/>
    <w:uiPriority w:val="1"/>
    <w:rsid w:val="000C245B"/>
    <w:rPr>
      <w:rFonts w:ascii="Trebuchet MS" w:eastAsia="Trebuchet MS" w:hAnsi="Trebuchet MS" w:cs="Trebuchet MS"/>
      <w:sz w:val="24"/>
      <w:szCs w:val="24"/>
    </w:rPr>
  </w:style>
  <w:style w:type="paragraph" w:styleId="Kopfzeile">
    <w:name w:val="header"/>
    <w:basedOn w:val="Standard"/>
    <w:link w:val="KopfzeileZchn"/>
    <w:uiPriority w:val="99"/>
    <w:unhideWhenUsed/>
    <w:rsid w:val="001900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0011"/>
  </w:style>
  <w:style w:type="paragraph" w:styleId="Fuzeile">
    <w:name w:val="footer"/>
    <w:basedOn w:val="Standard"/>
    <w:link w:val="FuzeileZchn"/>
    <w:uiPriority w:val="99"/>
    <w:unhideWhenUsed/>
    <w:rsid w:val="001900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0011"/>
  </w:style>
  <w:style w:type="paragraph" w:styleId="berarbeitung">
    <w:name w:val="Revision"/>
    <w:hidden/>
    <w:uiPriority w:val="99"/>
    <w:semiHidden/>
    <w:rsid w:val="00410892"/>
    <w:pPr>
      <w:spacing w:after="0" w:line="240" w:lineRule="auto"/>
    </w:pPr>
  </w:style>
  <w:style w:type="character" w:styleId="Kommentarzeichen">
    <w:name w:val="annotation reference"/>
    <w:basedOn w:val="Absatz-Standardschriftart"/>
    <w:uiPriority w:val="99"/>
    <w:semiHidden/>
    <w:unhideWhenUsed/>
    <w:rsid w:val="00410892"/>
    <w:rPr>
      <w:sz w:val="16"/>
      <w:szCs w:val="16"/>
    </w:rPr>
  </w:style>
  <w:style w:type="paragraph" w:styleId="Kommentartext">
    <w:name w:val="annotation text"/>
    <w:basedOn w:val="Standard"/>
    <w:link w:val="KommentartextZchn"/>
    <w:uiPriority w:val="99"/>
    <w:semiHidden/>
    <w:unhideWhenUsed/>
    <w:rsid w:val="004108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10892"/>
    <w:rPr>
      <w:sz w:val="20"/>
      <w:szCs w:val="20"/>
    </w:rPr>
  </w:style>
  <w:style w:type="paragraph" w:styleId="Listenabsatz">
    <w:name w:val="List Paragraph"/>
    <w:basedOn w:val="Standard"/>
    <w:uiPriority w:val="34"/>
    <w:qFormat/>
    <w:rsid w:val="00410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EE1BD-367E-42B1-B8EA-632EA674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2736</Words>
  <Characters>17237</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2023-08-03T09:57:00Z</dcterms:created>
  <dcterms:modified xsi:type="dcterms:W3CDTF">2023-08-09T09:37:00Z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2023-08-03T09:57:31Z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dd8ea86a-4d88-4a9b-b31e-c60ac275bce8</vt:lpwstr>
  </property>
  <property fmtid="{D5CDD505-2E9C-101B-9397-08002B2CF9AE}" pid="8" name="MSIP_Label_3c9bec58-8084-492e-8360-0e1cfe36408c_ContentBits">
    <vt:lpwstr>0</vt:lpwstr>
  </property>
  <property fmtid="{D5CDD505-2E9C-101B-9397-08002B2CF9AE}" pid="9" name="_MarkAsFinal">
    <vt:bool>true</vt:bool>
  </property>
</Properties>
</file>