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D83DF" w14:textId="29043667" w:rsidR="00EE5E35" w:rsidRDefault="00EE5E35" w:rsidP="00EE5E35">
      <w:r>
        <w:t xml:space="preserve">Disclaimer: this Q&amp;A document intends to facilitate the application of the transitional provisions set out in the </w:t>
      </w:r>
      <w:r w:rsidR="00407DC6">
        <w:t>Commission Implementing Regulation (EU) 2022/2346</w:t>
      </w:r>
      <w:r w:rsidR="00407DC6">
        <w:rPr>
          <w:rStyle w:val="FootnoteReference"/>
        </w:rPr>
        <w:footnoteReference w:id="1"/>
      </w:r>
      <w:r>
        <w:t xml:space="preserve">, as amended by </w:t>
      </w:r>
      <w:r w:rsidR="00407DC6">
        <w:t xml:space="preserve">Commission </w:t>
      </w:r>
      <w:r>
        <w:t>Implementing Regulation (EU) 2023/</w:t>
      </w:r>
      <w:r w:rsidR="001D03FE">
        <w:t>1194</w:t>
      </w:r>
      <w:r w:rsidR="000547EE">
        <w:rPr>
          <w:rStyle w:val="FootnoteReference"/>
        </w:rPr>
        <w:footnoteReference w:id="2"/>
      </w:r>
      <w:r>
        <w:t xml:space="preserve">. This document has not been formally endorsed by the European Commission and is without prejudice to any interpretation of the relevant provisions by the Court of Justice of the European Union or national courts. The information in this Q&amp;A document is of a general nature and not intended to address specific circumstances of any </w:t>
      </w:r>
      <w:proofErr w:type="gramStart"/>
      <w:r>
        <w:t>particular case</w:t>
      </w:r>
      <w:proofErr w:type="gramEnd"/>
      <w:r>
        <w:t xml:space="preserve">; the document does not intend to provide professional or legal advice. The information is not necessarily comprehensive nor complete. If needed, this document will be updated </w:t>
      </w:r>
      <w:proofErr w:type="gramStart"/>
      <w:r>
        <w:t>in order to</w:t>
      </w:r>
      <w:proofErr w:type="gramEnd"/>
      <w:r>
        <w:t xml:space="preserve"> address additional questions that may arise.</w:t>
      </w:r>
    </w:p>
    <w:p w14:paraId="41A62408" w14:textId="77777777" w:rsidR="00EE5E35" w:rsidRDefault="00EE5E35" w:rsidP="00D7497C"/>
    <w:p w14:paraId="0F24D5EF" w14:textId="45FFE646" w:rsidR="000B3B1D" w:rsidRDefault="000B3B1D" w:rsidP="00D7497C">
      <w:r>
        <w:t>Introduction</w:t>
      </w:r>
    </w:p>
    <w:p w14:paraId="017C0D94" w14:textId="05F10D41" w:rsidR="007B65A4" w:rsidRDefault="00F52CA6" w:rsidP="00F52CA6">
      <w:r>
        <w:t>Regulation (EU) 2017/745 on medical devices</w:t>
      </w:r>
      <w:r w:rsidR="007B65A4">
        <w:t xml:space="preserve"> (MDR)</w:t>
      </w:r>
      <w:r w:rsidR="00CE638D">
        <w:rPr>
          <w:rStyle w:val="FootnoteReference"/>
        </w:rPr>
        <w:footnoteReference w:id="3"/>
      </w:r>
      <w:r w:rsidR="007B65A4">
        <w:t>, fully applicable from 26 May 2021,</w:t>
      </w:r>
      <w:r>
        <w:t xml:space="preserve"> </w:t>
      </w:r>
      <w:proofErr w:type="gramStart"/>
      <w:r>
        <w:t>covers also</w:t>
      </w:r>
      <w:proofErr w:type="gramEnd"/>
      <w:r>
        <w:t xml:space="preserve"> products without an intended medical purpose that are listed in its Annex XVI. Common specifications addressing the application of risk management </w:t>
      </w:r>
      <w:r w:rsidR="007B65A4">
        <w:t xml:space="preserve">to Annex XVI products </w:t>
      </w:r>
      <w:r>
        <w:t xml:space="preserve">have </w:t>
      </w:r>
      <w:r w:rsidR="007B65A4">
        <w:t xml:space="preserve">been </w:t>
      </w:r>
      <w:r w:rsidR="00EE5E35">
        <w:t>set out</w:t>
      </w:r>
      <w:r w:rsidR="007B65A4">
        <w:t xml:space="preserve"> </w:t>
      </w:r>
      <w:r w:rsidR="00EE5E35">
        <w:t>in</w:t>
      </w:r>
      <w:r w:rsidR="007B65A4">
        <w:t xml:space="preserve"> Commission Implementing Regulation (EU) 2022/2346</w:t>
      </w:r>
      <w:r w:rsidR="00407DC6">
        <w:t xml:space="preserve"> (CS)</w:t>
      </w:r>
      <w:r w:rsidR="007B65A4">
        <w:t xml:space="preserve">, </w:t>
      </w:r>
      <w:r w:rsidR="00EE5E35">
        <w:t xml:space="preserve">which </w:t>
      </w:r>
      <w:r w:rsidR="007B65A4">
        <w:t>appli</w:t>
      </w:r>
      <w:r w:rsidR="00EE5E35">
        <w:t>es</w:t>
      </w:r>
      <w:r w:rsidR="007B65A4">
        <w:t xml:space="preserve"> from 22 June 2023.</w:t>
      </w:r>
    </w:p>
    <w:p w14:paraId="1D0127A3" w14:textId="5E474AF2" w:rsidR="00EE5E35" w:rsidRDefault="007B65A4" w:rsidP="00F52CA6">
      <w:r>
        <w:t xml:space="preserve">Transitional provisions set out in </w:t>
      </w:r>
      <w:r w:rsidR="00EE5E35">
        <w:t xml:space="preserve">the </w:t>
      </w:r>
      <w:r>
        <w:t>MDR have been extended by Regulation (EU) 2023/607</w:t>
      </w:r>
      <w:r w:rsidR="00FF5DCB">
        <w:rPr>
          <w:rStyle w:val="FootnoteReference"/>
        </w:rPr>
        <w:footnoteReference w:id="4"/>
      </w:r>
      <w:r>
        <w:t xml:space="preserve"> </w:t>
      </w:r>
      <w:r w:rsidR="00EE5E35">
        <w:t xml:space="preserve">that also sets out </w:t>
      </w:r>
      <w:r>
        <w:t xml:space="preserve">conditions </w:t>
      </w:r>
      <w:r w:rsidR="00EE5E35">
        <w:t>for</w:t>
      </w:r>
      <w:r>
        <w:t xml:space="preserve"> benefit</w:t>
      </w:r>
      <w:r w:rsidR="00EE5E35">
        <w:t>ting</w:t>
      </w:r>
      <w:r>
        <w:t xml:space="preserve"> from those extended transitional periods. The amended transitional provisions apply from 20 March 2023.</w:t>
      </w:r>
      <w:r w:rsidR="00EE5E35">
        <w:t xml:space="preserve"> </w:t>
      </w:r>
    </w:p>
    <w:p w14:paraId="4CF5C77E" w14:textId="2113F879" w:rsidR="007B65A4" w:rsidRDefault="00EE5E35" w:rsidP="00F52CA6">
      <w:r>
        <w:t>Considering that transitional provisions for p</w:t>
      </w:r>
      <w:r w:rsidR="007B65A4">
        <w:t xml:space="preserve">roducts covered by a certificate issued by a notified body in accordance with </w:t>
      </w:r>
      <w:r w:rsidR="00CE638D">
        <w:t xml:space="preserve">Council </w:t>
      </w:r>
      <w:r w:rsidR="007B65A4">
        <w:t xml:space="preserve">Directive 93/42/EEC </w:t>
      </w:r>
      <w:r w:rsidR="00CE638D">
        <w:t>(MDD)</w:t>
      </w:r>
      <w:r w:rsidR="00CE638D">
        <w:rPr>
          <w:rStyle w:val="FootnoteReference"/>
        </w:rPr>
        <w:footnoteReference w:id="5"/>
      </w:r>
      <w:r w:rsidR="00CE638D">
        <w:t xml:space="preserve"> </w:t>
      </w:r>
      <w:r w:rsidR="007B65A4">
        <w:t xml:space="preserve">are </w:t>
      </w:r>
      <w:r w:rsidR="009D5EB4">
        <w:t>set out both in</w:t>
      </w:r>
      <w:r w:rsidR="007B65A4">
        <w:t xml:space="preserve"> the amended MDR and </w:t>
      </w:r>
      <w:r w:rsidR="009D5EB4">
        <w:t xml:space="preserve">in </w:t>
      </w:r>
      <w:r w:rsidR="007B65A4">
        <w:t>the CS</w:t>
      </w:r>
      <w:r w:rsidR="009D5EB4">
        <w:t xml:space="preserve">, </w:t>
      </w:r>
      <w:r w:rsidR="007B65A4">
        <w:t>Commission Implementing Regulation 2023/</w:t>
      </w:r>
      <w:r w:rsidR="001D03FE">
        <w:t>1194</w:t>
      </w:r>
      <w:r w:rsidR="007B65A4">
        <w:t xml:space="preserve"> has been adopted to align the transitional provisions set out in the CS to those set out in the amended MDR. </w:t>
      </w:r>
      <w:r w:rsidR="009D5EB4">
        <w:t>The content of this document has been drafted considering the requirements applicable from the amended MDR and the amended CS.</w:t>
      </w:r>
    </w:p>
    <w:p w14:paraId="0EF3368D" w14:textId="77777777" w:rsidR="007B65A4" w:rsidRDefault="007B65A4" w:rsidP="00F52CA6"/>
    <w:p w14:paraId="30F4C26E" w14:textId="12C3A99A" w:rsidR="002F6DAD" w:rsidRPr="00F926B6" w:rsidRDefault="007300A8" w:rsidP="00D7497C">
      <w:pPr>
        <w:pStyle w:val="Heading1"/>
      </w:pPr>
      <w:r w:rsidRPr="00F926B6">
        <w:lastRenderedPageBreak/>
        <w:t xml:space="preserve">When </w:t>
      </w:r>
      <w:r w:rsidR="00564516">
        <w:t>are</w:t>
      </w:r>
      <w:r w:rsidR="00564516" w:rsidRPr="00F926B6">
        <w:t xml:space="preserve"> </w:t>
      </w:r>
      <w:r w:rsidR="00D91E06">
        <w:t xml:space="preserve">the </w:t>
      </w:r>
      <w:r w:rsidR="000D337D">
        <w:t>CS</w:t>
      </w:r>
      <w:r w:rsidRPr="00F926B6">
        <w:t xml:space="preserve"> applicable to Annex XVI products?</w:t>
      </w:r>
    </w:p>
    <w:p w14:paraId="38D3B3ED" w14:textId="313CA392" w:rsidR="007300A8" w:rsidRDefault="007B6AA3">
      <w:r>
        <w:t xml:space="preserve">The </w:t>
      </w:r>
      <w:r w:rsidR="00BA4DFB">
        <w:t>CS</w:t>
      </w:r>
      <w:r w:rsidR="000D337D">
        <w:t xml:space="preserve"> </w:t>
      </w:r>
      <w:r w:rsidR="007D05E2">
        <w:t>are</w:t>
      </w:r>
      <w:r w:rsidR="000D337D">
        <w:t xml:space="preserve"> applicable to Annex XVI products from 22 June 2023</w:t>
      </w:r>
      <w:r w:rsidR="00EF3DF0">
        <w:rPr>
          <w:rStyle w:val="FootnoteReference"/>
        </w:rPr>
        <w:footnoteReference w:id="6"/>
      </w:r>
      <w:r w:rsidR="00BA4DFB">
        <w:t>.</w:t>
      </w:r>
    </w:p>
    <w:p w14:paraId="2CAA6D41" w14:textId="2732E92C" w:rsidR="000D337D" w:rsidRDefault="00EF3DF0">
      <w:r>
        <w:t>Certain p</w:t>
      </w:r>
      <w:r w:rsidR="000D337D">
        <w:t xml:space="preserve">rovisions for </w:t>
      </w:r>
      <w:r>
        <w:t>products that</w:t>
      </w:r>
      <w:r w:rsidRPr="00EF3DF0">
        <w:t xml:space="preserve"> </w:t>
      </w:r>
      <w:r>
        <w:t>are</w:t>
      </w:r>
      <w:r w:rsidRPr="00EF3DF0">
        <w:t xml:space="preserve"> covered by a certificate issued by a notified body in accordance with </w:t>
      </w:r>
      <w:r w:rsidR="00CE638D">
        <w:t xml:space="preserve">the </w:t>
      </w:r>
      <w:r>
        <w:t xml:space="preserve">MDD </w:t>
      </w:r>
      <w:r w:rsidR="007D05E2">
        <w:t>are</w:t>
      </w:r>
      <w:r w:rsidR="000D337D">
        <w:t xml:space="preserve"> applicable </w:t>
      </w:r>
      <w:r w:rsidR="007D05E2">
        <w:t xml:space="preserve">from 22 December 2022 (see question </w:t>
      </w:r>
      <w:r w:rsidR="007D05E2">
        <w:fldChar w:fldCharType="begin"/>
      </w:r>
      <w:r w:rsidR="007D05E2">
        <w:instrText xml:space="preserve"> REF _Ref122429256 \r \h </w:instrText>
      </w:r>
      <w:r w:rsidR="007D05E2">
        <w:fldChar w:fldCharType="separate"/>
      </w:r>
      <w:r w:rsidR="00414E08">
        <w:t>6</w:t>
      </w:r>
      <w:r w:rsidR="007D05E2">
        <w:fldChar w:fldCharType="end"/>
      </w:r>
      <w:r w:rsidR="007D05E2">
        <w:t>).</w:t>
      </w:r>
    </w:p>
    <w:p w14:paraId="29EAB1F9" w14:textId="77777777" w:rsidR="00DA5BF2" w:rsidRDefault="00DA5BF2"/>
    <w:p w14:paraId="212E2E82" w14:textId="476B33F9" w:rsidR="000D337D" w:rsidRPr="00F926B6" w:rsidRDefault="000D337D" w:rsidP="000D337D">
      <w:pPr>
        <w:pStyle w:val="Heading1"/>
      </w:pPr>
      <w:r w:rsidRPr="00F926B6">
        <w:t xml:space="preserve">When </w:t>
      </w:r>
      <w:r w:rsidR="00564516">
        <w:t xml:space="preserve">is </w:t>
      </w:r>
      <w:r w:rsidR="00D91E06">
        <w:t xml:space="preserve">the </w:t>
      </w:r>
      <w:r w:rsidRPr="00F926B6">
        <w:t>MDR applicable to Annex XVI products?</w:t>
      </w:r>
    </w:p>
    <w:p w14:paraId="03BAE72E" w14:textId="4F36EB88" w:rsidR="007300A8" w:rsidRDefault="00CE638D">
      <w:r>
        <w:t xml:space="preserve">The </w:t>
      </w:r>
      <w:r w:rsidR="000D337D">
        <w:t xml:space="preserve">MDR </w:t>
      </w:r>
      <w:r w:rsidR="007D05E2">
        <w:t>is</w:t>
      </w:r>
      <w:r w:rsidR="000D337D">
        <w:t xml:space="preserve"> applicable to Annex XVI products from 22 June 2023</w:t>
      </w:r>
      <w:r w:rsidR="000D337D">
        <w:rPr>
          <w:rStyle w:val="FootnoteReference"/>
        </w:rPr>
        <w:footnoteReference w:id="7"/>
      </w:r>
      <w:r w:rsidR="000D337D">
        <w:t>, which is the date of application of the CS.</w:t>
      </w:r>
    </w:p>
    <w:p w14:paraId="13B8250A" w14:textId="77777777" w:rsidR="00DA5BF2" w:rsidRDefault="00DA5BF2"/>
    <w:p w14:paraId="34437ACC" w14:textId="6DC69D0E" w:rsidR="007300A8" w:rsidRPr="00F926B6" w:rsidRDefault="007D05E2" w:rsidP="00D7497C">
      <w:pPr>
        <w:pStyle w:val="Heading1"/>
      </w:pPr>
      <w:r>
        <w:t>What are</w:t>
      </w:r>
      <w:r w:rsidR="007300A8" w:rsidRPr="00F926B6">
        <w:t xml:space="preserve"> </w:t>
      </w:r>
      <w:r w:rsidR="007300A8" w:rsidRPr="00D7497C">
        <w:t>transitional</w:t>
      </w:r>
      <w:r w:rsidR="007300A8" w:rsidRPr="00F926B6">
        <w:t xml:space="preserve"> provisions </w:t>
      </w:r>
      <w:r>
        <w:t xml:space="preserve">foreseen </w:t>
      </w:r>
      <w:r w:rsidR="007300A8" w:rsidRPr="00F926B6">
        <w:t>for A</w:t>
      </w:r>
      <w:r w:rsidR="003A2CE3">
        <w:t xml:space="preserve">nnex </w:t>
      </w:r>
      <w:r w:rsidR="007300A8" w:rsidRPr="00F926B6">
        <w:t>XVI products?</w:t>
      </w:r>
    </w:p>
    <w:p w14:paraId="1BCAA899" w14:textId="0A39E95D" w:rsidR="001A0C45" w:rsidRDefault="00D91E06">
      <w:r>
        <w:t xml:space="preserve">The </w:t>
      </w:r>
      <w:r w:rsidR="007D05E2">
        <w:t xml:space="preserve">MDR </w:t>
      </w:r>
      <w:r w:rsidR="00EF3DF0">
        <w:t xml:space="preserve">establishes </w:t>
      </w:r>
      <w:r w:rsidR="00F926B6">
        <w:t xml:space="preserve">a </w:t>
      </w:r>
      <w:r w:rsidR="00DA5BF2">
        <w:t xml:space="preserve">fixed </w:t>
      </w:r>
      <w:r w:rsidR="00F926B6">
        <w:t>period of 6 months</w:t>
      </w:r>
      <w:r w:rsidR="001A0C45">
        <w:rPr>
          <w:rStyle w:val="FootnoteReference"/>
        </w:rPr>
        <w:footnoteReference w:id="8"/>
      </w:r>
      <w:r w:rsidR="00DA5BF2">
        <w:t xml:space="preserve"> </w:t>
      </w:r>
      <w:r w:rsidR="007D05E2">
        <w:t xml:space="preserve">to </w:t>
      </w:r>
      <w:r w:rsidR="00DA5BF2">
        <w:t xml:space="preserve">allow the </w:t>
      </w:r>
      <w:r w:rsidR="007D05E2">
        <w:t>implement</w:t>
      </w:r>
      <w:r w:rsidR="00DA5BF2">
        <w:t>ation of</w:t>
      </w:r>
      <w:r w:rsidR="007D05E2">
        <w:t xml:space="preserve"> the new </w:t>
      </w:r>
      <w:r w:rsidR="00DA5BF2">
        <w:t xml:space="preserve">applicable </w:t>
      </w:r>
      <w:r w:rsidR="007D05E2">
        <w:t xml:space="preserve">requirements </w:t>
      </w:r>
      <w:r w:rsidR="00DA5BF2">
        <w:t>laid down in</w:t>
      </w:r>
      <w:r w:rsidR="007D05E2">
        <w:t xml:space="preserve"> the CS</w:t>
      </w:r>
      <w:r w:rsidR="00F926B6">
        <w:t>.</w:t>
      </w:r>
      <w:r w:rsidR="007D05E2">
        <w:t xml:space="preserve"> </w:t>
      </w:r>
      <w:r w:rsidR="00996933">
        <w:t>This period starts on 22 December 2022 and ends on 22 June 2023.</w:t>
      </w:r>
      <w:r w:rsidR="001A0C45">
        <w:t xml:space="preserve"> Article 120 to MDR establish</w:t>
      </w:r>
      <w:r w:rsidR="00DA5BF2">
        <w:t>es</w:t>
      </w:r>
      <w:r w:rsidR="001A0C45">
        <w:t xml:space="preserve"> </w:t>
      </w:r>
      <w:r w:rsidR="00DA5BF2">
        <w:t xml:space="preserve">also </w:t>
      </w:r>
      <w:r w:rsidR="001A0C45">
        <w:t xml:space="preserve">transitional provisions for products </w:t>
      </w:r>
      <w:r w:rsidR="00DA5BF2">
        <w:t>covered by</w:t>
      </w:r>
      <w:r w:rsidR="001A0C45">
        <w:t xml:space="preserve"> </w:t>
      </w:r>
      <w:r w:rsidR="00DA5BF2">
        <w:t>an</w:t>
      </w:r>
      <w:r w:rsidR="001A0C45">
        <w:t xml:space="preserve"> MDD</w:t>
      </w:r>
      <w:r w:rsidR="00DA5BF2">
        <w:t xml:space="preserve"> certificate</w:t>
      </w:r>
      <w:r w:rsidR="001A0C45">
        <w:t>.</w:t>
      </w:r>
    </w:p>
    <w:p w14:paraId="48B2A9CF" w14:textId="7D13EFE7" w:rsidR="007300A8" w:rsidRDefault="00DA5BF2">
      <w:r>
        <w:t xml:space="preserve">In addition, </w:t>
      </w:r>
      <w:r w:rsidR="00D91E06">
        <w:t xml:space="preserve">the </w:t>
      </w:r>
      <w:r w:rsidR="00CF59F0">
        <w:t xml:space="preserve">CS establish </w:t>
      </w:r>
      <w:r w:rsidR="00996933">
        <w:t>dedicated</w:t>
      </w:r>
      <w:r w:rsidR="00D52611">
        <w:t xml:space="preserve"> </w:t>
      </w:r>
      <w:r w:rsidR="00CF59F0">
        <w:t xml:space="preserve">transitional provisions </w:t>
      </w:r>
      <w:r w:rsidR="00D52611">
        <w:t xml:space="preserve">to cover specific cases for which the </w:t>
      </w:r>
      <w:r w:rsidR="00CF59F0">
        <w:t xml:space="preserve">6 </w:t>
      </w:r>
      <w:r>
        <w:t xml:space="preserve">fixed </w:t>
      </w:r>
      <w:r w:rsidR="00CF59F0">
        <w:t xml:space="preserve">months granted by the MDR would not be sufficient to </w:t>
      </w:r>
      <w:r w:rsidR="00996933">
        <w:t xml:space="preserve">fully implement the new applicable requirements from the </w:t>
      </w:r>
      <w:r w:rsidR="00D52611">
        <w:t xml:space="preserve">CS and to complete the applicable </w:t>
      </w:r>
      <w:r w:rsidR="00CF59F0">
        <w:t>procedure</w:t>
      </w:r>
      <w:r w:rsidR="00D52611">
        <w:t>s</w:t>
      </w:r>
      <w:r w:rsidR="00CF59F0">
        <w:t xml:space="preserve"> under the </w:t>
      </w:r>
      <w:r w:rsidR="00D52611">
        <w:t>MDR</w:t>
      </w:r>
      <w:r w:rsidR="00CF59F0">
        <w:t xml:space="preserve">. In detail, </w:t>
      </w:r>
      <w:r w:rsidR="00996933">
        <w:t xml:space="preserve">such cases include </w:t>
      </w:r>
      <w:r w:rsidR="00CF59F0">
        <w:t xml:space="preserve">when a notified body needs to be involved in the conformity assessment procedure, when the manufacturer considers </w:t>
      </w:r>
      <w:r>
        <w:t>carrying</w:t>
      </w:r>
      <w:r w:rsidR="00CF59F0">
        <w:t xml:space="preserve"> out a clinical investigation followed by a conformity assessment procedure that involves a notified body and when the Annex XVI product is covered by an MDD certificate.</w:t>
      </w:r>
    </w:p>
    <w:p w14:paraId="48A49428" w14:textId="77777777" w:rsidR="008C50A1" w:rsidRDefault="008C50A1"/>
    <w:p w14:paraId="0CDC7F90" w14:textId="14BD3025" w:rsidR="00996933" w:rsidRPr="00A82375" w:rsidRDefault="00996933" w:rsidP="00996933">
      <w:pPr>
        <w:pStyle w:val="Heading1"/>
      </w:pPr>
      <w:r w:rsidRPr="00A82375">
        <w:t xml:space="preserve">What is the transitional period </w:t>
      </w:r>
      <w:r w:rsidR="00392CFE">
        <w:t>set out in the CS</w:t>
      </w:r>
      <w:r w:rsidR="00392CFE" w:rsidRPr="00A82375">
        <w:t xml:space="preserve"> </w:t>
      </w:r>
      <w:r w:rsidRPr="00A82375">
        <w:t>for products for which a notified body is involved in the conformity assessment</w:t>
      </w:r>
      <w:r>
        <w:t xml:space="preserve"> and the manufacturer decides to carry out a clinical investigation</w:t>
      </w:r>
      <w:r w:rsidRPr="00A82375">
        <w:t>? Are there conditions to be satisfied?</w:t>
      </w:r>
    </w:p>
    <w:p w14:paraId="021662ED" w14:textId="5798F56B" w:rsidR="00996933" w:rsidRDefault="00996933" w:rsidP="00996933">
      <w:r>
        <w:t xml:space="preserve">The period is </w:t>
      </w:r>
      <w:r w:rsidR="00987F26">
        <w:t xml:space="preserve">about 6,5 </w:t>
      </w:r>
      <w:r>
        <w:t>years. It starts</w:t>
      </w:r>
      <w:r w:rsidR="009F711A">
        <w:t xml:space="preserve"> from 22 June 2023</w:t>
      </w:r>
      <w:r>
        <w:t xml:space="preserve"> and ends on </w:t>
      </w:r>
      <w:r w:rsidR="00987F26">
        <w:t>31 December 2029</w:t>
      </w:r>
      <w:r>
        <w:t>.</w:t>
      </w:r>
    </w:p>
    <w:p w14:paraId="2FDDC6A3" w14:textId="59115066" w:rsidR="00CF4EC5" w:rsidRDefault="00996933" w:rsidP="00996933">
      <w:r>
        <w:t>During the transitional period</w:t>
      </w:r>
      <w:r w:rsidR="008A623B">
        <w:t>,</w:t>
      </w:r>
      <w:r>
        <w:t xml:space="preserve"> </w:t>
      </w:r>
      <w:r w:rsidR="004627A4">
        <w:t xml:space="preserve">various </w:t>
      </w:r>
      <w:r>
        <w:t>conditions need to be satisf</w:t>
      </w:r>
      <w:r w:rsidR="00CF4EC5">
        <w:t>ied.</w:t>
      </w:r>
      <w:r w:rsidR="004627A4">
        <w:t xml:space="preserve"> Some for the entire period, while others </w:t>
      </w:r>
      <w:r w:rsidR="000F78B9">
        <w:t>within certain dates</w:t>
      </w:r>
      <w:r w:rsidR="004627A4">
        <w:t>. The following table shows each condition that need</w:t>
      </w:r>
      <w:r w:rsidR="00B77CB5">
        <w:t>s</w:t>
      </w:r>
      <w:r w:rsidR="004627A4">
        <w:t xml:space="preserve"> to be fulfilled to continue to place on the market the product </w:t>
      </w:r>
      <w:r w:rsidR="009F711A">
        <w:t>during the transitional period.</w:t>
      </w:r>
    </w:p>
    <w:p w14:paraId="59BDA1AD" w14:textId="3007321D" w:rsidR="000547EE" w:rsidRDefault="000547EE" w:rsidP="00996933"/>
    <w:p w14:paraId="1F1A4AB2" w14:textId="4EB03F11" w:rsidR="00414E08" w:rsidRDefault="00414E08" w:rsidP="00996933"/>
    <w:p w14:paraId="5A70560D" w14:textId="22A219A0" w:rsidR="00414E08" w:rsidRDefault="00414E08" w:rsidP="00996933"/>
    <w:p w14:paraId="3FBDCDFD" w14:textId="77777777" w:rsidR="00414E08" w:rsidRDefault="00414E08" w:rsidP="00996933"/>
    <w:tbl>
      <w:tblPr>
        <w:tblStyle w:val="TableGrid"/>
        <w:tblW w:w="0" w:type="auto"/>
        <w:tblLook w:val="04A0" w:firstRow="1" w:lastRow="0" w:firstColumn="1" w:lastColumn="0" w:noHBand="0" w:noVBand="1"/>
      </w:tblPr>
      <w:tblGrid>
        <w:gridCol w:w="3005"/>
        <w:gridCol w:w="3005"/>
        <w:gridCol w:w="3006"/>
      </w:tblGrid>
      <w:tr w:rsidR="003A2CE3" w:rsidRPr="004627A4" w14:paraId="78F92D20" w14:textId="77777777" w:rsidTr="003A2CE3">
        <w:tc>
          <w:tcPr>
            <w:tcW w:w="9016" w:type="dxa"/>
            <w:gridSpan w:val="3"/>
          </w:tcPr>
          <w:p w14:paraId="543B109D" w14:textId="095B07E6" w:rsidR="003A2CE3" w:rsidRDefault="003A2CE3" w:rsidP="009F711A">
            <w:pPr>
              <w:rPr>
                <w:b/>
                <w:sz w:val="18"/>
              </w:rPr>
            </w:pPr>
            <w:r>
              <w:rPr>
                <w:b/>
                <w:sz w:val="18"/>
              </w:rPr>
              <w:t>From 22/06/2023 to 31/12/2029</w:t>
            </w:r>
          </w:p>
        </w:tc>
      </w:tr>
      <w:tr w:rsidR="003A2CE3" w:rsidRPr="00CF4EC5" w14:paraId="6632AA92" w14:textId="77777777" w:rsidTr="00611F2D">
        <w:tc>
          <w:tcPr>
            <w:tcW w:w="9016" w:type="dxa"/>
            <w:gridSpan w:val="3"/>
          </w:tcPr>
          <w:p w14:paraId="526F163F" w14:textId="77777777" w:rsidR="003A2CE3" w:rsidRPr="009F711A" w:rsidRDefault="003A2CE3" w:rsidP="00611F2D">
            <w:pPr>
              <w:pStyle w:val="ListParagraph"/>
              <w:numPr>
                <w:ilvl w:val="0"/>
                <w:numId w:val="3"/>
              </w:numPr>
              <w:jc w:val="left"/>
              <w:rPr>
                <w:sz w:val="18"/>
              </w:rPr>
            </w:pPr>
            <w:r w:rsidRPr="009F711A">
              <w:rPr>
                <w:sz w:val="18"/>
              </w:rPr>
              <w:t xml:space="preserve">the product was lawfully marketed in the Union before 22 June 2023 and continues to comply with the requirements of Union and national law that were applicable to it before 22 June </w:t>
            </w:r>
            <w:proofErr w:type="gramStart"/>
            <w:r w:rsidRPr="009F711A">
              <w:rPr>
                <w:sz w:val="18"/>
              </w:rPr>
              <w:t>2023;</w:t>
            </w:r>
            <w:proofErr w:type="gramEnd"/>
          </w:p>
          <w:p w14:paraId="0AB53EB0" w14:textId="77777777" w:rsidR="003A2CE3" w:rsidRPr="009F711A" w:rsidRDefault="003A2CE3" w:rsidP="00611F2D">
            <w:pPr>
              <w:pStyle w:val="ListParagraph"/>
              <w:numPr>
                <w:ilvl w:val="0"/>
                <w:numId w:val="3"/>
              </w:numPr>
              <w:jc w:val="left"/>
              <w:rPr>
                <w:sz w:val="18"/>
              </w:rPr>
            </w:pPr>
            <w:r w:rsidRPr="009F711A">
              <w:rPr>
                <w:sz w:val="18"/>
              </w:rPr>
              <w:t>the manufacturer does not make significant changes in the design and intended purpose of the product.</w:t>
            </w:r>
            <w:r w:rsidRPr="009F711A">
              <w:rPr>
                <w:rStyle w:val="FootnoteReference"/>
                <w:sz w:val="18"/>
              </w:rPr>
              <w:t xml:space="preserve"> </w:t>
            </w:r>
            <w:r>
              <w:rPr>
                <w:rStyle w:val="FootnoteReference"/>
                <w:sz w:val="18"/>
              </w:rPr>
              <w:footnoteReference w:id="9"/>
            </w:r>
          </w:p>
        </w:tc>
      </w:tr>
      <w:tr w:rsidR="00B77CB5" w:rsidRPr="004627A4" w14:paraId="02BAF402" w14:textId="77777777" w:rsidTr="00B77CB5">
        <w:trPr>
          <w:tblHeader/>
        </w:trPr>
        <w:tc>
          <w:tcPr>
            <w:tcW w:w="3005" w:type="dxa"/>
          </w:tcPr>
          <w:p w14:paraId="063C5343" w14:textId="5F458860" w:rsidR="00B77CB5" w:rsidRPr="004627A4" w:rsidRDefault="00B77CB5" w:rsidP="009F711A">
            <w:pPr>
              <w:rPr>
                <w:b/>
                <w:sz w:val="18"/>
              </w:rPr>
            </w:pPr>
            <w:r>
              <w:rPr>
                <w:b/>
                <w:sz w:val="18"/>
              </w:rPr>
              <w:t>From 23/06/2024</w:t>
            </w:r>
          </w:p>
        </w:tc>
        <w:tc>
          <w:tcPr>
            <w:tcW w:w="3005" w:type="dxa"/>
          </w:tcPr>
          <w:p w14:paraId="5352E62A" w14:textId="720E71BA" w:rsidR="00B77CB5" w:rsidRPr="004627A4" w:rsidRDefault="00B77CB5" w:rsidP="009F711A">
            <w:pPr>
              <w:rPr>
                <w:b/>
                <w:sz w:val="18"/>
              </w:rPr>
            </w:pPr>
            <w:r>
              <w:rPr>
                <w:b/>
                <w:sz w:val="18"/>
              </w:rPr>
              <w:t xml:space="preserve">From </w:t>
            </w:r>
            <w:r w:rsidRPr="004627A4">
              <w:rPr>
                <w:b/>
                <w:sz w:val="18"/>
              </w:rPr>
              <w:t xml:space="preserve">23/12/2024 </w:t>
            </w:r>
          </w:p>
        </w:tc>
        <w:tc>
          <w:tcPr>
            <w:tcW w:w="3006" w:type="dxa"/>
          </w:tcPr>
          <w:p w14:paraId="2E54B545" w14:textId="1D95ABC8" w:rsidR="00B77CB5" w:rsidRPr="004627A4" w:rsidRDefault="00B77CB5" w:rsidP="009F711A">
            <w:pPr>
              <w:rPr>
                <w:b/>
                <w:sz w:val="18"/>
              </w:rPr>
            </w:pPr>
            <w:r>
              <w:rPr>
                <w:b/>
                <w:sz w:val="18"/>
              </w:rPr>
              <w:t>From 01/01/2028</w:t>
            </w:r>
          </w:p>
        </w:tc>
      </w:tr>
      <w:tr w:rsidR="00B77CB5" w:rsidRPr="00CF4EC5" w14:paraId="2B64969A" w14:textId="77777777" w:rsidTr="00B77CB5">
        <w:tc>
          <w:tcPr>
            <w:tcW w:w="3005" w:type="dxa"/>
          </w:tcPr>
          <w:p w14:paraId="130058F9" w14:textId="77777777" w:rsidR="00B77CB5" w:rsidRPr="00961BF1" w:rsidRDefault="00B77CB5" w:rsidP="00961BF1">
            <w:pPr>
              <w:pStyle w:val="ListParagraph"/>
              <w:numPr>
                <w:ilvl w:val="0"/>
                <w:numId w:val="4"/>
              </w:numPr>
              <w:rPr>
                <w:sz w:val="18"/>
              </w:rPr>
            </w:pPr>
            <w:r w:rsidRPr="00961BF1">
              <w:rPr>
                <w:sz w:val="18"/>
              </w:rPr>
              <w:lastRenderedPageBreak/>
              <w:t xml:space="preserve">the sponsor has received confirmation that the application for the clinical investigation of the product is </w:t>
            </w:r>
            <w:proofErr w:type="gramStart"/>
            <w:r w:rsidRPr="00961BF1">
              <w:rPr>
                <w:sz w:val="18"/>
              </w:rPr>
              <w:t>complete</w:t>
            </w:r>
            <w:proofErr w:type="gramEnd"/>
            <w:r w:rsidRPr="00961BF1">
              <w:rPr>
                <w:sz w:val="18"/>
              </w:rPr>
              <w:t xml:space="preserve"> and that the clinical investigation falls within the scope of the MDR</w:t>
            </w:r>
            <w:r>
              <w:rPr>
                <w:rStyle w:val="FootnoteReference"/>
                <w:sz w:val="18"/>
              </w:rPr>
              <w:footnoteReference w:id="10"/>
            </w:r>
            <w:r w:rsidRPr="00961BF1">
              <w:rPr>
                <w:sz w:val="18"/>
              </w:rPr>
              <w:t>.</w:t>
            </w:r>
          </w:p>
        </w:tc>
        <w:tc>
          <w:tcPr>
            <w:tcW w:w="3005" w:type="dxa"/>
          </w:tcPr>
          <w:p w14:paraId="0F6211D1" w14:textId="77777777" w:rsidR="00B77CB5" w:rsidRPr="00961BF1" w:rsidRDefault="00B77CB5" w:rsidP="00961BF1">
            <w:pPr>
              <w:pStyle w:val="ListParagraph"/>
              <w:numPr>
                <w:ilvl w:val="0"/>
                <w:numId w:val="4"/>
              </w:numPr>
              <w:rPr>
                <w:sz w:val="18"/>
              </w:rPr>
            </w:pPr>
            <w:r w:rsidRPr="00961BF1">
              <w:rPr>
                <w:sz w:val="18"/>
              </w:rPr>
              <w:t>the sponsor has started the clinical investigation</w:t>
            </w:r>
            <w:r>
              <w:rPr>
                <w:rStyle w:val="FootnoteReference"/>
                <w:sz w:val="18"/>
              </w:rPr>
              <w:footnoteReference w:id="11"/>
            </w:r>
            <w:r w:rsidRPr="00961BF1">
              <w:rPr>
                <w:sz w:val="18"/>
              </w:rPr>
              <w:t>.</w:t>
            </w:r>
          </w:p>
        </w:tc>
        <w:tc>
          <w:tcPr>
            <w:tcW w:w="3006" w:type="dxa"/>
          </w:tcPr>
          <w:p w14:paraId="40522BBC" w14:textId="77777777" w:rsidR="00B77CB5" w:rsidRPr="00961BF1" w:rsidRDefault="00B77CB5" w:rsidP="00961BF1">
            <w:pPr>
              <w:pStyle w:val="ListParagraph"/>
              <w:numPr>
                <w:ilvl w:val="0"/>
                <w:numId w:val="4"/>
              </w:numPr>
              <w:rPr>
                <w:sz w:val="18"/>
              </w:rPr>
            </w:pPr>
            <w:r w:rsidRPr="00961BF1">
              <w:rPr>
                <w:sz w:val="18"/>
              </w:rPr>
              <w:t>the manufacturer signed a written agreement with a notified body for the conformity assessment procedure.</w:t>
            </w:r>
            <w:r>
              <w:rPr>
                <w:rStyle w:val="FootnoteReference"/>
                <w:sz w:val="18"/>
              </w:rPr>
              <w:footnoteReference w:id="12"/>
            </w:r>
          </w:p>
        </w:tc>
      </w:tr>
    </w:tbl>
    <w:p w14:paraId="03ECFFB1" w14:textId="7D1890F7" w:rsidR="00CF4EC5" w:rsidRDefault="004627A4" w:rsidP="004627A4">
      <w:pPr>
        <w:pStyle w:val="Caption"/>
      </w:pPr>
      <w:r w:rsidRPr="004627A4">
        <w:rPr>
          <w:b/>
        </w:rPr>
        <w:t xml:space="preserve">Table </w:t>
      </w:r>
      <w:r w:rsidRPr="004627A4">
        <w:rPr>
          <w:b/>
        </w:rPr>
        <w:fldChar w:fldCharType="begin"/>
      </w:r>
      <w:r w:rsidRPr="004627A4">
        <w:rPr>
          <w:b/>
        </w:rPr>
        <w:instrText xml:space="preserve"> SEQ Table \* ARABIC </w:instrText>
      </w:r>
      <w:r w:rsidRPr="004627A4">
        <w:rPr>
          <w:b/>
        </w:rPr>
        <w:fldChar w:fldCharType="separate"/>
      </w:r>
      <w:r w:rsidR="00414E08">
        <w:rPr>
          <w:b/>
          <w:noProof/>
        </w:rPr>
        <w:t>1</w:t>
      </w:r>
      <w:r w:rsidRPr="004627A4">
        <w:rPr>
          <w:b/>
        </w:rPr>
        <w:fldChar w:fldCharType="end"/>
      </w:r>
      <w:r>
        <w:t>: applicable conditions for transitional provisions according to Article 2(1) to CS.</w:t>
      </w:r>
    </w:p>
    <w:p w14:paraId="3619D68F" w14:textId="2B79E028" w:rsidR="00996933" w:rsidRDefault="00392CFE" w:rsidP="00996933">
      <w:r>
        <w:t xml:space="preserve">Products covered by an MDD certificate cannot benefit from this transitional period (see question nr </w:t>
      </w:r>
      <w:r>
        <w:fldChar w:fldCharType="begin"/>
      </w:r>
      <w:r>
        <w:instrText xml:space="preserve"> REF _Ref122429256 \r \h </w:instrText>
      </w:r>
      <w:r>
        <w:fldChar w:fldCharType="separate"/>
      </w:r>
      <w:r w:rsidR="00414E08">
        <w:t>6</w:t>
      </w:r>
      <w:r>
        <w:fldChar w:fldCharType="end"/>
      </w:r>
      <w:r>
        <w:t xml:space="preserve"> or </w:t>
      </w:r>
      <w:r>
        <w:fldChar w:fldCharType="begin"/>
      </w:r>
      <w:r>
        <w:instrText xml:space="preserve"> REF _Ref134698864 \r \h </w:instrText>
      </w:r>
      <w:r>
        <w:fldChar w:fldCharType="separate"/>
      </w:r>
      <w:r w:rsidR="00414E08">
        <w:t>7</w:t>
      </w:r>
      <w:r>
        <w:fldChar w:fldCharType="end"/>
      </w:r>
      <w:r>
        <w:t>).</w:t>
      </w:r>
    </w:p>
    <w:p w14:paraId="1B9A216D" w14:textId="77777777" w:rsidR="00392CFE" w:rsidRDefault="00392CFE" w:rsidP="00996933"/>
    <w:p w14:paraId="1848FAB4" w14:textId="7D6277B2" w:rsidR="004175AE" w:rsidRPr="00A82375" w:rsidRDefault="004175AE" w:rsidP="00D7497C">
      <w:pPr>
        <w:pStyle w:val="Heading1"/>
      </w:pPr>
      <w:bookmarkStart w:id="0" w:name="_Ref121229115"/>
      <w:r w:rsidRPr="00A82375">
        <w:t xml:space="preserve">What is the transitional period </w:t>
      </w:r>
      <w:r w:rsidR="00392CFE">
        <w:t>set out in the CS</w:t>
      </w:r>
      <w:r w:rsidR="00392CFE" w:rsidRPr="00A82375">
        <w:t xml:space="preserve"> </w:t>
      </w:r>
      <w:r w:rsidRPr="00A82375">
        <w:t>for products for which a notified body is involved in the conformity assessment</w:t>
      </w:r>
      <w:r w:rsidR="007721DE" w:rsidRPr="007721DE">
        <w:t xml:space="preserve"> and the manufacturer does not intend to perform a clinical investigation</w:t>
      </w:r>
      <w:r w:rsidRPr="00A82375">
        <w:t>? Are there conditions to be satisfied?</w:t>
      </w:r>
      <w:bookmarkEnd w:id="0"/>
    </w:p>
    <w:p w14:paraId="42C67B32" w14:textId="4A34637E" w:rsidR="00DA70D5" w:rsidRDefault="00A82375">
      <w:r>
        <w:t xml:space="preserve">The period is </w:t>
      </w:r>
      <w:r w:rsidR="00987F26">
        <w:t>about 5,5</w:t>
      </w:r>
      <w:r>
        <w:t xml:space="preserve"> years. It starts from </w:t>
      </w:r>
      <w:r w:rsidR="00D52611">
        <w:t>22 June 2023</w:t>
      </w:r>
      <w:r w:rsidR="00996933">
        <w:t xml:space="preserve"> and ends on</w:t>
      </w:r>
      <w:r w:rsidR="00987F26">
        <w:t xml:space="preserve"> 31 December 2028</w:t>
      </w:r>
      <w:r>
        <w:t>.</w:t>
      </w:r>
    </w:p>
    <w:p w14:paraId="537102A8" w14:textId="77777777" w:rsidR="006B4410" w:rsidRPr="000F78B9" w:rsidRDefault="006B4410" w:rsidP="006B4410">
      <w:r>
        <w:t xml:space="preserve">During the transitional period, various conditions need to be satisfied. Some for the entire period, while others within certain dates. The following table shows each condition that need to be fulfilled to continue to place on the market the product </w:t>
      </w:r>
      <w:r w:rsidR="00DA07DB">
        <w:t>during the transitional period.</w:t>
      </w:r>
    </w:p>
    <w:p w14:paraId="317FCA8A" w14:textId="77777777" w:rsidR="00A82375" w:rsidRDefault="00A82375"/>
    <w:tbl>
      <w:tblPr>
        <w:tblStyle w:val="TableGrid"/>
        <w:tblW w:w="0" w:type="auto"/>
        <w:tblLook w:val="04A0" w:firstRow="1" w:lastRow="0" w:firstColumn="1" w:lastColumn="0" w:noHBand="0" w:noVBand="1"/>
      </w:tblPr>
      <w:tblGrid>
        <w:gridCol w:w="9016"/>
      </w:tblGrid>
      <w:tr w:rsidR="007721DE" w:rsidRPr="00CF6D0E" w14:paraId="6E9B4621" w14:textId="77777777" w:rsidTr="006E2995">
        <w:tc>
          <w:tcPr>
            <w:tcW w:w="9016" w:type="dxa"/>
          </w:tcPr>
          <w:p w14:paraId="751981F3" w14:textId="1555DF73" w:rsidR="007721DE" w:rsidRDefault="007721DE" w:rsidP="00DA07DB">
            <w:pPr>
              <w:rPr>
                <w:b/>
                <w:sz w:val="18"/>
              </w:rPr>
            </w:pPr>
            <w:r>
              <w:rPr>
                <w:b/>
                <w:sz w:val="18"/>
              </w:rPr>
              <w:t>From 22/06/2023 to 31/12/2028</w:t>
            </w:r>
          </w:p>
        </w:tc>
      </w:tr>
      <w:tr w:rsidR="007721DE" w:rsidRPr="00CF6D0E" w14:paraId="03B931E8" w14:textId="77777777" w:rsidTr="00C46CFD">
        <w:tc>
          <w:tcPr>
            <w:tcW w:w="9016" w:type="dxa"/>
          </w:tcPr>
          <w:p w14:paraId="7ECD0491" w14:textId="77777777" w:rsidR="007721DE" w:rsidRPr="00DA07DB" w:rsidRDefault="007721DE" w:rsidP="00C46CFD">
            <w:pPr>
              <w:pStyle w:val="ListParagraph"/>
              <w:numPr>
                <w:ilvl w:val="0"/>
                <w:numId w:val="5"/>
              </w:numPr>
              <w:jc w:val="left"/>
              <w:rPr>
                <w:sz w:val="18"/>
              </w:rPr>
            </w:pPr>
            <w:r w:rsidRPr="00DA07DB">
              <w:rPr>
                <w:sz w:val="18"/>
              </w:rPr>
              <w:t xml:space="preserve">the product was lawfully marketed in the Union before 22 June 2023 and continues to comply with the requirements of Union and national law that were applicable to it before 22 June </w:t>
            </w:r>
            <w:proofErr w:type="gramStart"/>
            <w:r w:rsidRPr="00DA07DB">
              <w:rPr>
                <w:sz w:val="18"/>
              </w:rPr>
              <w:t>2023;</w:t>
            </w:r>
            <w:proofErr w:type="gramEnd"/>
          </w:p>
          <w:p w14:paraId="1A35242A" w14:textId="77777777" w:rsidR="007721DE" w:rsidRPr="00DA07DB" w:rsidRDefault="007721DE" w:rsidP="00C46CFD">
            <w:pPr>
              <w:pStyle w:val="ListParagraph"/>
              <w:numPr>
                <w:ilvl w:val="0"/>
                <w:numId w:val="5"/>
              </w:numPr>
              <w:rPr>
                <w:sz w:val="18"/>
              </w:rPr>
            </w:pPr>
            <w:r w:rsidRPr="00DA07DB">
              <w:rPr>
                <w:sz w:val="18"/>
              </w:rPr>
              <w:t>the manufacturer does not make significant changes in the design and intended purpose of the product.</w:t>
            </w:r>
            <w:r w:rsidRPr="00DA07DB">
              <w:rPr>
                <w:rStyle w:val="FootnoteReference"/>
                <w:sz w:val="18"/>
              </w:rPr>
              <w:t xml:space="preserve"> </w:t>
            </w:r>
            <w:r>
              <w:rPr>
                <w:rStyle w:val="FootnoteReference"/>
                <w:sz w:val="18"/>
              </w:rPr>
              <w:footnoteReference w:id="13"/>
            </w:r>
          </w:p>
        </w:tc>
      </w:tr>
      <w:tr w:rsidR="00B77CB5" w:rsidRPr="00CF6D0E" w14:paraId="319BA21D" w14:textId="77777777" w:rsidTr="004F4A0A">
        <w:tc>
          <w:tcPr>
            <w:tcW w:w="9016" w:type="dxa"/>
          </w:tcPr>
          <w:p w14:paraId="5763FADC" w14:textId="1C9E6E4E" w:rsidR="00B77CB5" w:rsidRPr="00CF6D0E" w:rsidRDefault="00B77CB5" w:rsidP="00DA07DB">
            <w:pPr>
              <w:rPr>
                <w:b/>
                <w:sz w:val="18"/>
              </w:rPr>
            </w:pPr>
            <w:r>
              <w:rPr>
                <w:b/>
                <w:sz w:val="18"/>
              </w:rPr>
              <w:t>From 01/01/2027</w:t>
            </w:r>
          </w:p>
        </w:tc>
      </w:tr>
      <w:tr w:rsidR="00B77CB5" w:rsidRPr="00CF6D0E" w14:paraId="3B51E1F3" w14:textId="77777777" w:rsidTr="00840E64">
        <w:tc>
          <w:tcPr>
            <w:tcW w:w="9016" w:type="dxa"/>
          </w:tcPr>
          <w:p w14:paraId="345EFE63" w14:textId="77777777" w:rsidR="00B77CB5" w:rsidRPr="00DA07DB" w:rsidRDefault="00B77CB5" w:rsidP="00DA07DB">
            <w:pPr>
              <w:pStyle w:val="ListParagraph"/>
              <w:numPr>
                <w:ilvl w:val="0"/>
                <w:numId w:val="6"/>
              </w:numPr>
              <w:rPr>
                <w:sz w:val="18"/>
              </w:rPr>
            </w:pPr>
            <w:r>
              <w:rPr>
                <w:sz w:val="18"/>
              </w:rPr>
              <w:t>The m</w:t>
            </w:r>
            <w:r w:rsidRPr="00DA07DB">
              <w:rPr>
                <w:sz w:val="18"/>
              </w:rPr>
              <w:t>anufacturer signed a written agreement with a notified body for the conformity assessment procedure</w:t>
            </w:r>
            <w:r>
              <w:rPr>
                <w:rStyle w:val="FootnoteReference"/>
                <w:sz w:val="18"/>
              </w:rPr>
              <w:footnoteReference w:id="14"/>
            </w:r>
            <w:r w:rsidRPr="00DA07DB">
              <w:rPr>
                <w:sz w:val="18"/>
              </w:rPr>
              <w:t>.</w:t>
            </w:r>
          </w:p>
        </w:tc>
      </w:tr>
    </w:tbl>
    <w:p w14:paraId="1C64ED19" w14:textId="41E85434" w:rsidR="00CF6D0E" w:rsidRDefault="00CF6D0E" w:rsidP="00CF6D0E">
      <w:pPr>
        <w:pStyle w:val="Caption"/>
      </w:pPr>
      <w:r w:rsidRPr="00CF6D0E">
        <w:rPr>
          <w:b/>
        </w:rPr>
        <w:t xml:space="preserve">Table </w:t>
      </w:r>
      <w:r w:rsidRPr="00CF6D0E">
        <w:rPr>
          <w:b/>
        </w:rPr>
        <w:fldChar w:fldCharType="begin"/>
      </w:r>
      <w:r w:rsidRPr="00CF6D0E">
        <w:rPr>
          <w:b/>
        </w:rPr>
        <w:instrText xml:space="preserve"> SEQ Table \* ARABIC </w:instrText>
      </w:r>
      <w:r w:rsidRPr="00CF6D0E">
        <w:rPr>
          <w:b/>
        </w:rPr>
        <w:fldChar w:fldCharType="separate"/>
      </w:r>
      <w:r w:rsidR="00414E08">
        <w:rPr>
          <w:b/>
          <w:noProof/>
        </w:rPr>
        <w:t>2</w:t>
      </w:r>
      <w:r w:rsidRPr="00CF6D0E">
        <w:rPr>
          <w:b/>
        </w:rPr>
        <w:fldChar w:fldCharType="end"/>
      </w:r>
      <w:r>
        <w:t>: applicable conditions for transitional provisions according to Article 2(2) to CS.</w:t>
      </w:r>
    </w:p>
    <w:p w14:paraId="66E88A82" w14:textId="4F9FAF83" w:rsidR="00C8739F" w:rsidRDefault="00392CFE">
      <w:r>
        <w:t xml:space="preserve">Products covered by an MDD certificate cannot benefit from this transitional period (see question nr </w:t>
      </w:r>
      <w:r>
        <w:fldChar w:fldCharType="begin"/>
      </w:r>
      <w:r>
        <w:instrText xml:space="preserve"> REF _Ref122429256 \r \h </w:instrText>
      </w:r>
      <w:r>
        <w:fldChar w:fldCharType="separate"/>
      </w:r>
      <w:r w:rsidR="00414E08">
        <w:t>6</w:t>
      </w:r>
      <w:r>
        <w:fldChar w:fldCharType="end"/>
      </w:r>
      <w:r>
        <w:t xml:space="preserve"> or </w:t>
      </w:r>
      <w:r>
        <w:fldChar w:fldCharType="begin"/>
      </w:r>
      <w:r>
        <w:instrText xml:space="preserve"> REF _Ref134698864 \r \h </w:instrText>
      </w:r>
      <w:r>
        <w:fldChar w:fldCharType="separate"/>
      </w:r>
      <w:r w:rsidR="00414E08">
        <w:t>7</w:t>
      </w:r>
      <w:r>
        <w:fldChar w:fldCharType="end"/>
      </w:r>
      <w:r>
        <w:t>).</w:t>
      </w:r>
    </w:p>
    <w:p w14:paraId="70CC54A9" w14:textId="77777777" w:rsidR="00392CFE" w:rsidRDefault="00392CFE"/>
    <w:p w14:paraId="02168070" w14:textId="4D3E49C7" w:rsidR="004175AE" w:rsidRPr="00A82375" w:rsidRDefault="004175AE" w:rsidP="00D7497C">
      <w:pPr>
        <w:pStyle w:val="Heading1"/>
      </w:pPr>
      <w:bookmarkStart w:id="1" w:name="_Ref122429256"/>
      <w:r w:rsidRPr="00A82375">
        <w:t xml:space="preserve">What is the transitional period </w:t>
      </w:r>
      <w:r w:rsidR="006E21E5">
        <w:t>set out in the MDR</w:t>
      </w:r>
      <w:r w:rsidR="006E21E5" w:rsidRPr="00A82375">
        <w:t xml:space="preserve"> </w:t>
      </w:r>
      <w:r w:rsidRPr="00A82375">
        <w:t xml:space="preserve">for </w:t>
      </w:r>
      <w:r>
        <w:t xml:space="preserve">Annex XVI </w:t>
      </w:r>
      <w:r w:rsidRPr="00A82375">
        <w:t xml:space="preserve">products </w:t>
      </w:r>
      <w:r>
        <w:t>covered by an MDD certificate</w:t>
      </w:r>
      <w:r w:rsidRPr="00A82375">
        <w:t>? Are there conditions to be satisfied?</w:t>
      </w:r>
      <w:bookmarkEnd w:id="1"/>
    </w:p>
    <w:p w14:paraId="71826A2D" w14:textId="438D834B" w:rsidR="009632BD" w:rsidRDefault="009632BD" w:rsidP="000B5C51">
      <w:r>
        <w:t xml:space="preserve">The period </w:t>
      </w:r>
      <w:r w:rsidR="00E85F5B">
        <w:t xml:space="preserve">ends on 31 December 2027 </w:t>
      </w:r>
      <w:r w:rsidR="000B5C51">
        <w:t xml:space="preserve">for higher risk products (all class III devices and class IIb implantable devices except sutures, staples, dental fillings, dental braces, tooth crowns, screws, wedges, plates, wires, pins, </w:t>
      </w:r>
      <w:proofErr w:type="gramStart"/>
      <w:r w:rsidR="000B5C51">
        <w:t>clips</w:t>
      </w:r>
      <w:proofErr w:type="gramEnd"/>
      <w:r w:rsidR="000B5C51">
        <w:t xml:space="preserve"> and connectors) </w:t>
      </w:r>
      <w:r w:rsidR="00E85F5B">
        <w:t>and on 31 December 2028</w:t>
      </w:r>
      <w:r w:rsidR="000B5C51">
        <w:t xml:space="preserve"> for lower risk products (all other classes and devices excluded from the higher risk group).</w:t>
      </w:r>
    </w:p>
    <w:p w14:paraId="1EA3781C" w14:textId="46D69848" w:rsidR="000B5C51" w:rsidRDefault="00D62A08" w:rsidP="000B5C51">
      <w:r>
        <w:t>Not all products covered by an MDD certificate are eligible to benefit from the transitional provisions established by the MDR. The following conditions apply:</w:t>
      </w:r>
    </w:p>
    <w:p w14:paraId="61A0D8BB" w14:textId="1AEDFF28" w:rsidR="00D62A08" w:rsidRDefault="00D62A08" w:rsidP="000547EE">
      <w:pPr>
        <w:pStyle w:val="ListParagraph"/>
        <w:numPr>
          <w:ilvl w:val="0"/>
          <w:numId w:val="7"/>
        </w:numPr>
      </w:pPr>
      <w:bookmarkStart w:id="2" w:name="_Ref134621582"/>
      <w:r>
        <w:lastRenderedPageBreak/>
        <w:t xml:space="preserve">if the MDD certificate was issued from 25 May 2017, was still valid on 26 May 2021, have not been withdrawn afterwards and expired before 20 March 2023, the </w:t>
      </w:r>
      <w:r w:rsidR="00B75AD9">
        <w:t xml:space="preserve">covered products </w:t>
      </w:r>
      <w:r>
        <w:t>can benefit from the MDR transitional provision</w:t>
      </w:r>
      <w:r w:rsidR="00546BAB">
        <w:t>s</w:t>
      </w:r>
      <w:r>
        <w:t xml:space="preserve"> only if one of the conditions established in Article 120(2), second subparagraph, points a) or b) is </w:t>
      </w:r>
      <w:proofErr w:type="gramStart"/>
      <w:r>
        <w:t>met;</w:t>
      </w:r>
      <w:bookmarkEnd w:id="2"/>
      <w:proofErr w:type="gramEnd"/>
    </w:p>
    <w:p w14:paraId="3456920B" w14:textId="4ADD6B2D" w:rsidR="000937CD" w:rsidRDefault="000937CD" w:rsidP="000547EE">
      <w:pPr>
        <w:pStyle w:val="ListParagraph"/>
        <w:numPr>
          <w:ilvl w:val="0"/>
          <w:numId w:val="7"/>
        </w:numPr>
      </w:pPr>
      <w:r>
        <w:t>i</w:t>
      </w:r>
      <w:r w:rsidR="009632BD">
        <w:t xml:space="preserve">f the MDD certificate </w:t>
      </w:r>
      <w:r>
        <w:t>was issued from 25 May 2017, was still valid on 26 May 2021</w:t>
      </w:r>
      <w:r w:rsidR="00D62A08">
        <w:t>,</w:t>
      </w:r>
      <w:r>
        <w:t xml:space="preserve"> have not been withdrawn afterwards</w:t>
      </w:r>
      <w:r w:rsidR="00D62A08">
        <w:t xml:space="preserve"> and has not expired before 20 March 2023 the </w:t>
      </w:r>
      <w:r w:rsidR="00B75AD9">
        <w:t xml:space="preserve">covered </w:t>
      </w:r>
      <w:r w:rsidR="00D62A08">
        <w:t>product</w:t>
      </w:r>
      <w:r w:rsidR="00B75AD9">
        <w:t>s</w:t>
      </w:r>
      <w:r w:rsidR="00D62A08">
        <w:t xml:space="preserve"> can benefit from the MDR transitional provision</w:t>
      </w:r>
      <w:r w:rsidR="00546BAB">
        <w:t>s</w:t>
      </w:r>
      <w:r w:rsidR="00D62A08">
        <w:t>.</w:t>
      </w:r>
    </w:p>
    <w:p w14:paraId="0227CB90" w14:textId="77777777" w:rsidR="00BD307E" w:rsidRDefault="00BD307E" w:rsidP="000937CD"/>
    <w:p w14:paraId="33757884" w14:textId="3E326DB3" w:rsidR="00D62A08" w:rsidRDefault="00E5371B" w:rsidP="000937CD">
      <w:r>
        <w:t xml:space="preserve">The paragraphs (3c), (3d), (3e) and (3f) of </w:t>
      </w:r>
      <w:r w:rsidR="00D62A08">
        <w:t>Article 120</w:t>
      </w:r>
      <w:r>
        <w:t xml:space="preserve"> to the MDR establish additional conditions that must be fulfilled to benefit and continue to benefit from the transitional provisions. </w:t>
      </w:r>
      <w:r w:rsidR="005D501E">
        <w:t xml:space="preserve">Additional information on those specific conditions is provided in </w:t>
      </w:r>
      <w:r>
        <w:t xml:space="preserve">the questions and answers document on the </w:t>
      </w:r>
      <w:r w:rsidRPr="00E5371B">
        <w:t>implementation of Regulation (EU) 2023/607</w:t>
      </w:r>
      <w:r w:rsidR="00B75AD9">
        <w:rPr>
          <w:rStyle w:val="FootnoteReference"/>
        </w:rPr>
        <w:footnoteReference w:id="15"/>
      </w:r>
      <w:r>
        <w:t>.</w:t>
      </w:r>
    </w:p>
    <w:p w14:paraId="6D7AF2BE" w14:textId="77777777" w:rsidR="000547EE" w:rsidRDefault="000547EE" w:rsidP="000937CD"/>
    <w:p w14:paraId="446324DD" w14:textId="6CD835D3" w:rsidR="00E5371B" w:rsidRPr="00A82375" w:rsidRDefault="00E5371B" w:rsidP="00E5371B">
      <w:pPr>
        <w:pStyle w:val="Heading1"/>
      </w:pPr>
      <w:bookmarkStart w:id="3" w:name="_Ref134698864"/>
      <w:r w:rsidRPr="00A82375">
        <w:t xml:space="preserve">What is the transitional period </w:t>
      </w:r>
      <w:r w:rsidR="006E21E5">
        <w:t>set out in the CS</w:t>
      </w:r>
      <w:r w:rsidR="006E21E5" w:rsidRPr="00A82375">
        <w:t xml:space="preserve"> </w:t>
      </w:r>
      <w:r w:rsidRPr="00A82375">
        <w:t xml:space="preserve">for </w:t>
      </w:r>
      <w:r>
        <w:t xml:space="preserve">Annex XVI </w:t>
      </w:r>
      <w:r w:rsidRPr="00A82375">
        <w:t xml:space="preserve">products </w:t>
      </w:r>
      <w:r>
        <w:t>covered by an MDD certificate</w:t>
      </w:r>
      <w:r w:rsidRPr="00A82375">
        <w:t>? Are there conditions to be satisfied?</w:t>
      </w:r>
      <w:bookmarkEnd w:id="3"/>
    </w:p>
    <w:p w14:paraId="031746FB" w14:textId="687C8F70" w:rsidR="00B75AD9" w:rsidRDefault="00B75AD9" w:rsidP="00B75AD9">
      <w:r>
        <w:t xml:space="preserve">The period is about </w:t>
      </w:r>
      <w:r w:rsidR="00B26847">
        <w:t>4</w:t>
      </w:r>
      <w:r>
        <w:t xml:space="preserve">,5 years for higher risk products (all class III devices and class IIb implantable devices except sutures, staples, dental fillings, dental braces, tooth crowns, screws, wedges, plates, wires, pins, </w:t>
      </w:r>
      <w:proofErr w:type="gramStart"/>
      <w:r>
        <w:t>clips</w:t>
      </w:r>
      <w:proofErr w:type="gramEnd"/>
      <w:r>
        <w:t xml:space="preserve"> and connectors) or </w:t>
      </w:r>
      <w:r w:rsidR="000547EE">
        <w:t xml:space="preserve">about </w:t>
      </w:r>
      <w:r w:rsidR="00B26847">
        <w:t>5</w:t>
      </w:r>
      <w:r>
        <w:t>,5 years for lower risk products (all other classes and devices excluded from the higher risk group). It starts from 22 June 2023 and ends on 31 December 2027 or 31 December 2028.</w:t>
      </w:r>
    </w:p>
    <w:p w14:paraId="1D6CD97B" w14:textId="22548E6F" w:rsidR="009632BD" w:rsidRDefault="00D40319" w:rsidP="00DA70D5">
      <w:r>
        <w:t>Not all products covered by an MDD certificate are eligible to benefit from the transitional provisions established by the CS. In fact, those provisions are applicable only when an MDD certificate was issued from 25 May 2017, was still valid on 26 May 2021, ha</w:t>
      </w:r>
      <w:r w:rsidR="00A51E32">
        <w:t>s</w:t>
      </w:r>
      <w:r>
        <w:t xml:space="preserve"> not been withdrawn afterwards, expired before 20 March 2023</w:t>
      </w:r>
      <w:r w:rsidR="00093ABE">
        <w:rPr>
          <w:rStyle w:val="FootnoteReference"/>
        </w:rPr>
        <w:footnoteReference w:id="16"/>
      </w:r>
      <w:r>
        <w:t xml:space="preserve"> and the conditions established in Article 120(2), second subparagraph, points a) or b) are not met.</w:t>
      </w:r>
    </w:p>
    <w:p w14:paraId="55BC3130" w14:textId="44B68FC8" w:rsidR="00BD307E" w:rsidRDefault="00BD307E" w:rsidP="00BD307E">
      <w:r>
        <w:t>During the transitional period, additional conditions need to be satisfied. Some for the entire period, while others within certain dates.</w:t>
      </w:r>
      <w:r>
        <w:rPr>
          <w:rStyle w:val="FootnoteReference"/>
        </w:rPr>
        <w:footnoteReference w:id="17"/>
      </w:r>
      <w:r>
        <w:t xml:space="preserve"> The following table shows each condition that need</w:t>
      </w:r>
      <w:r w:rsidR="009552ED">
        <w:t>s</w:t>
      </w:r>
      <w:r>
        <w:t xml:space="preserve"> to be fulfilled to continue to place on the market the product during the transitional period.</w:t>
      </w:r>
    </w:p>
    <w:p w14:paraId="55ED281D" w14:textId="77777777" w:rsidR="000547EE" w:rsidRDefault="000547EE" w:rsidP="00BD307E"/>
    <w:tbl>
      <w:tblPr>
        <w:tblStyle w:val="TableGrid"/>
        <w:tblW w:w="0" w:type="auto"/>
        <w:tblLook w:val="04A0" w:firstRow="1" w:lastRow="0" w:firstColumn="1" w:lastColumn="0" w:noHBand="0" w:noVBand="1"/>
      </w:tblPr>
      <w:tblGrid>
        <w:gridCol w:w="4508"/>
        <w:gridCol w:w="4508"/>
      </w:tblGrid>
      <w:tr w:rsidR="007721DE" w:rsidRPr="004627A4" w14:paraId="4CF7145D" w14:textId="77777777" w:rsidTr="00E25C91">
        <w:trPr>
          <w:tblHeader/>
        </w:trPr>
        <w:tc>
          <w:tcPr>
            <w:tcW w:w="9016" w:type="dxa"/>
            <w:gridSpan w:val="2"/>
          </w:tcPr>
          <w:p w14:paraId="1636BCD6" w14:textId="51437E3F" w:rsidR="007721DE" w:rsidRDefault="007721DE" w:rsidP="00D9741C">
            <w:pPr>
              <w:rPr>
                <w:b/>
                <w:sz w:val="18"/>
              </w:rPr>
            </w:pPr>
            <w:r>
              <w:rPr>
                <w:b/>
                <w:sz w:val="18"/>
              </w:rPr>
              <w:t xml:space="preserve">From 22/06/2023 to </w:t>
            </w:r>
            <w:r w:rsidRPr="007721DE">
              <w:rPr>
                <w:b/>
                <w:sz w:val="18"/>
              </w:rPr>
              <w:t xml:space="preserve">31/12/2027 </w:t>
            </w:r>
            <w:r w:rsidR="004D5DF2" w:rsidRPr="004D5DF2">
              <w:rPr>
                <w:b/>
                <w:sz w:val="18"/>
              </w:rPr>
              <w:t xml:space="preserve">for higher risk products </w:t>
            </w:r>
            <w:r w:rsidRPr="007721DE">
              <w:rPr>
                <w:b/>
                <w:sz w:val="18"/>
              </w:rPr>
              <w:t xml:space="preserve">or </w:t>
            </w:r>
            <w:r w:rsidR="004D5DF2">
              <w:rPr>
                <w:b/>
                <w:sz w:val="18"/>
              </w:rPr>
              <w:t>31/12/</w:t>
            </w:r>
            <w:r w:rsidRPr="007721DE">
              <w:rPr>
                <w:b/>
                <w:sz w:val="18"/>
              </w:rPr>
              <w:t xml:space="preserve">2028 </w:t>
            </w:r>
            <w:r w:rsidR="004D5DF2" w:rsidRPr="004D5DF2">
              <w:rPr>
                <w:b/>
                <w:sz w:val="18"/>
              </w:rPr>
              <w:t xml:space="preserve">for lower risk products </w:t>
            </w:r>
          </w:p>
        </w:tc>
      </w:tr>
      <w:tr w:rsidR="007721DE" w:rsidRPr="00CF4EC5" w14:paraId="6943E043" w14:textId="77777777" w:rsidTr="0019675F">
        <w:tc>
          <w:tcPr>
            <w:tcW w:w="9016" w:type="dxa"/>
            <w:gridSpan w:val="2"/>
          </w:tcPr>
          <w:p w14:paraId="0D284049" w14:textId="77777777" w:rsidR="007721DE" w:rsidRPr="009F711A" w:rsidRDefault="007721DE" w:rsidP="0019675F">
            <w:pPr>
              <w:pStyle w:val="ListParagraph"/>
              <w:numPr>
                <w:ilvl w:val="0"/>
                <w:numId w:val="3"/>
              </w:numPr>
              <w:jc w:val="left"/>
              <w:rPr>
                <w:sz w:val="18"/>
              </w:rPr>
            </w:pPr>
            <w:r w:rsidRPr="009F711A">
              <w:rPr>
                <w:sz w:val="18"/>
              </w:rPr>
              <w:t xml:space="preserve">the product continues to comply with the requirements of </w:t>
            </w:r>
            <w:r w:rsidRPr="00BD307E">
              <w:rPr>
                <w:sz w:val="18"/>
              </w:rPr>
              <w:t>Directive 93/42/EEC</w:t>
            </w:r>
            <w:r>
              <w:rPr>
                <w:rStyle w:val="FootnoteReference"/>
                <w:sz w:val="18"/>
              </w:rPr>
              <w:footnoteReference w:id="18"/>
            </w:r>
            <w:r w:rsidRPr="009F711A">
              <w:rPr>
                <w:sz w:val="18"/>
              </w:rPr>
              <w:t>;</w:t>
            </w:r>
          </w:p>
          <w:p w14:paraId="5C36DB61" w14:textId="77777777" w:rsidR="007721DE" w:rsidRDefault="007721DE" w:rsidP="0019675F">
            <w:pPr>
              <w:pStyle w:val="ListParagraph"/>
              <w:numPr>
                <w:ilvl w:val="0"/>
                <w:numId w:val="3"/>
              </w:numPr>
              <w:jc w:val="left"/>
              <w:rPr>
                <w:sz w:val="18"/>
              </w:rPr>
            </w:pPr>
            <w:r w:rsidRPr="009F711A">
              <w:rPr>
                <w:sz w:val="18"/>
              </w:rPr>
              <w:t>the</w:t>
            </w:r>
            <w:r>
              <w:rPr>
                <w:sz w:val="18"/>
              </w:rPr>
              <w:t xml:space="preserve">re are no </w:t>
            </w:r>
            <w:r w:rsidRPr="009F711A">
              <w:rPr>
                <w:sz w:val="18"/>
              </w:rPr>
              <w:t>significant changes in the design and intended purpose of the product</w:t>
            </w:r>
            <w:r w:rsidRPr="009F711A">
              <w:rPr>
                <w:rStyle w:val="FootnoteReference"/>
                <w:sz w:val="18"/>
              </w:rPr>
              <w:t xml:space="preserve"> </w:t>
            </w:r>
            <w:r>
              <w:rPr>
                <w:rStyle w:val="FootnoteReference"/>
                <w:sz w:val="18"/>
              </w:rPr>
              <w:footnoteReference w:id="19"/>
            </w:r>
            <w:r>
              <w:rPr>
                <w:sz w:val="18"/>
              </w:rPr>
              <w:t>;</w:t>
            </w:r>
          </w:p>
          <w:p w14:paraId="3F8AEE2E" w14:textId="77777777" w:rsidR="007721DE" w:rsidRDefault="007721DE" w:rsidP="0019675F">
            <w:pPr>
              <w:pStyle w:val="ListParagraph"/>
              <w:numPr>
                <w:ilvl w:val="0"/>
                <w:numId w:val="3"/>
              </w:numPr>
              <w:jc w:val="left"/>
              <w:rPr>
                <w:sz w:val="18"/>
              </w:rPr>
            </w:pPr>
            <w:r w:rsidRPr="00BB1722">
              <w:rPr>
                <w:sz w:val="18"/>
              </w:rPr>
              <w:t xml:space="preserve">the </w:t>
            </w:r>
            <w:r>
              <w:rPr>
                <w:sz w:val="18"/>
              </w:rPr>
              <w:t>product</w:t>
            </w:r>
            <w:r w:rsidRPr="00BB1722">
              <w:rPr>
                <w:sz w:val="18"/>
              </w:rPr>
              <w:t xml:space="preserve"> do</w:t>
            </w:r>
            <w:r>
              <w:rPr>
                <w:sz w:val="18"/>
              </w:rPr>
              <w:t>es</w:t>
            </w:r>
            <w:r w:rsidRPr="00BB1722">
              <w:rPr>
                <w:sz w:val="18"/>
              </w:rPr>
              <w:t xml:space="preserve"> not present an unacceptable risk to the health or safety of patients, </w:t>
            </w:r>
            <w:proofErr w:type="gramStart"/>
            <w:r w:rsidRPr="00BB1722">
              <w:rPr>
                <w:sz w:val="18"/>
              </w:rPr>
              <w:t>users</w:t>
            </w:r>
            <w:proofErr w:type="gramEnd"/>
            <w:r w:rsidRPr="00BB1722">
              <w:rPr>
                <w:sz w:val="18"/>
              </w:rPr>
              <w:t xml:space="preserve"> or other persons, or to</w:t>
            </w:r>
            <w:r>
              <w:rPr>
                <w:sz w:val="18"/>
              </w:rPr>
              <w:t xml:space="preserve"> </w:t>
            </w:r>
            <w:r w:rsidRPr="00BB1722">
              <w:rPr>
                <w:sz w:val="18"/>
              </w:rPr>
              <w:t>other aspects of the protection of public health</w:t>
            </w:r>
            <w:r>
              <w:rPr>
                <w:rStyle w:val="FootnoteReference"/>
                <w:sz w:val="18"/>
              </w:rPr>
              <w:footnoteReference w:id="20"/>
            </w:r>
            <w:r>
              <w:rPr>
                <w:sz w:val="18"/>
              </w:rPr>
              <w:t>;</w:t>
            </w:r>
          </w:p>
          <w:p w14:paraId="4FE041A9" w14:textId="77777777" w:rsidR="007721DE" w:rsidRPr="009F711A" w:rsidRDefault="007721DE" w:rsidP="0019675F">
            <w:pPr>
              <w:pStyle w:val="ListParagraph"/>
              <w:numPr>
                <w:ilvl w:val="0"/>
                <w:numId w:val="3"/>
              </w:numPr>
              <w:rPr>
                <w:sz w:val="18"/>
              </w:rPr>
            </w:pPr>
            <w:r w:rsidRPr="00BB1722">
              <w:rPr>
                <w:sz w:val="18"/>
              </w:rPr>
              <w:lastRenderedPageBreak/>
              <w:t>requirements</w:t>
            </w:r>
            <w:r>
              <w:rPr>
                <w:sz w:val="18"/>
              </w:rPr>
              <w:t xml:space="preserve"> from MDR </w:t>
            </w:r>
            <w:r w:rsidRPr="00BB1722">
              <w:rPr>
                <w:sz w:val="18"/>
              </w:rPr>
              <w:t>relating to post</w:t>
            </w:r>
            <w:r>
              <w:rPr>
                <w:sz w:val="18"/>
              </w:rPr>
              <w:t>-</w:t>
            </w:r>
            <w:r w:rsidRPr="00BB1722">
              <w:rPr>
                <w:sz w:val="18"/>
              </w:rPr>
              <w:t>market surveillance, market surveillance, vigilance, registration of economic operators and of devices apply in place of the corresponding requirements in</w:t>
            </w:r>
            <w:r>
              <w:rPr>
                <w:sz w:val="18"/>
              </w:rPr>
              <w:t xml:space="preserve"> Directive </w:t>
            </w:r>
            <w:r w:rsidRPr="00BB1722">
              <w:rPr>
                <w:sz w:val="18"/>
              </w:rPr>
              <w:t>93/42/EEC</w:t>
            </w:r>
            <w:r>
              <w:rPr>
                <w:rStyle w:val="FootnoteReference"/>
                <w:sz w:val="18"/>
              </w:rPr>
              <w:footnoteReference w:id="21"/>
            </w:r>
            <w:r>
              <w:rPr>
                <w:sz w:val="18"/>
              </w:rPr>
              <w:t>.</w:t>
            </w:r>
          </w:p>
        </w:tc>
      </w:tr>
      <w:tr w:rsidR="004D5DF2" w:rsidRPr="004627A4" w14:paraId="725C9E0A" w14:textId="77777777" w:rsidTr="004D5DF2">
        <w:trPr>
          <w:tblHeader/>
        </w:trPr>
        <w:tc>
          <w:tcPr>
            <w:tcW w:w="4508" w:type="dxa"/>
          </w:tcPr>
          <w:p w14:paraId="73AD4F51" w14:textId="401B2BEF" w:rsidR="004D5DF2" w:rsidRPr="004627A4" w:rsidRDefault="004D5DF2" w:rsidP="00D9741C">
            <w:pPr>
              <w:rPr>
                <w:b/>
                <w:sz w:val="18"/>
              </w:rPr>
            </w:pPr>
            <w:r>
              <w:rPr>
                <w:b/>
                <w:sz w:val="18"/>
              </w:rPr>
              <w:lastRenderedPageBreak/>
              <w:t>From 26/05/2024</w:t>
            </w:r>
          </w:p>
        </w:tc>
        <w:tc>
          <w:tcPr>
            <w:tcW w:w="4508" w:type="dxa"/>
          </w:tcPr>
          <w:p w14:paraId="63A2A9E5" w14:textId="3DC04917" w:rsidR="004D5DF2" w:rsidRPr="004627A4" w:rsidRDefault="004D5DF2" w:rsidP="00D9741C">
            <w:pPr>
              <w:rPr>
                <w:b/>
                <w:sz w:val="18"/>
              </w:rPr>
            </w:pPr>
            <w:r>
              <w:rPr>
                <w:b/>
                <w:sz w:val="18"/>
              </w:rPr>
              <w:t xml:space="preserve">From </w:t>
            </w:r>
            <w:r w:rsidRPr="004627A4">
              <w:rPr>
                <w:b/>
                <w:sz w:val="18"/>
              </w:rPr>
              <w:t>2</w:t>
            </w:r>
            <w:r>
              <w:rPr>
                <w:b/>
                <w:sz w:val="18"/>
              </w:rPr>
              <w:t>6</w:t>
            </w:r>
            <w:r w:rsidRPr="004627A4">
              <w:rPr>
                <w:b/>
                <w:sz w:val="18"/>
              </w:rPr>
              <w:t>/</w:t>
            </w:r>
            <w:r>
              <w:rPr>
                <w:b/>
                <w:sz w:val="18"/>
              </w:rPr>
              <w:t>09</w:t>
            </w:r>
            <w:r w:rsidRPr="004627A4">
              <w:rPr>
                <w:b/>
                <w:sz w:val="18"/>
              </w:rPr>
              <w:t xml:space="preserve">/2024 </w:t>
            </w:r>
          </w:p>
        </w:tc>
      </w:tr>
      <w:tr w:rsidR="004D5DF2" w:rsidRPr="00CF4EC5" w14:paraId="0A425C1F" w14:textId="77777777" w:rsidTr="004D5DF2">
        <w:tc>
          <w:tcPr>
            <w:tcW w:w="4508" w:type="dxa"/>
          </w:tcPr>
          <w:p w14:paraId="5851C5DF" w14:textId="17AC599A" w:rsidR="004D5DF2" w:rsidRPr="00BB1722" w:rsidRDefault="004D5DF2" w:rsidP="00BB1722">
            <w:pPr>
              <w:pStyle w:val="ListParagraph"/>
              <w:numPr>
                <w:ilvl w:val="0"/>
                <w:numId w:val="4"/>
              </w:numPr>
              <w:rPr>
                <w:sz w:val="18"/>
              </w:rPr>
            </w:pPr>
            <w:r w:rsidRPr="00BB1722">
              <w:rPr>
                <w:sz w:val="18"/>
              </w:rPr>
              <w:t>the manufacturer has put in place a quality management system in accordance</w:t>
            </w:r>
            <w:r>
              <w:rPr>
                <w:sz w:val="18"/>
              </w:rPr>
              <w:t xml:space="preserve"> </w:t>
            </w:r>
            <w:r w:rsidRPr="00BB1722">
              <w:rPr>
                <w:sz w:val="18"/>
              </w:rPr>
              <w:t>with Article 10(9)</w:t>
            </w:r>
            <w:r>
              <w:rPr>
                <w:sz w:val="18"/>
              </w:rPr>
              <w:t xml:space="preserve"> to MDR</w:t>
            </w:r>
            <w:r>
              <w:rPr>
                <w:rStyle w:val="FootnoteReference"/>
                <w:sz w:val="18"/>
              </w:rPr>
              <w:footnoteReference w:id="22"/>
            </w:r>
            <w:r>
              <w:rPr>
                <w:sz w:val="18"/>
              </w:rPr>
              <w:t>;</w:t>
            </w:r>
          </w:p>
          <w:p w14:paraId="223EE4C9" w14:textId="596E1F60" w:rsidR="004D5DF2" w:rsidRPr="00961BF1" w:rsidRDefault="004D5DF2" w:rsidP="00BB1722">
            <w:pPr>
              <w:pStyle w:val="ListParagraph"/>
              <w:numPr>
                <w:ilvl w:val="0"/>
                <w:numId w:val="4"/>
              </w:numPr>
              <w:rPr>
                <w:sz w:val="18"/>
              </w:rPr>
            </w:pPr>
            <w:r>
              <w:rPr>
                <w:sz w:val="18"/>
              </w:rPr>
              <w:t>the manufacturer has l</w:t>
            </w:r>
            <w:r w:rsidRPr="00BB1722">
              <w:rPr>
                <w:sz w:val="18"/>
              </w:rPr>
              <w:t>odged a formal application</w:t>
            </w:r>
            <w:r>
              <w:rPr>
                <w:sz w:val="18"/>
              </w:rPr>
              <w:t xml:space="preserve"> </w:t>
            </w:r>
            <w:r w:rsidRPr="00BB1722">
              <w:rPr>
                <w:sz w:val="18"/>
              </w:rPr>
              <w:t xml:space="preserve">with a notified body </w:t>
            </w:r>
            <w:r w:rsidRPr="00961BF1">
              <w:rPr>
                <w:sz w:val="18"/>
              </w:rPr>
              <w:t>for the conformity assessment procedure</w:t>
            </w:r>
            <w:r>
              <w:rPr>
                <w:rStyle w:val="FootnoteReference"/>
                <w:sz w:val="18"/>
              </w:rPr>
              <w:t xml:space="preserve"> </w:t>
            </w:r>
            <w:r>
              <w:rPr>
                <w:rStyle w:val="FootnoteReference"/>
                <w:sz w:val="18"/>
              </w:rPr>
              <w:footnoteReference w:id="23"/>
            </w:r>
            <w:r w:rsidRPr="00961BF1">
              <w:rPr>
                <w:sz w:val="18"/>
              </w:rPr>
              <w:t>.</w:t>
            </w:r>
          </w:p>
        </w:tc>
        <w:tc>
          <w:tcPr>
            <w:tcW w:w="4508" w:type="dxa"/>
          </w:tcPr>
          <w:p w14:paraId="2D6A8B19" w14:textId="44B8F19A" w:rsidR="004D5DF2" w:rsidRPr="00BE5B22" w:rsidRDefault="004D5DF2" w:rsidP="00D9741C">
            <w:pPr>
              <w:pStyle w:val="ListParagraph"/>
              <w:numPr>
                <w:ilvl w:val="0"/>
                <w:numId w:val="4"/>
              </w:numPr>
              <w:rPr>
                <w:rStyle w:val="FootnoteReference"/>
                <w:sz w:val="18"/>
                <w:vertAlign w:val="baseline"/>
              </w:rPr>
            </w:pPr>
            <w:r w:rsidRPr="00961BF1">
              <w:rPr>
                <w:sz w:val="18"/>
              </w:rPr>
              <w:t xml:space="preserve">the manufacturer </w:t>
            </w:r>
            <w:r>
              <w:rPr>
                <w:sz w:val="18"/>
              </w:rPr>
              <w:t xml:space="preserve">has </w:t>
            </w:r>
            <w:r w:rsidRPr="00961BF1">
              <w:rPr>
                <w:sz w:val="18"/>
              </w:rPr>
              <w:t>signed a written agreement with a notified body for the conformity assessment procedure</w:t>
            </w:r>
            <w:r>
              <w:rPr>
                <w:rStyle w:val="FootnoteReference"/>
                <w:sz w:val="18"/>
              </w:rPr>
              <w:t xml:space="preserve"> </w:t>
            </w:r>
            <w:r>
              <w:rPr>
                <w:rStyle w:val="FootnoteReference"/>
                <w:sz w:val="18"/>
              </w:rPr>
              <w:footnoteReference w:id="24"/>
            </w:r>
            <w:r>
              <w:rPr>
                <w:rStyle w:val="FootnoteReference"/>
                <w:sz w:val="18"/>
              </w:rPr>
              <w:t>;</w:t>
            </w:r>
          </w:p>
          <w:p w14:paraId="469CD91F" w14:textId="5DC2B82B" w:rsidR="004D5DF2" w:rsidRPr="00961BF1" w:rsidRDefault="004D5DF2" w:rsidP="004D5DF2">
            <w:pPr>
              <w:pStyle w:val="ListParagraph"/>
              <w:numPr>
                <w:ilvl w:val="0"/>
                <w:numId w:val="4"/>
              </w:numPr>
              <w:rPr>
                <w:sz w:val="18"/>
              </w:rPr>
            </w:pPr>
            <w:r w:rsidRPr="00961BF1">
              <w:rPr>
                <w:sz w:val="18"/>
              </w:rPr>
              <w:t xml:space="preserve">the </w:t>
            </w:r>
            <w:r>
              <w:rPr>
                <w:sz w:val="18"/>
              </w:rPr>
              <w:t>notified body that has</w:t>
            </w:r>
            <w:r w:rsidRPr="00961BF1">
              <w:rPr>
                <w:sz w:val="18"/>
              </w:rPr>
              <w:t xml:space="preserve"> signed </w:t>
            </w:r>
            <w:r>
              <w:rPr>
                <w:sz w:val="18"/>
              </w:rPr>
              <w:t>the</w:t>
            </w:r>
            <w:r w:rsidRPr="00961BF1">
              <w:rPr>
                <w:sz w:val="18"/>
              </w:rPr>
              <w:t xml:space="preserve"> written agreement </w:t>
            </w:r>
            <w:r>
              <w:rPr>
                <w:sz w:val="18"/>
              </w:rPr>
              <w:t>mentioned in the above bullet point is responsible</w:t>
            </w:r>
            <w:r w:rsidRPr="00961BF1">
              <w:rPr>
                <w:sz w:val="18"/>
              </w:rPr>
              <w:t xml:space="preserve"> for the</w:t>
            </w:r>
            <w:r>
              <w:rPr>
                <w:sz w:val="18"/>
              </w:rPr>
              <w:t xml:space="preserve"> </w:t>
            </w:r>
            <w:r w:rsidRPr="00BE5B22">
              <w:rPr>
                <w:sz w:val="18"/>
              </w:rPr>
              <w:t>surveillance</w:t>
            </w:r>
            <w:r>
              <w:rPr>
                <w:sz w:val="18"/>
              </w:rPr>
              <w:t xml:space="preserve"> </w:t>
            </w:r>
            <w:r w:rsidRPr="008E1718">
              <w:rPr>
                <w:sz w:val="18"/>
              </w:rPr>
              <w:t xml:space="preserve">of </w:t>
            </w:r>
            <w:r>
              <w:rPr>
                <w:sz w:val="18"/>
              </w:rPr>
              <w:t xml:space="preserve">the </w:t>
            </w:r>
            <w:r w:rsidRPr="008E1718">
              <w:rPr>
                <w:sz w:val="18"/>
              </w:rPr>
              <w:t xml:space="preserve">product covered by </w:t>
            </w:r>
            <w:r>
              <w:rPr>
                <w:sz w:val="18"/>
              </w:rPr>
              <w:t>that agreement</w:t>
            </w:r>
            <w:r>
              <w:rPr>
                <w:rStyle w:val="FootnoteReference"/>
                <w:sz w:val="18"/>
              </w:rPr>
              <w:footnoteReference w:id="25"/>
            </w:r>
            <w:r>
              <w:rPr>
                <w:sz w:val="18"/>
              </w:rPr>
              <w:t>.</w:t>
            </w:r>
          </w:p>
        </w:tc>
      </w:tr>
    </w:tbl>
    <w:p w14:paraId="63460B46" w14:textId="17CE611E" w:rsidR="00BD307E" w:rsidRDefault="000547EE" w:rsidP="00BE5B22">
      <w:pPr>
        <w:pStyle w:val="Caption"/>
      </w:pPr>
      <w:r w:rsidRPr="00BE5B22">
        <w:rPr>
          <w:b/>
          <w:bCs/>
        </w:rPr>
        <w:t xml:space="preserve">Table </w:t>
      </w:r>
      <w:r w:rsidRPr="00BE5B22">
        <w:rPr>
          <w:b/>
          <w:bCs/>
        </w:rPr>
        <w:fldChar w:fldCharType="begin"/>
      </w:r>
      <w:r w:rsidRPr="00BE5B22">
        <w:rPr>
          <w:b/>
          <w:bCs/>
        </w:rPr>
        <w:instrText xml:space="preserve"> SEQ Table \* ARABIC </w:instrText>
      </w:r>
      <w:r w:rsidRPr="00BE5B22">
        <w:rPr>
          <w:b/>
          <w:bCs/>
        </w:rPr>
        <w:fldChar w:fldCharType="separate"/>
      </w:r>
      <w:r w:rsidR="00414E08">
        <w:rPr>
          <w:b/>
          <w:bCs/>
          <w:noProof/>
        </w:rPr>
        <w:t>3</w:t>
      </w:r>
      <w:r w:rsidRPr="00BE5B22">
        <w:rPr>
          <w:b/>
          <w:bCs/>
        </w:rPr>
        <w:fldChar w:fldCharType="end"/>
      </w:r>
      <w:r>
        <w:t>: applicable conditions for transitional provisions according to Article 2(3) to CS.</w:t>
      </w:r>
    </w:p>
    <w:p w14:paraId="3420AE32" w14:textId="77777777" w:rsidR="000547EE" w:rsidRDefault="000547EE" w:rsidP="00DA70D5"/>
    <w:p w14:paraId="7D20CC7A" w14:textId="0AD30A3F" w:rsidR="00B75AD9" w:rsidRDefault="006E336A" w:rsidP="00DA70D5">
      <w:r>
        <w:t>To establish the conditions, the CS refers to paragraphs (3c), (3d) and (3e) of Article 120 to the MDR. T</w:t>
      </w:r>
      <w:r w:rsidR="00D40319">
        <w:t xml:space="preserve">he questions and answers document on the </w:t>
      </w:r>
      <w:r>
        <w:t xml:space="preserve">MDR transitional provisions, as amended by </w:t>
      </w:r>
      <w:r w:rsidR="00D40319" w:rsidRPr="00E5371B">
        <w:t>Regulation (EU) 2023/607</w:t>
      </w:r>
      <w:r w:rsidRPr="006E336A">
        <w:t>,</w:t>
      </w:r>
      <w:r w:rsidR="00D40319">
        <w:t xml:space="preserve"> </w:t>
      </w:r>
      <w:r>
        <w:t xml:space="preserve">provides </w:t>
      </w:r>
      <w:r w:rsidR="00D40319">
        <w:t xml:space="preserve">additional </w:t>
      </w:r>
      <w:r>
        <w:t xml:space="preserve">useful </w:t>
      </w:r>
      <w:r w:rsidR="00D40319">
        <w:t>information</w:t>
      </w:r>
      <w:r w:rsidR="009277DA">
        <w:t>.</w:t>
      </w:r>
    </w:p>
    <w:p w14:paraId="701377A9" w14:textId="3A65F62B" w:rsidR="009277DA" w:rsidRDefault="006E336A" w:rsidP="00DA70D5">
      <w:r>
        <w:t xml:space="preserve">It </w:t>
      </w:r>
      <w:proofErr w:type="gramStart"/>
      <w:r>
        <w:t>has to</w:t>
      </w:r>
      <w:proofErr w:type="gramEnd"/>
      <w:r>
        <w:t xml:space="preserve"> be noted that t</w:t>
      </w:r>
      <w:r w:rsidR="009277DA">
        <w:t>he validity of a</w:t>
      </w:r>
      <w:r>
        <w:t>n</w:t>
      </w:r>
      <w:r w:rsidR="009277DA">
        <w:t xml:space="preserve"> MDD certificate </w:t>
      </w:r>
      <w:r>
        <w:t xml:space="preserve">that covers </w:t>
      </w:r>
      <w:r w:rsidR="009277DA">
        <w:t>products that benefit from the transitional provisions established by the CS is not extended. Nevertheless, those products can be placed on the market or put into service also after the expiry date of the MDD certificate until the end of the transitional period.</w:t>
      </w:r>
    </w:p>
    <w:p w14:paraId="74A1AC61" w14:textId="61FD1E81" w:rsidR="000547EE" w:rsidRDefault="000547EE" w:rsidP="00DA70D5"/>
    <w:p w14:paraId="2FFF1BD6" w14:textId="077B9BCF" w:rsidR="00670378" w:rsidRPr="00A82375" w:rsidRDefault="00670378" w:rsidP="00670378">
      <w:pPr>
        <w:pStyle w:val="Heading1"/>
      </w:pPr>
      <w:r w:rsidRPr="00A82375">
        <w:t>What transitional period</w:t>
      </w:r>
      <w:r w:rsidR="000E35E0">
        <w:t>s</w:t>
      </w:r>
      <w:r w:rsidRPr="00A82375">
        <w:t xml:space="preserve"> </w:t>
      </w:r>
      <w:r w:rsidR="00AC4BFA">
        <w:t xml:space="preserve">set out in the CS </w:t>
      </w:r>
      <w:r w:rsidRPr="00A82375">
        <w:t xml:space="preserve">for </w:t>
      </w:r>
      <w:r>
        <w:t xml:space="preserve">Annex XVI </w:t>
      </w:r>
      <w:r w:rsidRPr="00A82375">
        <w:t xml:space="preserve">products </w:t>
      </w:r>
      <w:r>
        <w:t xml:space="preserve">covered by an MDD certificate were </w:t>
      </w:r>
      <w:r w:rsidR="00AC4BFA">
        <w:t xml:space="preserve">applicable </w:t>
      </w:r>
      <w:r>
        <w:t>before 22 June 2023</w:t>
      </w:r>
      <w:r w:rsidRPr="00A82375">
        <w:t xml:space="preserve">? </w:t>
      </w:r>
      <w:r>
        <w:t>Were</w:t>
      </w:r>
      <w:r w:rsidRPr="00A82375">
        <w:t xml:space="preserve"> there conditions to be satisfied?</w:t>
      </w:r>
    </w:p>
    <w:p w14:paraId="6CBCD0BF" w14:textId="0C388885" w:rsidR="000B7A5B" w:rsidRDefault="00670378" w:rsidP="00DA70D5">
      <w:r>
        <w:t>T</w:t>
      </w:r>
      <w:r w:rsidR="007A2C80">
        <w:t>ransitional p</w:t>
      </w:r>
      <w:r w:rsidR="00AC4BFA">
        <w:t>eriods</w:t>
      </w:r>
      <w:r w:rsidR="007A2C80">
        <w:t xml:space="preserve"> </w:t>
      </w:r>
      <w:r w:rsidR="000B7A5B">
        <w:t>for Annex XVI products covered by an MDD certificate</w:t>
      </w:r>
      <w:r w:rsidR="00AC4BFA">
        <w:t xml:space="preserve"> were set out </w:t>
      </w:r>
      <w:r w:rsidR="000B7A5B">
        <w:t xml:space="preserve">in the CS before </w:t>
      </w:r>
      <w:r w:rsidR="00AC4BFA">
        <w:t xml:space="preserve">it has </w:t>
      </w:r>
      <w:r w:rsidR="000B7A5B">
        <w:t>been amended by Implementing Regulation (EU) 2023/</w:t>
      </w:r>
      <w:r w:rsidR="004F3AA4">
        <w:t>1194</w:t>
      </w:r>
      <w:r w:rsidR="00AC4BFA">
        <w:t xml:space="preserve">. Those transitional provisions remained </w:t>
      </w:r>
      <w:r w:rsidR="007A2C80">
        <w:t>applicable</w:t>
      </w:r>
      <w:r>
        <w:t xml:space="preserve"> from 22 December 2022</w:t>
      </w:r>
      <w:r w:rsidR="000B7A5B">
        <w:t xml:space="preserve"> to 21 June 2023</w:t>
      </w:r>
      <w:r w:rsidR="007A2C80">
        <w:t>.</w:t>
      </w:r>
    </w:p>
    <w:p w14:paraId="3F6834BA" w14:textId="74A34611" w:rsidR="007A2C80" w:rsidRDefault="00AC4BFA" w:rsidP="00DA70D5">
      <w:r>
        <w:t xml:space="preserve">Before being amended, the </w:t>
      </w:r>
      <w:r w:rsidR="001463B0">
        <w:t>CS</w:t>
      </w:r>
      <w:r w:rsidR="007A2C80">
        <w:t xml:space="preserve"> </w:t>
      </w:r>
      <w:r w:rsidR="00670378">
        <w:t>set out</w:t>
      </w:r>
      <w:r w:rsidR="007A2C80">
        <w:t xml:space="preserve"> conditions </w:t>
      </w:r>
      <w:r w:rsidR="005D501E">
        <w:t xml:space="preserve">to be fulfilled </w:t>
      </w:r>
      <w:proofErr w:type="gramStart"/>
      <w:r w:rsidR="005D501E">
        <w:t>in order to</w:t>
      </w:r>
      <w:proofErr w:type="gramEnd"/>
      <w:r w:rsidR="007A2C80">
        <w:t xml:space="preserve"> benefit and </w:t>
      </w:r>
      <w:r w:rsidR="001463B0">
        <w:t xml:space="preserve">to </w:t>
      </w:r>
      <w:r w:rsidR="007A2C80">
        <w:t xml:space="preserve">continue to benefit from the </w:t>
      </w:r>
      <w:r w:rsidR="001463B0">
        <w:t>transitional provisions</w:t>
      </w:r>
      <w:r w:rsidR="000B7A5B">
        <w:t xml:space="preserve">. Those conditions included the need for </w:t>
      </w:r>
      <w:r w:rsidR="001463B0">
        <w:t xml:space="preserve">the product </w:t>
      </w:r>
      <w:r w:rsidR="000B7A5B">
        <w:t xml:space="preserve">to </w:t>
      </w:r>
      <w:r w:rsidR="001463B0" w:rsidRPr="00FD477A">
        <w:t>continue to comply with the re</w:t>
      </w:r>
      <w:r w:rsidR="001463B0">
        <w:t xml:space="preserve">quirements of the MDD, except for the requirement to be covered by a valid MDD certificate; </w:t>
      </w:r>
      <w:r w:rsidR="000B7A5B">
        <w:t xml:space="preserve">the need to avoid </w:t>
      </w:r>
      <w:r w:rsidR="001463B0">
        <w:t xml:space="preserve">significant changes </w:t>
      </w:r>
      <w:r w:rsidR="001463B0" w:rsidRPr="00FD477A">
        <w:t>in the design and intended purpose of the product</w:t>
      </w:r>
      <w:r w:rsidR="001463B0">
        <w:t xml:space="preserve">; </w:t>
      </w:r>
      <w:r w:rsidR="000B7A5B">
        <w:t xml:space="preserve">the need for </w:t>
      </w:r>
      <w:r w:rsidR="00670378">
        <w:t xml:space="preserve">the manufacturer to sign </w:t>
      </w:r>
      <w:r w:rsidR="00F57A7A">
        <w:t>a written agreement</w:t>
      </w:r>
      <w:r w:rsidR="00670378">
        <w:t xml:space="preserve"> with a notified body</w:t>
      </w:r>
      <w:r w:rsidR="00F57A7A">
        <w:t xml:space="preserve"> for the appropriate surveillance</w:t>
      </w:r>
      <w:r w:rsidR="001463B0">
        <w:t>.</w:t>
      </w:r>
      <w:r w:rsidR="00EF1470">
        <w:t xml:space="preserve"> T</w:t>
      </w:r>
      <w:r w:rsidR="001463B0">
        <w:t xml:space="preserve">hose </w:t>
      </w:r>
      <w:r w:rsidR="00F57A7A">
        <w:t xml:space="preserve">conditions have been retained </w:t>
      </w:r>
      <w:r w:rsidR="005D501E">
        <w:t>in the CS as amended by Implementing Regulation (EU) 2023/</w:t>
      </w:r>
      <w:r w:rsidR="001D03FE">
        <w:t>1194</w:t>
      </w:r>
      <w:r w:rsidR="005D501E">
        <w:t>. The compatibility of those conditions ensures</w:t>
      </w:r>
      <w:r w:rsidR="00171429">
        <w:t xml:space="preserve"> a smooth transition to the new regime</w:t>
      </w:r>
      <w:r w:rsidR="005D501E">
        <w:t xml:space="preserve"> applicable from 22 June 2023</w:t>
      </w:r>
      <w:r w:rsidR="00171429">
        <w:t>.</w:t>
      </w:r>
    </w:p>
    <w:p w14:paraId="3DD6505C" w14:textId="77777777" w:rsidR="008923ED" w:rsidRDefault="008923ED"/>
    <w:p w14:paraId="61D5BF53" w14:textId="77777777" w:rsidR="00A82375" w:rsidRPr="00DA70D5" w:rsidRDefault="00DA70D5" w:rsidP="00D7497C">
      <w:pPr>
        <w:pStyle w:val="Heading1"/>
      </w:pPr>
      <w:r w:rsidRPr="00DA70D5">
        <w:lastRenderedPageBreak/>
        <w:t>What is the transitional period for products incorporating a medicinal product?</w:t>
      </w:r>
    </w:p>
    <w:p w14:paraId="6019AE30" w14:textId="1E7347D2" w:rsidR="00241B9E" w:rsidRDefault="00241B9E">
      <w:r>
        <w:t>There are no specific transitional provisions for Annex XVI product</w:t>
      </w:r>
      <w:r w:rsidR="00DC6447">
        <w:t>s</w:t>
      </w:r>
      <w:r>
        <w:t xml:space="preserve"> that </w:t>
      </w:r>
      <w:r w:rsidRPr="00241B9E">
        <w:t xml:space="preserve">incorporate, as an integral part, a substance which, if used separately, would </w:t>
      </w:r>
      <w:proofErr w:type="gramStart"/>
      <w:r w:rsidRPr="00241B9E">
        <w:t>be considered to be</w:t>
      </w:r>
      <w:proofErr w:type="gramEnd"/>
      <w:r w:rsidRPr="00241B9E">
        <w:t xml:space="preserve"> a medicinal product as defined in point 2 of Article 1 of Directive 2001/83/EC</w:t>
      </w:r>
      <w:r>
        <w:t>. In such cases, the timeframe of 210 days</w:t>
      </w:r>
      <w:r w:rsidR="00F15163">
        <w:rPr>
          <w:rStyle w:val="FootnoteReference"/>
        </w:rPr>
        <w:footnoteReference w:id="26"/>
      </w:r>
      <w:r>
        <w:t xml:space="preserve"> for the consultation of the Competent Authority </w:t>
      </w:r>
      <w:r w:rsidRPr="00241B9E">
        <w:t>designated by the Member States in accordance with Directive 2001/83/EC</w:t>
      </w:r>
      <w:r>
        <w:t xml:space="preserve"> or EMA </w:t>
      </w:r>
      <w:proofErr w:type="gramStart"/>
      <w:r w:rsidR="005E546B">
        <w:t>has to</w:t>
      </w:r>
      <w:proofErr w:type="gramEnd"/>
      <w:r w:rsidR="005E546B">
        <w:t xml:space="preserve"> be considered as part of the </w:t>
      </w:r>
      <w:r>
        <w:t>transitional period granted by the CS in case a notified body is involv</w:t>
      </w:r>
      <w:r w:rsidR="005E546B">
        <w:t>ed in the conformity assessment</w:t>
      </w:r>
      <w:r w:rsidR="00DC6447">
        <w:t xml:space="preserve"> procedure of the product</w:t>
      </w:r>
      <w:r w:rsidR="005E546B">
        <w:t>.</w:t>
      </w:r>
    </w:p>
    <w:p w14:paraId="543C5BE0" w14:textId="0FEC5E1D" w:rsidR="006F11E5" w:rsidRDefault="006F11E5"/>
    <w:p w14:paraId="79E32F9D" w14:textId="78600EC7" w:rsidR="00F15163" w:rsidRDefault="00F15163" w:rsidP="00F15163">
      <w:pPr>
        <w:pStyle w:val="Heading1"/>
      </w:pPr>
      <w:r>
        <w:t xml:space="preserve">What are </w:t>
      </w:r>
      <w:r w:rsidR="000E35E0">
        <w:t xml:space="preserve">the </w:t>
      </w:r>
      <w:r>
        <w:t>transitional provisions for a dual-purpose device?</w:t>
      </w:r>
    </w:p>
    <w:p w14:paraId="154387CE" w14:textId="4A0A7443" w:rsidR="00F15163" w:rsidRDefault="00C9239B">
      <w:r>
        <w:t xml:space="preserve">For a </w:t>
      </w:r>
      <w:r w:rsidR="005D0B1E" w:rsidRPr="005D0B1E">
        <w:t>dual-purpose device</w:t>
      </w:r>
      <w:r>
        <w:t>, which</w:t>
      </w:r>
      <w:r w:rsidR="005D0B1E" w:rsidRPr="005D0B1E">
        <w:t xml:space="preserve"> has both a medical and a non-medical intended purpose, the applicable requirements from MDR and CS must be cumulatively fulfilled. </w:t>
      </w:r>
      <w:proofErr w:type="gramStart"/>
      <w:r w:rsidR="005D0B1E" w:rsidRPr="005D0B1E">
        <w:t>With regard to</w:t>
      </w:r>
      <w:proofErr w:type="gramEnd"/>
      <w:r w:rsidR="005D0B1E" w:rsidRPr="005D0B1E">
        <w:t xml:space="preserve"> transitional provisions, in relation to the medical purpose, Article 120 to </w:t>
      </w:r>
      <w:r w:rsidR="000E35E0">
        <w:t xml:space="preserve">the </w:t>
      </w:r>
      <w:r w:rsidR="005D0B1E" w:rsidRPr="005D0B1E">
        <w:t xml:space="preserve">MDR is applicable, while in relation to the non-medical purpose the CS is applicable. Considering that the device must fulfil both the applicable requirements from </w:t>
      </w:r>
      <w:r w:rsidR="000E35E0">
        <w:t xml:space="preserve">the </w:t>
      </w:r>
      <w:r w:rsidR="005D0B1E" w:rsidRPr="005D0B1E">
        <w:t xml:space="preserve">MDR and </w:t>
      </w:r>
      <w:r w:rsidR="000E35E0">
        <w:t xml:space="preserve">the </w:t>
      </w:r>
      <w:r w:rsidR="005D0B1E" w:rsidRPr="005D0B1E">
        <w:t>CS, in case such requirements differ, for example in setting the end of the transitional period, the stricter requirement should be taken into consideration and fulfilled.</w:t>
      </w:r>
    </w:p>
    <w:p w14:paraId="61C76FD6" w14:textId="279A78B7" w:rsidR="005D0B1E" w:rsidRDefault="005D0B1E"/>
    <w:p w14:paraId="16545602" w14:textId="27C92AAE" w:rsidR="00AC4BFA" w:rsidRDefault="00AC4BFA" w:rsidP="00AC4BFA">
      <w:pPr>
        <w:pStyle w:val="Heading1"/>
      </w:pPr>
      <w:r>
        <w:t>How can the manufacturer</w:t>
      </w:r>
      <w:r w:rsidR="00656A44">
        <w:t>s</w:t>
      </w:r>
      <w:r>
        <w:t xml:space="preserve"> demonstrate that </w:t>
      </w:r>
      <w:r w:rsidR="00656A44">
        <w:t>their</w:t>
      </w:r>
      <w:r>
        <w:t xml:space="preserve"> product benefits from the transitional period?</w:t>
      </w:r>
    </w:p>
    <w:p w14:paraId="243056B1" w14:textId="4EBA204A" w:rsidR="00E46966" w:rsidRDefault="005D501E" w:rsidP="005D501E">
      <w:r>
        <w:t>The manufacturer</w:t>
      </w:r>
      <w:r w:rsidR="00656A44">
        <w:t>s</w:t>
      </w:r>
      <w:r>
        <w:t xml:space="preserve"> should be able to provide a self-declaration confirming that the conditions for benefiting from the transitional provisions are fulfilled, stating the end date of the transition period. </w:t>
      </w:r>
      <w:r w:rsidR="00E46966">
        <w:t>The self-declaration should be updated as soon as a new condition becomes applicable and is fulfilled.</w:t>
      </w:r>
    </w:p>
    <w:p w14:paraId="2585FA95" w14:textId="77777777" w:rsidR="00E46966" w:rsidRDefault="00E46966" w:rsidP="005D501E">
      <w:r>
        <w:t>The</w:t>
      </w:r>
      <w:r w:rsidR="005D501E">
        <w:t xml:space="preserve"> self-declaration should clearly identify the products covered </w:t>
      </w:r>
      <w:r w:rsidR="005D501E" w:rsidRPr="00BB21EF">
        <w:t>and</w:t>
      </w:r>
      <w:r w:rsidRPr="00BB21EF">
        <w:t xml:space="preserve"> could be based on a harmonised template</w:t>
      </w:r>
      <w:r w:rsidR="005D501E">
        <w:t>.</w:t>
      </w:r>
    </w:p>
    <w:p w14:paraId="6C223353" w14:textId="2A1943AE" w:rsidR="005D501E" w:rsidRDefault="00E46966" w:rsidP="005D501E">
      <w:r>
        <w:t>As soon as the condition to have signed a written agreement for the conformity assessment with a notified body applies, a</w:t>
      </w:r>
      <w:r w:rsidR="005D501E">
        <w:t xml:space="preserve">dditional evidence could be provided by a ‘confirmation letter’ issued by the notified body stating the receipt of the manufacturer’s application for conformity assessment and the conclusion of a written agreement. Such </w:t>
      </w:r>
      <w:r w:rsidR="00656A44">
        <w:t xml:space="preserve">a </w:t>
      </w:r>
      <w:r w:rsidR="005D501E">
        <w:t>confirmation should clearly identify the products covered</w:t>
      </w:r>
      <w:r>
        <w:t xml:space="preserve">, </w:t>
      </w:r>
      <w:r w:rsidR="005D501E">
        <w:t xml:space="preserve">could be based on a harmonised </w:t>
      </w:r>
      <w:proofErr w:type="gramStart"/>
      <w:r w:rsidR="005D501E">
        <w:t>template</w:t>
      </w:r>
      <w:proofErr w:type="gramEnd"/>
      <w:r w:rsidR="005D501E">
        <w:t xml:space="preserve"> and be issued, in principle, without extra costs.</w:t>
      </w:r>
    </w:p>
    <w:p w14:paraId="53811AB9" w14:textId="3BE1EEF8" w:rsidR="005D501E" w:rsidRDefault="00E46966" w:rsidP="005D501E">
      <w:r>
        <w:t>If product</w:t>
      </w:r>
      <w:r w:rsidR="00C9239B">
        <w:t>s</w:t>
      </w:r>
      <w:r>
        <w:t xml:space="preserve"> </w:t>
      </w:r>
      <w:r w:rsidR="00C9239B">
        <w:t>are</w:t>
      </w:r>
      <w:r>
        <w:t xml:space="preserve"> covered by MDD certificates, the self-declaration and the confirmation letter should list the products concerned and the reference to their certificates. </w:t>
      </w:r>
      <w:r w:rsidR="005D501E">
        <w:t xml:space="preserve">Additional information on products covered by an MDD certificate is provided in the questions and answers document on the </w:t>
      </w:r>
      <w:r w:rsidR="005D501E" w:rsidRPr="00E5371B">
        <w:t>implementation of Regulation (EU) 2023/607</w:t>
      </w:r>
      <w:r w:rsidR="003E2098">
        <w:t xml:space="preserve"> (see question number 7)</w:t>
      </w:r>
      <w:r w:rsidR="005D501E">
        <w:t>.</w:t>
      </w:r>
      <w:r w:rsidR="00854B84">
        <w:t xml:space="preserve"> </w:t>
      </w:r>
    </w:p>
    <w:p w14:paraId="2A9D848E" w14:textId="77777777" w:rsidR="006F11E5" w:rsidRPr="006F11E5" w:rsidRDefault="006F11E5" w:rsidP="00D7497C">
      <w:pPr>
        <w:pStyle w:val="Heading1"/>
      </w:pPr>
      <w:r w:rsidRPr="006F11E5">
        <w:lastRenderedPageBreak/>
        <w:t>Is there a deadline to make available products placed on market during the transitional period?</w:t>
      </w:r>
    </w:p>
    <w:p w14:paraId="77F30FCD" w14:textId="29A86A5A" w:rsidR="006F11E5" w:rsidRDefault="006F11E5">
      <w:r>
        <w:t xml:space="preserve">No, </w:t>
      </w:r>
      <w:r w:rsidR="00656A44">
        <w:t>there</w:t>
      </w:r>
      <w:r>
        <w:t xml:space="preserve"> is not. Products placed on the marked during the transitional period can be further made available </w:t>
      </w:r>
      <w:r w:rsidR="008923ED">
        <w:t xml:space="preserve">also </w:t>
      </w:r>
      <w:r>
        <w:t xml:space="preserve">after the end of the </w:t>
      </w:r>
      <w:r w:rsidR="008923ED">
        <w:t xml:space="preserve">applicable </w:t>
      </w:r>
      <w:r>
        <w:t>transitional period.</w:t>
      </w:r>
    </w:p>
    <w:p w14:paraId="42B231F8" w14:textId="77777777" w:rsidR="006F11E5" w:rsidRDefault="006F11E5"/>
    <w:p w14:paraId="4933D2BB" w14:textId="77777777" w:rsidR="00A82375" w:rsidRPr="00A82375" w:rsidRDefault="00A82375" w:rsidP="00D7497C">
      <w:pPr>
        <w:pStyle w:val="Heading1"/>
      </w:pPr>
      <w:r w:rsidRPr="00A82375">
        <w:t xml:space="preserve">Can notified bodies issue certificates for Annex XVI products </w:t>
      </w:r>
      <w:r w:rsidR="008923ED">
        <w:t xml:space="preserve">under the MDR </w:t>
      </w:r>
      <w:r w:rsidRPr="00A82375">
        <w:t>during the transitional periods?</w:t>
      </w:r>
    </w:p>
    <w:p w14:paraId="64282F64" w14:textId="410846D8" w:rsidR="00A82375" w:rsidRDefault="00A82375">
      <w:r>
        <w:t>Yes</w:t>
      </w:r>
      <w:r w:rsidR="009137CE">
        <w:t xml:space="preserve">, they can. </w:t>
      </w:r>
      <w:r w:rsidR="0041081C">
        <w:t>Notified bodies</w:t>
      </w:r>
      <w:r>
        <w:t xml:space="preserve"> can issue certificates for Annex XVI products </w:t>
      </w:r>
      <w:r w:rsidR="008923ED">
        <w:t xml:space="preserve">under the MDR </w:t>
      </w:r>
      <w:r>
        <w:t>during the transitional periods</w:t>
      </w:r>
      <w:r w:rsidR="00C8739F">
        <w:t xml:space="preserve"> starting from </w:t>
      </w:r>
      <w:r w:rsidR="00A06C5B">
        <w:t>22 June 2023 (</w:t>
      </w:r>
      <w:r w:rsidR="00C8739F">
        <w:t>the date of application of the CS</w:t>
      </w:r>
      <w:r w:rsidR="00A06C5B">
        <w:t>)</w:t>
      </w:r>
      <w:r>
        <w:t xml:space="preserve">. </w:t>
      </w:r>
      <w:r w:rsidR="00C8739F">
        <w:t>Before that date, the</w:t>
      </w:r>
      <w:r>
        <w:t xml:space="preserve"> MDR </w:t>
      </w:r>
      <w:r w:rsidR="00B307C4">
        <w:t>wa</w:t>
      </w:r>
      <w:r w:rsidR="00C8739F">
        <w:t xml:space="preserve">s not </w:t>
      </w:r>
      <w:r>
        <w:t xml:space="preserve">applicable </w:t>
      </w:r>
      <w:r w:rsidR="00C8739F">
        <w:t xml:space="preserve">to Annex XVI products, consequently </w:t>
      </w:r>
      <w:r w:rsidR="0041081C">
        <w:t>notified bodies</w:t>
      </w:r>
      <w:r w:rsidR="00C8739F">
        <w:t xml:space="preserve"> </w:t>
      </w:r>
      <w:r w:rsidR="00B307C4">
        <w:t xml:space="preserve">could not </w:t>
      </w:r>
      <w:r w:rsidR="00C8739F">
        <w:t xml:space="preserve">issue any certificate. </w:t>
      </w:r>
    </w:p>
    <w:sectPr w:rsidR="00A82375" w:rsidSect="0002404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9789B" w14:textId="77777777" w:rsidR="00BA4DFB" w:rsidRDefault="00BA4DFB" w:rsidP="00BA4DFB">
      <w:pPr>
        <w:spacing w:after="0" w:line="240" w:lineRule="auto"/>
      </w:pPr>
      <w:r>
        <w:separator/>
      </w:r>
    </w:p>
  </w:endnote>
  <w:endnote w:type="continuationSeparator" w:id="0">
    <w:p w14:paraId="49678033" w14:textId="77777777" w:rsidR="00BA4DFB" w:rsidRDefault="00BA4DFB" w:rsidP="00BA4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E930B" w14:textId="77777777" w:rsidR="00373B9D" w:rsidRDefault="00373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45109081"/>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72DB0DDD" w14:textId="77777777" w:rsidR="00373B9D" w:rsidRDefault="00373B9D">
            <w:pPr>
              <w:pStyle w:val="Footer"/>
              <w:jc w:val="center"/>
              <w:rPr>
                <w:sz w:val="18"/>
                <w:szCs w:val="18"/>
              </w:rPr>
            </w:pPr>
          </w:p>
          <w:p w14:paraId="58AFC8F3" w14:textId="4C3D8779" w:rsidR="00373B9D" w:rsidRPr="00373B9D" w:rsidRDefault="00373B9D" w:rsidP="00373B9D">
            <w:pPr>
              <w:pStyle w:val="Footer"/>
              <w:jc w:val="center"/>
              <w:rPr>
                <w:sz w:val="18"/>
                <w:szCs w:val="18"/>
              </w:rPr>
            </w:pPr>
            <w:r w:rsidRPr="00373B9D">
              <w:rPr>
                <w:sz w:val="18"/>
                <w:szCs w:val="18"/>
              </w:rPr>
              <w:t xml:space="preserve">Page </w:t>
            </w:r>
            <w:r w:rsidRPr="00373B9D">
              <w:rPr>
                <w:b/>
                <w:bCs/>
                <w:sz w:val="18"/>
                <w:szCs w:val="18"/>
              </w:rPr>
              <w:fldChar w:fldCharType="begin"/>
            </w:r>
            <w:r w:rsidRPr="00373B9D">
              <w:rPr>
                <w:b/>
                <w:bCs/>
                <w:sz w:val="18"/>
                <w:szCs w:val="18"/>
              </w:rPr>
              <w:instrText xml:space="preserve"> PAGE </w:instrText>
            </w:r>
            <w:r w:rsidRPr="00373B9D">
              <w:rPr>
                <w:b/>
                <w:bCs/>
                <w:sz w:val="18"/>
                <w:szCs w:val="18"/>
              </w:rPr>
              <w:fldChar w:fldCharType="separate"/>
            </w:r>
            <w:r w:rsidR="005D0B1E">
              <w:rPr>
                <w:b/>
                <w:bCs/>
                <w:noProof/>
                <w:sz w:val="18"/>
                <w:szCs w:val="18"/>
              </w:rPr>
              <w:t>4</w:t>
            </w:r>
            <w:r w:rsidRPr="00373B9D">
              <w:rPr>
                <w:b/>
                <w:bCs/>
                <w:sz w:val="18"/>
                <w:szCs w:val="18"/>
              </w:rPr>
              <w:fldChar w:fldCharType="end"/>
            </w:r>
            <w:r w:rsidRPr="00373B9D">
              <w:rPr>
                <w:sz w:val="18"/>
                <w:szCs w:val="18"/>
              </w:rPr>
              <w:t xml:space="preserve"> of </w:t>
            </w:r>
            <w:r w:rsidRPr="00373B9D">
              <w:rPr>
                <w:b/>
                <w:bCs/>
                <w:sz w:val="18"/>
                <w:szCs w:val="18"/>
              </w:rPr>
              <w:fldChar w:fldCharType="begin"/>
            </w:r>
            <w:r w:rsidRPr="00373B9D">
              <w:rPr>
                <w:b/>
                <w:bCs/>
                <w:sz w:val="18"/>
                <w:szCs w:val="18"/>
              </w:rPr>
              <w:instrText xml:space="preserve"> NUMPAGES  </w:instrText>
            </w:r>
            <w:r w:rsidRPr="00373B9D">
              <w:rPr>
                <w:b/>
                <w:bCs/>
                <w:sz w:val="18"/>
                <w:szCs w:val="18"/>
              </w:rPr>
              <w:fldChar w:fldCharType="separate"/>
            </w:r>
            <w:r w:rsidR="005D0B1E">
              <w:rPr>
                <w:b/>
                <w:bCs/>
                <w:noProof/>
                <w:sz w:val="18"/>
                <w:szCs w:val="18"/>
              </w:rPr>
              <w:t>4</w:t>
            </w:r>
            <w:r w:rsidRPr="00373B9D">
              <w:rPr>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A171" w14:textId="77777777" w:rsidR="00373B9D" w:rsidRDefault="00373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3F183" w14:textId="77777777" w:rsidR="00BA4DFB" w:rsidRDefault="00BA4DFB" w:rsidP="00BA4DFB">
      <w:pPr>
        <w:spacing w:after="0" w:line="240" w:lineRule="auto"/>
      </w:pPr>
      <w:r>
        <w:separator/>
      </w:r>
    </w:p>
  </w:footnote>
  <w:footnote w:type="continuationSeparator" w:id="0">
    <w:p w14:paraId="7E43DB56" w14:textId="77777777" w:rsidR="00BA4DFB" w:rsidRDefault="00BA4DFB" w:rsidP="00BA4DFB">
      <w:pPr>
        <w:spacing w:after="0" w:line="240" w:lineRule="auto"/>
      </w:pPr>
      <w:r>
        <w:continuationSeparator/>
      </w:r>
    </w:p>
  </w:footnote>
  <w:footnote w:id="1">
    <w:p w14:paraId="28DD058E" w14:textId="00E05EA1" w:rsidR="00407DC6" w:rsidRDefault="00407DC6">
      <w:pPr>
        <w:pStyle w:val="FootnoteText"/>
      </w:pPr>
      <w:r>
        <w:rPr>
          <w:rStyle w:val="FootnoteReference"/>
        </w:rPr>
        <w:footnoteRef/>
      </w:r>
      <w:r>
        <w:t xml:space="preserve"> </w:t>
      </w:r>
      <w:r w:rsidRPr="00CE638D">
        <w:t>Commission Implementing Regulation (EU) 2022/2346 of 1 December 2022 laying down common specifications for the groups of products without an intended medical purpose listed in Annex XVI to Regulation (EU) 2017/745 of the European Parliament and of the Council on medical devices</w:t>
      </w:r>
      <w:r>
        <w:t xml:space="preserve"> - </w:t>
      </w:r>
      <w:hyperlink r:id="rId1" w:tooltip="Gives access to this document through its ELI URI." w:history="1">
        <w:r w:rsidRPr="00CE638D">
          <w:rPr>
            <w:rStyle w:val="Hyperlink"/>
          </w:rPr>
          <w:t>http://data.europa.eu/eli/reg_impl/2022/2346/oj</w:t>
        </w:r>
      </w:hyperlink>
      <w:r>
        <w:t>.</w:t>
      </w:r>
    </w:p>
  </w:footnote>
  <w:footnote w:id="2">
    <w:p w14:paraId="2796013F" w14:textId="3C7C3242" w:rsidR="000547EE" w:rsidRPr="00BE5B22" w:rsidRDefault="000547EE" w:rsidP="000547EE">
      <w:pPr>
        <w:pStyle w:val="FootnoteText"/>
      </w:pPr>
      <w:r>
        <w:rPr>
          <w:rStyle w:val="FootnoteReference"/>
        </w:rPr>
        <w:footnoteRef/>
      </w:r>
      <w:r w:rsidRPr="00BE5B22">
        <w:t xml:space="preserve"> </w:t>
      </w:r>
      <w:r w:rsidR="001D03FE" w:rsidRPr="001D03FE">
        <w:t>Commission Implementing Regulation (EU) 2023/1194 of 20 June 2023 amending Implementing Regulation (EU) 2022/2346 as regards the transitional provisions for certain products without an intended medical purpose listed in Annex XVI to Regulation (EU) 2017/745 of the European Parliament and of the Council</w:t>
      </w:r>
      <w:r w:rsidR="001D03FE">
        <w:t xml:space="preserve"> - </w:t>
      </w:r>
      <w:hyperlink r:id="rId2" w:tooltip="Gives access to this document through its ELI URI." w:history="1">
        <w:r w:rsidR="001D03FE" w:rsidRPr="001D03FE">
          <w:rPr>
            <w:rStyle w:val="Hyperlink"/>
          </w:rPr>
          <w:t>http://data.europa.eu/eli/reg_impl/2023/1194/oj</w:t>
        </w:r>
      </w:hyperlink>
      <w:r w:rsidRPr="00BE5B22">
        <w:t>.</w:t>
      </w:r>
    </w:p>
  </w:footnote>
  <w:footnote w:id="3">
    <w:p w14:paraId="1B2BF2A7" w14:textId="2A831105" w:rsidR="00CE638D" w:rsidRPr="00CE638D" w:rsidRDefault="00CE638D">
      <w:pPr>
        <w:pStyle w:val="FootnoteText"/>
      </w:pPr>
      <w:r>
        <w:rPr>
          <w:rStyle w:val="FootnoteReference"/>
        </w:rPr>
        <w:footnoteRef/>
      </w:r>
      <w:r>
        <w:t xml:space="preserve"> </w:t>
      </w:r>
      <w:r w:rsidRPr="00CF4EC5">
        <w:t xml:space="preserve">Regulation (EU) 2017/745 of the European Parliament and of the Council of 5 April 2017 on medical devices, amending Directive 2001/83/EC, Regulation (EC) No 178/2002 and Regulation (EC) No 1223/2009 and repealing Council Directives 90/385/EEC and 93/42/EEC - </w:t>
      </w:r>
      <w:hyperlink r:id="rId3" w:history="1">
        <w:r w:rsidRPr="00CF4EC5">
          <w:rPr>
            <w:rStyle w:val="Hyperlink"/>
          </w:rPr>
          <w:t>http://data.europa.eu/eli/reg/2017/745/2020-04-24</w:t>
        </w:r>
      </w:hyperlink>
      <w:r w:rsidRPr="00CF4EC5">
        <w:t>.</w:t>
      </w:r>
    </w:p>
  </w:footnote>
  <w:footnote w:id="4">
    <w:p w14:paraId="70131076" w14:textId="6DDC284F" w:rsidR="00FF5DCB" w:rsidRPr="00FF5DCB" w:rsidRDefault="00FF5DCB">
      <w:pPr>
        <w:pStyle w:val="FootnoteText"/>
      </w:pPr>
      <w:r>
        <w:rPr>
          <w:rStyle w:val="FootnoteReference"/>
        </w:rPr>
        <w:footnoteRef/>
      </w:r>
      <w:r>
        <w:t xml:space="preserve"> </w:t>
      </w:r>
      <w:r w:rsidRPr="00FF5DCB">
        <w:t>Regulation (EU) 2023/607 of the European Parliament and of the Council of 15 March 2023 amending Regulations (EU) 2017/745 and (EU) 2017/746 as regards the transitional provisions for certain medical devices and in vitro diagnostic medical device</w:t>
      </w:r>
      <w:r>
        <w:t xml:space="preserve">s - </w:t>
      </w:r>
      <w:hyperlink r:id="rId4" w:tooltip="Gives access to this document through its ELI URI." w:history="1">
        <w:r w:rsidRPr="00FF5DCB">
          <w:rPr>
            <w:rStyle w:val="Hyperlink"/>
          </w:rPr>
          <w:t>http://data.europa.eu/eli/reg/2023/607/oj</w:t>
        </w:r>
      </w:hyperlink>
      <w:r>
        <w:t>.</w:t>
      </w:r>
    </w:p>
  </w:footnote>
  <w:footnote w:id="5">
    <w:p w14:paraId="6E7567FB" w14:textId="77777777" w:rsidR="00CE638D" w:rsidRDefault="00CE638D" w:rsidP="00CE638D">
      <w:pPr>
        <w:pStyle w:val="FootnoteText"/>
      </w:pPr>
      <w:r>
        <w:rPr>
          <w:rStyle w:val="FootnoteReference"/>
        </w:rPr>
        <w:footnoteRef/>
      </w:r>
      <w:r>
        <w:t xml:space="preserve"> </w:t>
      </w:r>
      <w:r w:rsidRPr="00CF4EC5">
        <w:t xml:space="preserve">Council Directive 93/42/EEC of 14 June 1993 concerning medical devices - </w:t>
      </w:r>
      <w:hyperlink r:id="rId5" w:history="1">
        <w:r w:rsidRPr="00CF4EC5">
          <w:rPr>
            <w:rStyle w:val="Hyperlink"/>
          </w:rPr>
          <w:t>http://data.europa.eu/eli/dir/1993/42/2007-10-11</w:t>
        </w:r>
      </w:hyperlink>
      <w:r w:rsidRPr="00CF4EC5">
        <w:t xml:space="preserve"> (no longer in force).</w:t>
      </w:r>
    </w:p>
    <w:p w14:paraId="073A868F" w14:textId="2922FFFF" w:rsidR="00CE638D" w:rsidRPr="00CE638D" w:rsidRDefault="00CE638D" w:rsidP="00CE638D">
      <w:pPr>
        <w:pStyle w:val="FootnoteText"/>
      </w:pPr>
      <w:r w:rsidRPr="00CF4EC5">
        <w:rPr>
          <w:rStyle w:val="FootnoteReference"/>
        </w:rPr>
        <w:footnoteRef/>
      </w:r>
      <w:r w:rsidRPr="00CF4EC5">
        <w:t xml:space="preserve"> Regulation (EU) 2017/745 of the European Parliament and of the Council of 5 April 2017 on medical devices, amending Directive 2001/83/EC, Regulation (EC) No 178/2002 and Regulation (EC) No 1223/2009 and repealing Council Directives 90/385/EEC and 93/42/EEC - </w:t>
      </w:r>
      <w:hyperlink r:id="rId6" w:history="1">
        <w:r w:rsidRPr="00CF4EC5">
          <w:rPr>
            <w:rStyle w:val="Hyperlink"/>
          </w:rPr>
          <w:t>http://data.europa.eu/eli/reg/2017/745/2020-04-24</w:t>
        </w:r>
      </w:hyperlink>
      <w:r w:rsidRPr="00CF4EC5">
        <w:t>.</w:t>
      </w:r>
    </w:p>
  </w:footnote>
  <w:footnote w:id="6">
    <w:p w14:paraId="25D111E9" w14:textId="32A9B8A7" w:rsidR="00EF3DF0" w:rsidRPr="0002404B" w:rsidRDefault="00EF3DF0">
      <w:pPr>
        <w:pStyle w:val="FootnoteText"/>
        <w:rPr>
          <w:lang w:val="fr-BE"/>
        </w:rPr>
      </w:pPr>
      <w:r>
        <w:rPr>
          <w:rStyle w:val="FootnoteReference"/>
        </w:rPr>
        <w:footnoteRef/>
      </w:r>
      <w:r w:rsidRPr="0002404B">
        <w:rPr>
          <w:lang w:val="fr-BE"/>
        </w:rPr>
        <w:t xml:space="preserve"> CS, Article 3(2).</w:t>
      </w:r>
    </w:p>
  </w:footnote>
  <w:footnote w:id="7">
    <w:p w14:paraId="3B846314" w14:textId="77777777" w:rsidR="000D337D" w:rsidRPr="00F16D51" w:rsidRDefault="000D337D" w:rsidP="000D337D">
      <w:pPr>
        <w:pStyle w:val="FootnoteText"/>
        <w:rPr>
          <w:lang w:val="fr-BE"/>
        </w:rPr>
      </w:pPr>
      <w:r w:rsidRPr="00CF4EC5">
        <w:rPr>
          <w:rStyle w:val="FootnoteReference"/>
        </w:rPr>
        <w:footnoteRef/>
      </w:r>
      <w:r w:rsidRPr="00F16D51">
        <w:rPr>
          <w:lang w:val="fr-BE"/>
        </w:rPr>
        <w:t xml:space="preserve"> MDR, Article 1(2).</w:t>
      </w:r>
    </w:p>
  </w:footnote>
  <w:footnote w:id="8">
    <w:p w14:paraId="1C540D0A" w14:textId="77777777" w:rsidR="001A0C45" w:rsidRPr="00F16D51" w:rsidRDefault="001A0C45">
      <w:pPr>
        <w:pStyle w:val="FootnoteText"/>
        <w:rPr>
          <w:lang w:val="fr-BE"/>
        </w:rPr>
      </w:pPr>
      <w:r>
        <w:rPr>
          <w:rStyle w:val="FootnoteReference"/>
        </w:rPr>
        <w:footnoteRef/>
      </w:r>
      <w:r w:rsidRPr="00F16D51">
        <w:rPr>
          <w:lang w:val="fr-BE"/>
        </w:rPr>
        <w:t xml:space="preserve"> MDR, Article 1(2).</w:t>
      </w:r>
    </w:p>
  </w:footnote>
  <w:footnote w:id="9">
    <w:p w14:paraId="40C68B90" w14:textId="77777777" w:rsidR="003A2CE3" w:rsidRPr="0002404B" w:rsidRDefault="003A2CE3" w:rsidP="003A2CE3">
      <w:pPr>
        <w:pStyle w:val="FootnoteText"/>
      </w:pPr>
      <w:r w:rsidRPr="00BB21EF">
        <w:rPr>
          <w:rStyle w:val="FootnoteReference"/>
        </w:rPr>
        <w:footnoteRef/>
      </w:r>
      <w:r w:rsidRPr="0002404B">
        <w:t xml:space="preserve"> CS, Article 2(1)(a) and (b).</w:t>
      </w:r>
    </w:p>
  </w:footnote>
  <w:footnote w:id="10">
    <w:p w14:paraId="0A87F2A8" w14:textId="77777777" w:rsidR="00B77CB5" w:rsidRPr="0002404B" w:rsidRDefault="00B77CB5">
      <w:pPr>
        <w:pStyle w:val="FootnoteText"/>
      </w:pPr>
      <w:r w:rsidRPr="00BB21EF">
        <w:rPr>
          <w:rStyle w:val="FootnoteReference"/>
        </w:rPr>
        <w:footnoteRef/>
      </w:r>
      <w:r w:rsidRPr="0002404B">
        <w:t xml:space="preserve"> CS, Article 2(1), second subparagraph.</w:t>
      </w:r>
    </w:p>
  </w:footnote>
  <w:footnote w:id="11">
    <w:p w14:paraId="1C74CBB5" w14:textId="77777777" w:rsidR="00B77CB5" w:rsidRPr="0002404B" w:rsidRDefault="00B77CB5">
      <w:pPr>
        <w:pStyle w:val="FootnoteText"/>
      </w:pPr>
      <w:r w:rsidRPr="00BB21EF">
        <w:rPr>
          <w:rStyle w:val="FootnoteReference"/>
        </w:rPr>
        <w:footnoteRef/>
      </w:r>
      <w:r w:rsidRPr="0002404B">
        <w:t xml:space="preserve"> CS, Article 2(1), third subparagraph.</w:t>
      </w:r>
    </w:p>
  </w:footnote>
  <w:footnote w:id="12">
    <w:p w14:paraId="47B7ACD4" w14:textId="77777777" w:rsidR="00B77CB5" w:rsidRPr="0002404B" w:rsidRDefault="00B77CB5">
      <w:pPr>
        <w:pStyle w:val="FootnoteText"/>
      </w:pPr>
      <w:r w:rsidRPr="00BB21EF">
        <w:rPr>
          <w:rStyle w:val="FootnoteReference"/>
        </w:rPr>
        <w:footnoteRef/>
      </w:r>
      <w:r w:rsidRPr="0002404B">
        <w:t xml:space="preserve"> CS, Article 2(1), fourth subparagraph.</w:t>
      </w:r>
    </w:p>
  </w:footnote>
  <w:footnote w:id="13">
    <w:p w14:paraId="72BC522B" w14:textId="77777777" w:rsidR="007721DE" w:rsidRPr="0002404B" w:rsidRDefault="007721DE" w:rsidP="007721DE">
      <w:pPr>
        <w:pStyle w:val="FootnoteText"/>
      </w:pPr>
      <w:r w:rsidRPr="00BB21EF">
        <w:rPr>
          <w:rStyle w:val="FootnoteReference"/>
        </w:rPr>
        <w:footnoteRef/>
      </w:r>
      <w:r w:rsidRPr="0002404B">
        <w:t xml:space="preserve"> CS, Article 2(2)(a) and (b).</w:t>
      </w:r>
    </w:p>
  </w:footnote>
  <w:footnote w:id="14">
    <w:p w14:paraId="5895C362" w14:textId="77777777" w:rsidR="00B77CB5" w:rsidRPr="00AB3837" w:rsidRDefault="00B77CB5">
      <w:pPr>
        <w:pStyle w:val="FootnoteText"/>
      </w:pPr>
      <w:r w:rsidRPr="00BB21EF">
        <w:rPr>
          <w:rStyle w:val="FootnoteReference"/>
        </w:rPr>
        <w:footnoteRef/>
      </w:r>
      <w:r w:rsidRPr="00AB3837">
        <w:t xml:space="preserve"> CS, Article 2(2), second subparagraph.</w:t>
      </w:r>
    </w:p>
  </w:footnote>
  <w:footnote w:id="15">
    <w:p w14:paraId="11552042" w14:textId="77777777" w:rsidR="00B75AD9" w:rsidRDefault="00B75AD9" w:rsidP="00B75AD9">
      <w:pPr>
        <w:pStyle w:val="FootnoteText"/>
      </w:pPr>
      <w:r>
        <w:rPr>
          <w:rStyle w:val="FootnoteReference"/>
        </w:rPr>
        <w:footnoteRef/>
      </w:r>
      <w:r>
        <w:t xml:space="preserve"> </w:t>
      </w:r>
      <w:r w:rsidRPr="00E5371B">
        <w:t>Q&amp;A on practical aspects related to the implementation of Regulation (EU) 2023/607 - Extension of the MDR transitional period and removal of the “sell off” periods</w:t>
      </w:r>
      <w:r>
        <w:t xml:space="preserve"> - </w:t>
      </w:r>
      <w:hyperlink r:id="rId7" w:history="1">
        <w:r w:rsidRPr="008D4A5D">
          <w:rPr>
            <w:rStyle w:val="Hyperlink"/>
          </w:rPr>
          <w:t>https://health.ec.europa.eu/system/files/2023-03/mdr_proposal_extension-q-n-a_0.pdf</w:t>
        </w:r>
      </w:hyperlink>
      <w:r>
        <w:t>.</w:t>
      </w:r>
    </w:p>
  </w:footnote>
  <w:footnote w:id="16">
    <w:p w14:paraId="20E8F9BD" w14:textId="448EF9DC" w:rsidR="00093ABE" w:rsidRPr="00093ABE" w:rsidRDefault="00093ABE">
      <w:pPr>
        <w:pStyle w:val="FootnoteText"/>
      </w:pPr>
      <w:r>
        <w:rPr>
          <w:rStyle w:val="FootnoteReference"/>
        </w:rPr>
        <w:footnoteRef/>
      </w:r>
      <w:r>
        <w:t xml:space="preserve"> </w:t>
      </w:r>
      <w:r w:rsidRPr="00093ABE">
        <w:t xml:space="preserve">If the MDD certificate was still valid </w:t>
      </w:r>
      <w:r>
        <w:t xml:space="preserve">on or </w:t>
      </w:r>
      <w:r w:rsidRPr="00093ABE">
        <w:t>after 20 March 2023 and has not been withdrawn afterwards, the transitional provisions established in Article 120 to the MDR apply</w:t>
      </w:r>
      <w:r>
        <w:t>.</w:t>
      </w:r>
    </w:p>
  </w:footnote>
  <w:footnote w:id="17">
    <w:p w14:paraId="3F7E1CC8" w14:textId="0AB88676" w:rsidR="00BD307E" w:rsidRPr="0002404B" w:rsidRDefault="00BD307E">
      <w:pPr>
        <w:pStyle w:val="FootnoteText"/>
        <w:rPr>
          <w:lang w:val="fr-BE"/>
        </w:rPr>
      </w:pPr>
      <w:r>
        <w:rPr>
          <w:rStyle w:val="FootnoteReference"/>
        </w:rPr>
        <w:footnoteRef/>
      </w:r>
      <w:r w:rsidRPr="0002404B">
        <w:rPr>
          <w:lang w:val="fr-BE"/>
        </w:rPr>
        <w:t xml:space="preserve"> MDR, Article 120 </w:t>
      </w:r>
      <w:proofErr w:type="spellStart"/>
      <w:r w:rsidRPr="0002404B">
        <w:rPr>
          <w:lang w:val="fr-BE"/>
        </w:rPr>
        <w:t>paragraphs</w:t>
      </w:r>
      <w:proofErr w:type="spellEnd"/>
      <w:r w:rsidRPr="0002404B">
        <w:rPr>
          <w:lang w:val="fr-BE"/>
        </w:rPr>
        <w:t xml:space="preserve"> (3c), (3d) and (3e).</w:t>
      </w:r>
    </w:p>
  </w:footnote>
  <w:footnote w:id="18">
    <w:p w14:paraId="6BFF4B72" w14:textId="77777777" w:rsidR="007721DE" w:rsidRPr="00656A44" w:rsidRDefault="007721DE" w:rsidP="007721DE">
      <w:pPr>
        <w:pStyle w:val="FootnoteText"/>
        <w:rPr>
          <w:lang w:val="fr-BE"/>
        </w:rPr>
      </w:pPr>
      <w:r>
        <w:rPr>
          <w:rStyle w:val="FootnoteReference"/>
        </w:rPr>
        <w:footnoteRef/>
      </w:r>
      <w:r w:rsidRPr="00656A44">
        <w:rPr>
          <w:lang w:val="fr-BE"/>
        </w:rPr>
        <w:t xml:space="preserve"> MDR, Article 120(3</w:t>
      </w:r>
      <w:proofErr w:type="gramStart"/>
      <w:r w:rsidRPr="00656A44">
        <w:rPr>
          <w:lang w:val="fr-BE"/>
        </w:rPr>
        <w:t>c)(</w:t>
      </w:r>
      <w:proofErr w:type="gramEnd"/>
      <w:r w:rsidRPr="00656A44">
        <w:rPr>
          <w:lang w:val="fr-BE"/>
        </w:rPr>
        <w:t>a).</w:t>
      </w:r>
    </w:p>
  </w:footnote>
  <w:footnote w:id="19">
    <w:p w14:paraId="3BFE3DD7" w14:textId="77777777" w:rsidR="007721DE" w:rsidRPr="00BB1722" w:rsidRDefault="007721DE" w:rsidP="007721DE">
      <w:pPr>
        <w:pStyle w:val="FootnoteText"/>
        <w:rPr>
          <w:lang w:val="fr-BE"/>
        </w:rPr>
      </w:pPr>
      <w:r>
        <w:rPr>
          <w:rStyle w:val="FootnoteReference"/>
        </w:rPr>
        <w:footnoteRef/>
      </w:r>
      <w:r w:rsidRPr="00656A44">
        <w:rPr>
          <w:lang w:val="fr-BE"/>
        </w:rPr>
        <w:t xml:space="preserve"> MDR, Article 120(3</w:t>
      </w:r>
      <w:proofErr w:type="gramStart"/>
      <w:r w:rsidRPr="00656A44">
        <w:rPr>
          <w:lang w:val="fr-BE"/>
        </w:rPr>
        <w:t>c)(</w:t>
      </w:r>
      <w:proofErr w:type="gramEnd"/>
      <w:r w:rsidRPr="00656A44">
        <w:rPr>
          <w:lang w:val="fr-BE"/>
        </w:rPr>
        <w:t>b)</w:t>
      </w:r>
      <w:r w:rsidRPr="00BB1722">
        <w:rPr>
          <w:lang w:val="fr-BE"/>
        </w:rPr>
        <w:t>.</w:t>
      </w:r>
    </w:p>
  </w:footnote>
  <w:footnote w:id="20">
    <w:p w14:paraId="23972A76" w14:textId="77777777" w:rsidR="007721DE" w:rsidRPr="00656A44" w:rsidRDefault="007721DE" w:rsidP="007721DE">
      <w:pPr>
        <w:pStyle w:val="FootnoteText"/>
        <w:rPr>
          <w:lang w:val="fr-BE"/>
        </w:rPr>
      </w:pPr>
      <w:r>
        <w:rPr>
          <w:rStyle w:val="FootnoteReference"/>
        </w:rPr>
        <w:footnoteRef/>
      </w:r>
      <w:r w:rsidRPr="00656A44">
        <w:rPr>
          <w:lang w:val="fr-BE"/>
        </w:rPr>
        <w:t xml:space="preserve"> </w:t>
      </w:r>
      <w:r w:rsidRPr="00D9741C">
        <w:rPr>
          <w:lang w:val="fr-BE"/>
        </w:rPr>
        <w:t>MDR, Article 120(3</w:t>
      </w:r>
      <w:proofErr w:type="gramStart"/>
      <w:r w:rsidRPr="00D9741C">
        <w:rPr>
          <w:lang w:val="fr-BE"/>
        </w:rPr>
        <w:t>c)</w:t>
      </w:r>
      <w:r>
        <w:rPr>
          <w:lang w:val="fr-BE"/>
        </w:rPr>
        <w:t>(</w:t>
      </w:r>
      <w:proofErr w:type="gramEnd"/>
      <w:r>
        <w:rPr>
          <w:lang w:val="fr-BE"/>
        </w:rPr>
        <w:t>c).</w:t>
      </w:r>
    </w:p>
  </w:footnote>
  <w:footnote w:id="21">
    <w:p w14:paraId="7944C409" w14:textId="77777777" w:rsidR="007721DE" w:rsidRPr="00656A44" w:rsidRDefault="007721DE" w:rsidP="007721DE">
      <w:pPr>
        <w:pStyle w:val="FootnoteText"/>
        <w:rPr>
          <w:lang w:val="fr-BE"/>
        </w:rPr>
      </w:pPr>
      <w:r>
        <w:rPr>
          <w:rStyle w:val="FootnoteReference"/>
        </w:rPr>
        <w:footnoteRef/>
      </w:r>
      <w:r w:rsidRPr="00656A44">
        <w:rPr>
          <w:lang w:val="fr-BE"/>
        </w:rPr>
        <w:t xml:space="preserve"> MD</w:t>
      </w:r>
      <w:r>
        <w:rPr>
          <w:lang w:val="fr-BE"/>
        </w:rPr>
        <w:t>R, Article 120(3d).</w:t>
      </w:r>
    </w:p>
  </w:footnote>
  <w:footnote w:id="22">
    <w:p w14:paraId="49F621AA" w14:textId="2695A8A3" w:rsidR="004D5DF2" w:rsidRPr="00656A44" w:rsidRDefault="004D5DF2">
      <w:pPr>
        <w:pStyle w:val="FootnoteText"/>
        <w:rPr>
          <w:lang w:val="fr-BE"/>
        </w:rPr>
      </w:pPr>
      <w:r>
        <w:rPr>
          <w:rStyle w:val="FootnoteReference"/>
        </w:rPr>
        <w:footnoteRef/>
      </w:r>
      <w:r w:rsidRPr="00656A44">
        <w:rPr>
          <w:lang w:val="fr-BE"/>
        </w:rPr>
        <w:t xml:space="preserve"> MD</w:t>
      </w:r>
      <w:r>
        <w:rPr>
          <w:lang w:val="fr-BE"/>
        </w:rPr>
        <w:t>R, Article 120(3</w:t>
      </w:r>
      <w:proofErr w:type="gramStart"/>
      <w:r>
        <w:rPr>
          <w:lang w:val="fr-BE"/>
        </w:rPr>
        <w:t>c)(</w:t>
      </w:r>
      <w:proofErr w:type="gramEnd"/>
      <w:r>
        <w:rPr>
          <w:lang w:val="fr-BE"/>
        </w:rPr>
        <w:t>d).</w:t>
      </w:r>
    </w:p>
  </w:footnote>
  <w:footnote w:id="23">
    <w:p w14:paraId="75CB7267" w14:textId="00FFF54C" w:rsidR="004D5DF2" w:rsidRPr="008C50A1" w:rsidRDefault="004D5DF2" w:rsidP="00BD307E">
      <w:pPr>
        <w:pStyle w:val="FootnoteText"/>
        <w:rPr>
          <w:lang w:val="fr-BE"/>
        </w:rPr>
      </w:pPr>
      <w:r w:rsidRPr="00CF4EC5">
        <w:rPr>
          <w:rStyle w:val="FootnoteReference"/>
        </w:rPr>
        <w:footnoteRef/>
      </w:r>
      <w:r w:rsidRPr="008C50A1">
        <w:rPr>
          <w:lang w:val="fr-BE"/>
        </w:rPr>
        <w:t xml:space="preserve"> </w:t>
      </w:r>
      <w:r>
        <w:rPr>
          <w:lang w:val="fr-BE"/>
        </w:rPr>
        <w:t>MDR, Article 120(3</w:t>
      </w:r>
      <w:proofErr w:type="gramStart"/>
      <w:r>
        <w:rPr>
          <w:lang w:val="fr-BE"/>
        </w:rPr>
        <w:t>c)(</w:t>
      </w:r>
      <w:proofErr w:type="gramEnd"/>
      <w:r>
        <w:rPr>
          <w:lang w:val="fr-BE"/>
        </w:rPr>
        <w:t>e)</w:t>
      </w:r>
      <w:r w:rsidRPr="008C50A1">
        <w:rPr>
          <w:lang w:val="fr-BE"/>
        </w:rPr>
        <w:t>.</w:t>
      </w:r>
    </w:p>
  </w:footnote>
  <w:footnote w:id="24">
    <w:p w14:paraId="18F0E011" w14:textId="436F2A7A" w:rsidR="004D5DF2" w:rsidRPr="006E336A" w:rsidRDefault="004D5DF2" w:rsidP="00BD307E">
      <w:pPr>
        <w:pStyle w:val="FootnoteText"/>
        <w:rPr>
          <w:lang w:val="fr-BE"/>
        </w:rPr>
      </w:pPr>
      <w:r w:rsidRPr="00CF4EC5">
        <w:rPr>
          <w:rStyle w:val="FootnoteReference"/>
        </w:rPr>
        <w:footnoteRef/>
      </w:r>
      <w:r w:rsidRPr="003A2CE3">
        <w:rPr>
          <w:lang w:val="fr-BE"/>
        </w:rPr>
        <w:t xml:space="preserve"> MDR, Article 120(3</w:t>
      </w:r>
      <w:proofErr w:type="gramStart"/>
      <w:r w:rsidRPr="003A2CE3">
        <w:rPr>
          <w:lang w:val="fr-BE"/>
        </w:rPr>
        <w:t>c)(</w:t>
      </w:r>
      <w:proofErr w:type="gramEnd"/>
      <w:r w:rsidRPr="003A2CE3">
        <w:rPr>
          <w:lang w:val="fr-BE"/>
        </w:rPr>
        <w:t>e)</w:t>
      </w:r>
      <w:r w:rsidRPr="006E336A">
        <w:rPr>
          <w:lang w:val="fr-BE"/>
        </w:rPr>
        <w:t>.</w:t>
      </w:r>
    </w:p>
  </w:footnote>
  <w:footnote w:id="25">
    <w:p w14:paraId="7D76F484" w14:textId="0B2716DF" w:rsidR="004D5DF2" w:rsidRPr="003A2CE3" w:rsidRDefault="004D5DF2">
      <w:pPr>
        <w:pStyle w:val="FootnoteText"/>
        <w:rPr>
          <w:lang w:val="fr-BE"/>
        </w:rPr>
      </w:pPr>
      <w:r>
        <w:rPr>
          <w:rStyle w:val="FootnoteReference"/>
        </w:rPr>
        <w:footnoteRef/>
      </w:r>
      <w:r w:rsidRPr="003A2CE3">
        <w:rPr>
          <w:lang w:val="fr-BE"/>
        </w:rPr>
        <w:t xml:space="preserve"> MDR</w:t>
      </w:r>
      <w:r>
        <w:rPr>
          <w:lang w:val="fr-BE"/>
        </w:rPr>
        <w:t>, Article120(3</w:t>
      </w:r>
      <w:r w:rsidRPr="006E336A">
        <w:rPr>
          <w:lang w:val="fr-BE"/>
        </w:rPr>
        <w:t>e</w:t>
      </w:r>
      <w:r>
        <w:rPr>
          <w:lang w:val="fr-BE"/>
        </w:rPr>
        <w:t>).</w:t>
      </w:r>
    </w:p>
  </w:footnote>
  <w:footnote w:id="26">
    <w:p w14:paraId="2EC42F88" w14:textId="692B7F89" w:rsidR="00F15163" w:rsidRPr="00F16D51" w:rsidRDefault="00F15163">
      <w:pPr>
        <w:pStyle w:val="FootnoteText"/>
        <w:rPr>
          <w:lang w:val="fr-BE"/>
        </w:rPr>
      </w:pPr>
      <w:r>
        <w:rPr>
          <w:rStyle w:val="FootnoteReference"/>
        </w:rPr>
        <w:footnoteRef/>
      </w:r>
      <w:r w:rsidRPr="00F16D51">
        <w:rPr>
          <w:lang w:val="fr-BE"/>
        </w:rPr>
        <w:t xml:space="preserve"> MDR, Annex IX, Section 5.1(d).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3D66" w14:textId="77777777" w:rsidR="00373B9D" w:rsidRDefault="00373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26D30" w14:textId="5AF33550" w:rsidR="00373B9D" w:rsidRDefault="00414E08" w:rsidP="00373B9D">
    <w:pPr>
      <w:pStyle w:val="Header"/>
      <w:jc w:val="center"/>
      <w:rPr>
        <w:b/>
        <w:sz w:val="28"/>
      </w:rPr>
    </w:pPr>
    <w:sdt>
      <w:sdtPr>
        <w:rPr>
          <w:b/>
          <w:sz w:val="28"/>
        </w:rPr>
        <w:id w:val="-2050911237"/>
        <w:docPartObj>
          <w:docPartGallery w:val="Watermarks"/>
          <w:docPartUnique/>
        </w:docPartObj>
      </w:sdtPr>
      <w:sdtEndPr/>
      <w:sdtContent>
        <w:r>
          <w:rPr>
            <w:b/>
            <w:noProof/>
            <w:sz w:val="28"/>
          </w:rPr>
          <w:pict w14:anchorId="50985D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481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73B9D">
      <w:rPr>
        <w:b/>
        <w:sz w:val="28"/>
      </w:rPr>
      <w:t xml:space="preserve">DRAFT </w:t>
    </w:r>
    <w:r w:rsidR="00373B9D" w:rsidRPr="00373B9D">
      <w:rPr>
        <w:b/>
        <w:sz w:val="28"/>
      </w:rPr>
      <w:t>Q</w:t>
    </w:r>
    <w:r w:rsidR="00373B9D">
      <w:rPr>
        <w:b/>
        <w:sz w:val="28"/>
      </w:rPr>
      <w:t xml:space="preserve">uestions and </w:t>
    </w:r>
    <w:r w:rsidR="00373B9D" w:rsidRPr="00373B9D">
      <w:rPr>
        <w:b/>
        <w:sz w:val="28"/>
      </w:rPr>
      <w:t>A</w:t>
    </w:r>
    <w:r w:rsidR="00373B9D">
      <w:rPr>
        <w:b/>
        <w:sz w:val="28"/>
      </w:rPr>
      <w:t>nswers</w:t>
    </w:r>
    <w:r w:rsidR="00373B9D" w:rsidRPr="00373B9D">
      <w:rPr>
        <w:b/>
        <w:sz w:val="28"/>
      </w:rPr>
      <w:t xml:space="preserve"> on transitional provision for Annex XVI products</w:t>
    </w:r>
  </w:p>
  <w:p w14:paraId="0643A34E" w14:textId="77777777" w:rsidR="0041081C" w:rsidRPr="00373B9D" w:rsidRDefault="0041081C" w:rsidP="00373B9D">
    <w:pPr>
      <w:pStyle w:val="Header"/>
      <w:jc w:val="center"/>
      <w:rPr>
        <w:b/>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A819" w14:textId="77777777" w:rsidR="00373B9D" w:rsidRDefault="00373B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01C4D"/>
    <w:multiLevelType w:val="hybridMultilevel"/>
    <w:tmpl w:val="BB7E7B8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B666016"/>
    <w:multiLevelType w:val="hybridMultilevel"/>
    <w:tmpl w:val="0D9688F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360C2169"/>
    <w:multiLevelType w:val="hybridMultilevel"/>
    <w:tmpl w:val="F4D04F4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AA62D0B"/>
    <w:multiLevelType w:val="hybridMultilevel"/>
    <w:tmpl w:val="5CFA391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540102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65F66DC2"/>
    <w:multiLevelType w:val="hybridMultilevel"/>
    <w:tmpl w:val="D29C2E44"/>
    <w:lvl w:ilvl="0" w:tplc="0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6D0816DC"/>
    <w:multiLevelType w:val="hybridMultilevel"/>
    <w:tmpl w:val="491291E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387408519">
    <w:abstractNumId w:val="4"/>
  </w:num>
  <w:num w:numId="2" w16cid:durableId="1561136419">
    <w:abstractNumId w:val="5"/>
  </w:num>
  <w:num w:numId="3" w16cid:durableId="135605319">
    <w:abstractNumId w:val="3"/>
  </w:num>
  <w:num w:numId="4" w16cid:durableId="1656908902">
    <w:abstractNumId w:val="6"/>
  </w:num>
  <w:num w:numId="5" w16cid:durableId="556088092">
    <w:abstractNumId w:val="0"/>
  </w:num>
  <w:num w:numId="6" w16cid:durableId="1190800184">
    <w:abstractNumId w:val="1"/>
  </w:num>
  <w:num w:numId="7" w16cid:durableId="1305046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34818"/>
    <o:shapelayout v:ext="edit">
      <o:idmap v:ext="edit" data="3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53FB1"/>
    <w:rsid w:val="0002404B"/>
    <w:rsid w:val="00052D54"/>
    <w:rsid w:val="000547EE"/>
    <w:rsid w:val="000921CF"/>
    <w:rsid w:val="000937CD"/>
    <w:rsid w:val="00093ABE"/>
    <w:rsid w:val="000B3B1D"/>
    <w:rsid w:val="000B5C51"/>
    <w:rsid w:val="000B7A5B"/>
    <w:rsid w:val="000D337D"/>
    <w:rsid w:val="000E35E0"/>
    <w:rsid w:val="000F78B9"/>
    <w:rsid w:val="001151AB"/>
    <w:rsid w:val="001463B0"/>
    <w:rsid w:val="0015204A"/>
    <w:rsid w:val="00170FAC"/>
    <w:rsid w:val="00171429"/>
    <w:rsid w:val="001A0C45"/>
    <w:rsid w:val="001A227A"/>
    <w:rsid w:val="001D03FE"/>
    <w:rsid w:val="002271C2"/>
    <w:rsid w:val="00241B9E"/>
    <w:rsid w:val="002F6DAD"/>
    <w:rsid w:val="00316118"/>
    <w:rsid w:val="0033442D"/>
    <w:rsid w:val="00353FB1"/>
    <w:rsid w:val="00373B9D"/>
    <w:rsid w:val="00392CFE"/>
    <w:rsid w:val="003A2CE3"/>
    <w:rsid w:val="003E2098"/>
    <w:rsid w:val="00407DC6"/>
    <w:rsid w:val="0041081C"/>
    <w:rsid w:val="00414E08"/>
    <w:rsid w:val="004175AE"/>
    <w:rsid w:val="004627A4"/>
    <w:rsid w:val="004D5DF2"/>
    <w:rsid w:val="004F3AA4"/>
    <w:rsid w:val="005303CD"/>
    <w:rsid w:val="00546BAB"/>
    <w:rsid w:val="00564516"/>
    <w:rsid w:val="005D0B1E"/>
    <w:rsid w:val="005D501E"/>
    <w:rsid w:val="005E546B"/>
    <w:rsid w:val="00631163"/>
    <w:rsid w:val="00656A44"/>
    <w:rsid w:val="00670378"/>
    <w:rsid w:val="006B4410"/>
    <w:rsid w:val="006E21E5"/>
    <w:rsid w:val="006E336A"/>
    <w:rsid w:val="006F11E5"/>
    <w:rsid w:val="007300A8"/>
    <w:rsid w:val="007721DE"/>
    <w:rsid w:val="00782DD7"/>
    <w:rsid w:val="007A2C80"/>
    <w:rsid w:val="007B65A4"/>
    <w:rsid w:val="007B6AA3"/>
    <w:rsid w:val="007D05E2"/>
    <w:rsid w:val="0080175A"/>
    <w:rsid w:val="00854B84"/>
    <w:rsid w:val="008923ED"/>
    <w:rsid w:val="008A623B"/>
    <w:rsid w:val="008C50A1"/>
    <w:rsid w:val="008D78D2"/>
    <w:rsid w:val="008E1718"/>
    <w:rsid w:val="00907F33"/>
    <w:rsid w:val="009137CE"/>
    <w:rsid w:val="009227F1"/>
    <w:rsid w:val="009277DA"/>
    <w:rsid w:val="009552ED"/>
    <w:rsid w:val="00961BF1"/>
    <w:rsid w:val="009632BD"/>
    <w:rsid w:val="00987F26"/>
    <w:rsid w:val="00996933"/>
    <w:rsid w:val="009D5EB4"/>
    <w:rsid w:val="009F711A"/>
    <w:rsid w:val="00A06C5B"/>
    <w:rsid w:val="00A51E32"/>
    <w:rsid w:val="00A82375"/>
    <w:rsid w:val="00AA7223"/>
    <w:rsid w:val="00AB3837"/>
    <w:rsid w:val="00AC4BFA"/>
    <w:rsid w:val="00AF7709"/>
    <w:rsid w:val="00B14824"/>
    <w:rsid w:val="00B26847"/>
    <w:rsid w:val="00B307C4"/>
    <w:rsid w:val="00B75AD9"/>
    <w:rsid w:val="00B77CB5"/>
    <w:rsid w:val="00BA4DFB"/>
    <w:rsid w:val="00BB1722"/>
    <w:rsid w:val="00BB21EF"/>
    <w:rsid w:val="00BD307E"/>
    <w:rsid w:val="00BE5B22"/>
    <w:rsid w:val="00C231FB"/>
    <w:rsid w:val="00C8739F"/>
    <w:rsid w:val="00C9239B"/>
    <w:rsid w:val="00CE638D"/>
    <w:rsid w:val="00CF4EC5"/>
    <w:rsid w:val="00CF59F0"/>
    <w:rsid w:val="00CF6D0E"/>
    <w:rsid w:val="00D40319"/>
    <w:rsid w:val="00D52611"/>
    <w:rsid w:val="00D62A08"/>
    <w:rsid w:val="00D7497C"/>
    <w:rsid w:val="00D83BFF"/>
    <w:rsid w:val="00D91E06"/>
    <w:rsid w:val="00D95AB3"/>
    <w:rsid w:val="00DA0680"/>
    <w:rsid w:val="00DA07DB"/>
    <w:rsid w:val="00DA5BF2"/>
    <w:rsid w:val="00DA70D5"/>
    <w:rsid w:val="00DC6447"/>
    <w:rsid w:val="00E46966"/>
    <w:rsid w:val="00E5371B"/>
    <w:rsid w:val="00E85F5B"/>
    <w:rsid w:val="00E95772"/>
    <w:rsid w:val="00EE5E35"/>
    <w:rsid w:val="00EF1470"/>
    <w:rsid w:val="00EF3DF0"/>
    <w:rsid w:val="00F15163"/>
    <w:rsid w:val="00F16D51"/>
    <w:rsid w:val="00F52CA6"/>
    <w:rsid w:val="00F57A7A"/>
    <w:rsid w:val="00F926B6"/>
    <w:rsid w:val="00F94223"/>
    <w:rsid w:val="00FA5E44"/>
    <w:rsid w:val="00FB4A95"/>
    <w:rsid w:val="00FD477A"/>
    <w:rsid w:val="00FF5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14:docId w14:val="7D68D960"/>
  <w15:chartTrackingRefBased/>
  <w15:docId w15:val="{768692A4-94F3-42AF-9D58-64129C37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7A4"/>
    <w:pPr>
      <w:jc w:val="both"/>
    </w:pPr>
    <w:rPr>
      <w:lang w:val="en-IE"/>
    </w:rPr>
  </w:style>
  <w:style w:type="paragraph" w:styleId="Heading1">
    <w:name w:val="heading 1"/>
    <w:basedOn w:val="Normal"/>
    <w:next w:val="Normal"/>
    <w:link w:val="Heading1Char"/>
    <w:uiPriority w:val="9"/>
    <w:qFormat/>
    <w:rsid w:val="00D7497C"/>
    <w:pPr>
      <w:keepNext/>
      <w:keepLines/>
      <w:numPr>
        <w:numId w:val="1"/>
      </w:numPr>
      <w:spacing w:before="240" w:after="120"/>
      <w:ind w:left="431" w:hanging="431"/>
      <w:outlineLvl w:val="0"/>
    </w:pPr>
    <w:rPr>
      <w:rFonts w:ascii="Arial" w:eastAsiaTheme="majorEastAsia" w:hAnsi="Arial" w:cstheme="majorBidi"/>
      <w:b/>
      <w:color w:val="2E74B5" w:themeColor="accent1" w:themeShade="BF"/>
      <w:sz w:val="24"/>
      <w:szCs w:val="32"/>
    </w:rPr>
  </w:style>
  <w:style w:type="paragraph" w:styleId="Heading2">
    <w:name w:val="heading 2"/>
    <w:basedOn w:val="Normal"/>
    <w:next w:val="Normal"/>
    <w:link w:val="Heading2Char"/>
    <w:uiPriority w:val="9"/>
    <w:semiHidden/>
    <w:unhideWhenUsed/>
    <w:qFormat/>
    <w:rsid w:val="00D7497C"/>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7497C"/>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7497C"/>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7497C"/>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7497C"/>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7497C"/>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7497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7497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97C"/>
    <w:rPr>
      <w:rFonts w:ascii="Arial" w:eastAsiaTheme="majorEastAsia" w:hAnsi="Arial" w:cstheme="majorBidi"/>
      <w:b/>
      <w:color w:val="2E74B5" w:themeColor="accent1" w:themeShade="BF"/>
      <w:sz w:val="24"/>
      <w:szCs w:val="32"/>
      <w:lang w:val="en-IE"/>
    </w:rPr>
  </w:style>
  <w:style w:type="character" w:customStyle="1" w:styleId="Heading2Char">
    <w:name w:val="Heading 2 Char"/>
    <w:basedOn w:val="DefaultParagraphFont"/>
    <w:link w:val="Heading2"/>
    <w:uiPriority w:val="9"/>
    <w:semiHidden/>
    <w:rsid w:val="00D7497C"/>
    <w:rPr>
      <w:rFonts w:asciiTheme="majorHAnsi" w:eastAsiaTheme="majorEastAsia" w:hAnsiTheme="majorHAnsi" w:cstheme="majorBidi"/>
      <w:color w:val="2E74B5" w:themeColor="accent1" w:themeShade="BF"/>
      <w:sz w:val="26"/>
      <w:szCs w:val="26"/>
      <w:lang w:val="en-IE"/>
    </w:rPr>
  </w:style>
  <w:style w:type="character" w:customStyle="1" w:styleId="Heading3Char">
    <w:name w:val="Heading 3 Char"/>
    <w:basedOn w:val="DefaultParagraphFont"/>
    <w:link w:val="Heading3"/>
    <w:uiPriority w:val="9"/>
    <w:semiHidden/>
    <w:rsid w:val="00D7497C"/>
    <w:rPr>
      <w:rFonts w:asciiTheme="majorHAnsi" w:eastAsiaTheme="majorEastAsia" w:hAnsiTheme="majorHAnsi" w:cstheme="majorBidi"/>
      <w:color w:val="1F4D78" w:themeColor="accent1" w:themeShade="7F"/>
      <w:sz w:val="24"/>
      <w:szCs w:val="24"/>
      <w:lang w:val="en-IE"/>
    </w:rPr>
  </w:style>
  <w:style w:type="character" w:customStyle="1" w:styleId="Heading4Char">
    <w:name w:val="Heading 4 Char"/>
    <w:basedOn w:val="DefaultParagraphFont"/>
    <w:link w:val="Heading4"/>
    <w:uiPriority w:val="9"/>
    <w:semiHidden/>
    <w:rsid w:val="00D7497C"/>
    <w:rPr>
      <w:rFonts w:asciiTheme="majorHAnsi" w:eastAsiaTheme="majorEastAsia" w:hAnsiTheme="majorHAnsi" w:cstheme="majorBidi"/>
      <w:i/>
      <w:iCs/>
      <w:color w:val="2E74B5" w:themeColor="accent1" w:themeShade="BF"/>
      <w:lang w:val="en-IE"/>
    </w:rPr>
  </w:style>
  <w:style w:type="character" w:customStyle="1" w:styleId="Heading5Char">
    <w:name w:val="Heading 5 Char"/>
    <w:basedOn w:val="DefaultParagraphFont"/>
    <w:link w:val="Heading5"/>
    <w:uiPriority w:val="9"/>
    <w:semiHidden/>
    <w:rsid w:val="00D7497C"/>
    <w:rPr>
      <w:rFonts w:asciiTheme="majorHAnsi" w:eastAsiaTheme="majorEastAsia" w:hAnsiTheme="majorHAnsi" w:cstheme="majorBidi"/>
      <w:color w:val="2E74B5" w:themeColor="accent1" w:themeShade="BF"/>
      <w:lang w:val="en-IE"/>
    </w:rPr>
  </w:style>
  <w:style w:type="character" w:customStyle="1" w:styleId="Heading6Char">
    <w:name w:val="Heading 6 Char"/>
    <w:basedOn w:val="DefaultParagraphFont"/>
    <w:link w:val="Heading6"/>
    <w:uiPriority w:val="9"/>
    <w:semiHidden/>
    <w:rsid w:val="00D7497C"/>
    <w:rPr>
      <w:rFonts w:asciiTheme="majorHAnsi" w:eastAsiaTheme="majorEastAsia" w:hAnsiTheme="majorHAnsi" w:cstheme="majorBidi"/>
      <w:color w:val="1F4D78" w:themeColor="accent1" w:themeShade="7F"/>
      <w:lang w:val="en-IE"/>
    </w:rPr>
  </w:style>
  <w:style w:type="character" w:customStyle="1" w:styleId="Heading7Char">
    <w:name w:val="Heading 7 Char"/>
    <w:basedOn w:val="DefaultParagraphFont"/>
    <w:link w:val="Heading7"/>
    <w:uiPriority w:val="9"/>
    <w:semiHidden/>
    <w:rsid w:val="00D7497C"/>
    <w:rPr>
      <w:rFonts w:asciiTheme="majorHAnsi" w:eastAsiaTheme="majorEastAsia" w:hAnsiTheme="majorHAnsi" w:cstheme="majorBidi"/>
      <w:i/>
      <w:iCs/>
      <w:color w:val="1F4D78" w:themeColor="accent1" w:themeShade="7F"/>
      <w:lang w:val="en-IE"/>
    </w:rPr>
  </w:style>
  <w:style w:type="character" w:customStyle="1" w:styleId="Heading8Char">
    <w:name w:val="Heading 8 Char"/>
    <w:basedOn w:val="DefaultParagraphFont"/>
    <w:link w:val="Heading8"/>
    <w:uiPriority w:val="9"/>
    <w:semiHidden/>
    <w:rsid w:val="00D7497C"/>
    <w:rPr>
      <w:rFonts w:asciiTheme="majorHAnsi" w:eastAsiaTheme="majorEastAsia" w:hAnsiTheme="majorHAnsi" w:cstheme="majorBidi"/>
      <w:color w:val="272727" w:themeColor="text1" w:themeTint="D8"/>
      <w:sz w:val="21"/>
      <w:szCs w:val="21"/>
      <w:lang w:val="en-IE"/>
    </w:rPr>
  </w:style>
  <w:style w:type="character" w:customStyle="1" w:styleId="Heading9Char">
    <w:name w:val="Heading 9 Char"/>
    <w:basedOn w:val="DefaultParagraphFont"/>
    <w:link w:val="Heading9"/>
    <w:uiPriority w:val="9"/>
    <w:semiHidden/>
    <w:rsid w:val="00D7497C"/>
    <w:rPr>
      <w:rFonts w:asciiTheme="majorHAnsi" w:eastAsiaTheme="majorEastAsia" w:hAnsiTheme="majorHAnsi" w:cstheme="majorBidi"/>
      <w:i/>
      <w:iCs/>
      <w:color w:val="272727" w:themeColor="text1" w:themeTint="D8"/>
      <w:sz w:val="21"/>
      <w:szCs w:val="21"/>
      <w:lang w:val="en-IE"/>
    </w:rPr>
  </w:style>
  <w:style w:type="paragraph" w:styleId="FootnoteText">
    <w:name w:val="footnote text"/>
    <w:basedOn w:val="Normal"/>
    <w:link w:val="FootnoteTextChar"/>
    <w:uiPriority w:val="99"/>
    <w:semiHidden/>
    <w:unhideWhenUsed/>
    <w:rsid w:val="00BA4D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4DFB"/>
    <w:rPr>
      <w:sz w:val="20"/>
      <w:szCs w:val="20"/>
      <w:lang w:val="en-IE"/>
    </w:rPr>
  </w:style>
  <w:style w:type="character" w:styleId="FootnoteReference">
    <w:name w:val="footnote reference"/>
    <w:basedOn w:val="DefaultParagraphFont"/>
    <w:uiPriority w:val="99"/>
    <w:semiHidden/>
    <w:unhideWhenUsed/>
    <w:rsid w:val="00BA4DFB"/>
    <w:rPr>
      <w:vertAlign w:val="superscript"/>
    </w:rPr>
  </w:style>
  <w:style w:type="character" w:styleId="Hyperlink">
    <w:name w:val="Hyperlink"/>
    <w:basedOn w:val="DefaultParagraphFont"/>
    <w:uiPriority w:val="99"/>
    <w:unhideWhenUsed/>
    <w:rsid w:val="00BA4DFB"/>
    <w:rPr>
      <w:color w:val="0563C1" w:themeColor="hyperlink"/>
      <w:u w:val="single"/>
    </w:rPr>
  </w:style>
  <w:style w:type="table" w:styleId="TableGrid">
    <w:name w:val="Table Grid"/>
    <w:basedOn w:val="TableNormal"/>
    <w:uiPriority w:val="39"/>
    <w:rsid w:val="00CF4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627A4"/>
    <w:pPr>
      <w:spacing w:after="200" w:line="240" w:lineRule="auto"/>
      <w:jc w:val="center"/>
    </w:pPr>
    <w:rPr>
      <w:iCs/>
      <w:sz w:val="18"/>
      <w:szCs w:val="18"/>
    </w:rPr>
  </w:style>
  <w:style w:type="paragraph" w:styleId="ListParagraph">
    <w:name w:val="List Paragraph"/>
    <w:basedOn w:val="Normal"/>
    <w:uiPriority w:val="34"/>
    <w:qFormat/>
    <w:rsid w:val="00FD477A"/>
    <w:pPr>
      <w:ind w:left="720"/>
      <w:contextualSpacing/>
    </w:pPr>
  </w:style>
  <w:style w:type="paragraph" w:styleId="Header">
    <w:name w:val="header"/>
    <w:basedOn w:val="Normal"/>
    <w:link w:val="HeaderChar"/>
    <w:uiPriority w:val="99"/>
    <w:unhideWhenUsed/>
    <w:rsid w:val="00373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B9D"/>
    <w:rPr>
      <w:lang w:val="en-IE"/>
    </w:rPr>
  </w:style>
  <w:style w:type="paragraph" w:styleId="Footer">
    <w:name w:val="footer"/>
    <w:basedOn w:val="Normal"/>
    <w:link w:val="FooterChar"/>
    <w:uiPriority w:val="99"/>
    <w:unhideWhenUsed/>
    <w:rsid w:val="00373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B9D"/>
    <w:rPr>
      <w:lang w:val="en-IE"/>
    </w:rPr>
  </w:style>
  <w:style w:type="character" w:styleId="CommentReference">
    <w:name w:val="annotation reference"/>
    <w:basedOn w:val="DefaultParagraphFont"/>
    <w:uiPriority w:val="99"/>
    <w:semiHidden/>
    <w:unhideWhenUsed/>
    <w:rsid w:val="00A06C5B"/>
    <w:rPr>
      <w:sz w:val="16"/>
      <w:szCs w:val="16"/>
    </w:rPr>
  </w:style>
  <w:style w:type="paragraph" w:styleId="CommentText">
    <w:name w:val="annotation text"/>
    <w:basedOn w:val="Normal"/>
    <w:link w:val="CommentTextChar"/>
    <w:uiPriority w:val="99"/>
    <w:semiHidden/>
    <w:unhideWhenUsed/>
    <w:rsid w:val="00A06C5B"/>
    <w:pPr>
      <w:spacing w:line="240" w:lineRule="auto"/>
    </w:pPr>
    <w:rPr>
      <w:sz w:val="20"/>
      <w:szCs w:val="20"/>
    </w:rPr>
  </w:style>
  <w:style w:type="character" w:customStyle="1" w:styleId="CommentTextChar">
    <w:name w:val="Comment Text Char"/>
    <w:basedOn w:val="DefaultParagraphFont"/>
    <w:link w:val="CommentText"/>
    <w:uiPriority w:val="99"/>
    <w:semiHidden/>
    <w:rsid w:val="00A06C5B"/>
    <w:rPr>
      <w:sz w:val="20"/>
      <w:szCs w:val="20"/>
      <w:lang w:val="en-IE"/>
    </w:rPr>
  </w:style>
  <w:style w:type="paragraph" w:styleId="CommentSubject">
    <w:name w:val="annotation subject"/>
    <w:basedOn w:val="CommentText"/>
    <w:next w:val="CommentText"/>
    <w:link w:val="CommentSubjectChar"/>
    <w:uiPriority w:val="99"/>
    <w:semiHidden/>
    <w:unhideWhenUsed/>
    <w:rsid w:val="00A06C5B"/>
    <w:rPr>
      <w:b/>
      <w:bCs/>
    </w:rPr>
  </w:style>
  <w:style w:type="character" w:customStyle="1" w:styleId="CommentSubjectChar">
    <w:name w:val="Comment Subject Char"/>
    <w:basedOn w:val="CommentTextChar"/>
    <w:link w:val="CommentSubject"/>
    <w:uiPriority w:val="99"/>
    <w:semiHidden/>
    <w:rsid w:val="00A06C5B"/>
    <w:rPr>
      <w:b/>
      <w:bCs/>
      <w:sz w:val="20"/>
      <w:szCs w:val="20"/>
      <w:lang w:val="en-IE"/>
    </w:rPr>
  </w:style>
  <w:style w:type="paragraph" w:styleId="BalloonText">
    <w:name w:val="Balloon Text"/>
    <w:basedOn w:val="Normal"/>
    <w:link w:val="BalloonTextChar"/>
    <w:uiPriority w:val="99"/>
    <w:semiHidden/>
    <w:unhideWhenUsed/>
    <w:rsid w:val="00A06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C5B"/>
    <w:rPr>
      <w:rFonts w:ascii="Segoe UI" w:hAnsi="Segoe UI" w:cs="Segoe UI"/>
      <w:sz w:val="18"/>
      <w:szCs w:val="18"/>
      <w:lang w:val="en-IE"/>
    </w:rPr>
  </w:style>
  <w:style w:type="paragraph" w:styleId="Revision">
    <w:name w:val="Revision"/>
    <w:hidden/>
    <w:uiPriority w:val="99"/>
    <w:semiHidden/>
    <w:rsid w:val="00D91E06"/>
    <w:pPr>
      <w:spacing w:after="0" w:line="240" w:lineRule="auto"/>
    </w:pPr>
    <w:rPr>
      <w:lang w:val="en-IE"/>
    </w:rPr>
  </w:style>
  <w:style w:type="character" w:styleId="UnresolvedMention">
    <w:name w:val="Unresolved Mention"/>
    <w:basedOn w:val="DefaultParagraphFont"/>
    <w:uiPriority w:val="99"/>
    <w:semiHidden/>
    <w:unhideWhenUsed/>
    <w:rsid w:val="008C50A1"/>
    <w:rPr>
      <w:color w:val="605E5C"/>
      <w:shd w:val="clear" w:color="auto" w:fill="E1DFDD"/>
    </w:rPr>
  </w:style>
  <w:style w:type="character" w:styleId="LineNumber">
    <w:name w:val="line number"/>
    <w:basedOn w:val="DefaultParagraphFont"/>
    <w:uiPriority w:val="99"/>
    <w:semiHidden/>
    <w:unhideWhenUsed/>
    <w:rsid w:val="00316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17/745/2020-04-24" TargetMode="External"/><Relationship Id="rId7" Type="http://schemas.openxmlformats.org/officeDocument/2006/relationships/hyperlink" Target="https://health.ec.europa.eu/system/files/2023-03/mdr_proposal_extension-q-n-a_0.pdf" TargetMode="External"/><Relationship Id="rId2" Type="http://schemas.openxmlformats.org/officeDocument/2006/relationships/hyperlink" Target="http://data.europa.eu/eli/reg_impl/2023/1194/oj" TargetMode="External"/><Relationship Id="rId1" Type="http://schemas.openxmlformats.org/officeDocument/2006/relationships/hyperlink" Target="http://data.europa.eu/eli/reg_impl/2022/2346/oj" TargetMode="External"/><Relationship Id="rId6" Type="http://schemas.openxmlformats.org/officeDocument/2006/relationships/hyperlink" Target="http://data.europa.eu/eli/reg/2017/745/2020-04-24" TargetMode="External"/><Relationship Id="rId5" Type="http://schemas.openxmlformats.org/officeDocument/2006/relationships/hyperlink" Target="http://data.europa.eu/eli/dir/1993/42/2007-10-11" TargetMode="External"/><Relationship Id="rId4" Type="http://schemas.openxmlformats.org/officeDocument/2006/relationships/hyperlink" Target="http://data.europa.eu/eli/reg/2023/60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230A7-2822-476F-B810-4DA072D04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7</Pages>
  <Words>2498</Words>
  <Characters>13169</Characters>
  <Application>Microsoft Office Word</Application>
  <DocSecurity>0</DocSecurity>
  <Lines>231</Lines>
  <Paragraphs>92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CALLIGARO Gabriele (SANTE)</dc:creator>
  <cp:keywords/>
  <dc:description/>
  <cp:lastModifiedBy>CALLIGARO Gabriele (SANTE)</cp:lastModifiedBy>
  <cp:revision>7</cp:revision>
  <dcterms:created xsi:type="dcterms:W3CDTF">2023-07-14T08:12:00Z</dcterms:created>
  <dcterms:modified xsi:type="dcterms:W3CDTF">2023-07-18T12:43:00Z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2023-05-10T10:52:43Z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28dce974-67b3-4542-8902-3ce1fcba0a78</vt:lpwstr>
  </property>
  <property fmtid="{D5CDD505-2E9C-101B-9397-08002B2CF9AE}" pid="8" name="MSIP_Label_6bd9ddd1-4d20-43f6-abfa-fc3c07406f94_ContentBits">
    <vt:lpwstr>0</vt:lpwstr>
  </property>
</Properties>
</file>