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9CD0" w14:textId="77777777" w:rsidR="00362189" w:rsidRDefault="00362189" w:rsidP="002279FC">
      <w:pPr>
        <w:spacing w:line="300" w:lineRule="atLeast"/>
        <w:jc w:val="center"/>
        <w:rPr>
          <w:rFonts w:cstheme="minorHAnsi"/>
        </w:rPr>
      </w:pPr>
      <w:r w:rsidRPr="00003AE8">
        <w:rPr>
          <w:rFonts w:cstheme="minorHAnsi"/>
        </w:rPr>
        <w:t>Strategiepapier 1.0</w:t>
      </w:r>
    </w:p>
    <w:p w14:paraId="273FBA9F" w14:textId="77777777" w:rsidR="003803DB" w:rsidRPr="00003AE8" w:rsidRDefault="003803DB" w:rsidP="002279FC">
      <w:pPr>
        <w:spacing w:line="300" w:lineRule="atLeast"/>
        <w:jc w:val="center"/>
        <w:rPr>
          <w:rFonts w:cstheme="minorHAnsi"/>
        </w:rPr>
      </w:pPr>
    </w:p>
    <w:p w14:paraId="52E71E2F" w14:textId="77777777" w:rsidR="003D6978" w:rsidRDefault="003D6978" w:rsidP="002279FC">
      <w:pPr>
        <w:pBdr>
          <w:top w:val="single" w:sz="4" w:space="2" w:color="auto" w:shadow="1"/>
          <w:left w:val="single" w:sz="4" w:space="4" w:color="auto" w:shadow="1"/>
          <w:bottom w:val="single" w:sz="4" w:space="1" w:color="auto" w:shadow="1"/>
          <w:right w:val="single" w:sz="4" w:space="4" w:color="auto" w:shadow="1"/>
        </w:pBdr>
        <w:tabs>
          <w:tab w:val="left" w:pos="794"/>
        </w:tabs>
        <w:spacing w:after="120" w:line="300" w:lineRule="atLeast"/>
        <w:jc w:val="center"/>
        <w:rPr>
          <w:rFonts w:cstheme="minorHAnsi"/>
          <w:b/>
        </w:rPr>
      </w:pPr>
    </w:p>
    <w:p w14:paraId="077DC24D" w14:textId="77777777" w:rsidR="00362189" w:rsidRDefault="00362189" w:rsidP="002279FC">
      <w:pPr>
        <w:pBdr>
          <w:top w:val="single" w:sz="4" w:space="2" w:color="auto" w:shadow="1"/>
          <w:left w:val="single" w:sz="4" w:space="4" w:color="auto" w:shadow="1"/>
          <w:bottom w:val="single" w:sz="4" w:space="1" w:color="auto" w:shadow="1"/>
          <w:right w:val="single" w:sz="4" w:space="4" w:color="auto" w:shadow="1"/>
        </w:pBdr>
        <w:tabs>
          <w:tab w:val="left" w:pos="794"/>
        </w:tabs>
        <w:spacing w:after="120" w:line="300" w:lineRule="atLeast"/>
        <w:jc w:val="center"/>
        <w:rPr>
          <w:rFonts w:cstheme="minorHAnsi"/>
          <w:b/>
          <w:bCs/>
          <w:lang w:eastAsia="de-DE"/>
        </w:rPr>
      </w:pPr>
      <w:r w:rsidRPr="00003AE8">
        <w:rPr>
          <w:rFonts w:cstheme="minorHAnsi"/>
          <w:b/>
        </w:rPr>
        <w:t xml:space="preserve">Verbesserung der Rahmenbedingungen für den Pharmabereich in Deutschland </w:t>
      </w:r>
      <w:r w:rsidRPr="00003AE8">
        <w:rPr>
          <w:rFonts w:cstheme="minorHAnsi"/>
          <w:b/>
        </w:rPr>
        <w:br/>
      </w:r>
      <w:r w:rsidRPr="00003AE8">
        <w:rPr>
          <w:rFonts w:cstheme="minorHAnsi"/>
          <w:b/>
          <w:bCs/>
          <w:lang w:eastAsia="de-DE"/>
        </w:rPr>
        <w:t>Handlungskonzepte für den Forschungs- und Produktionsstandort</w:t>
      </w:r>
    </w:p>
    <w:p w14:paraId="7E93B38C" w14:textId="77777777" w:rsidR="003D6978" w:rsidRPr="00003AE8" w:rsidRDefault="003D6978" w:rsidP="002279FC">
      <w:pPr>
        <w:pBdr>
          <w:top w:val="single" w:sz="4" w:space="2" w:color="auto" w:shadow="1"/>
          <w:left w:val="single" w:sz="4" w:space="4" w:color="auto" w:shadow="1"/>
          <w:bottom w:val="single" w:sz="4" w:space="1" w:color="auto" w:shadow="1"/>
          <w:right w:val="single" w:sz="4" w:space="4" w:color="auto" w:shadow="1"/>
        </w:pBdr>
        <w:tabs>
          <w:tab w:val="left" w:pos="794"/>
        </w:tabs>
        <w:spacing w:after="120" w:line="300" w:lineRule="atLeast"/>
        <w:jc w:val="center"/>
        <w:rPr>
          <w:rFonts w:cstheme="minorHAnsi"/>
          <w:i/>
          <w:iCs/>
          <w:u w:val="single"/>
          <w:lang w:eastAsia="de-DE"/>
        </w:rPr>
      </w:pPr>
    </w:p>
    <w:p w14:paraId="035C0F2E" w14:textId="77777777" w:rsidR="00362189" w:rsidRDefault="00362189" w:rsidP="002279FC">
      <w:pPr>
        <w:spacing w:after="120" w:line="300" w:lineRule="atLeast"/>
        <w:rPr>
          <w:rFonts w:cstheme="minorHAnsi"/>
        </w:rPr>
      </w:pPr>
    </w:p>
    <w:p w14:paraId="7DBEFB00" w14:textId="77777777" w:rsidR="00727055" w:rsidRPr="00003AE8" w:rsidRDefault="00727055" w:rsidP="002279FC">
      <w:pPr>
        <w:spacing w:after="120" w:line="300" w:lineRule="atLeast"/>
        <w:rPr>
          <w:rFonts w:cstheme="minorHAnsi"/>
        </w:rPr>
      </w:pPr>
    </w:p>
    <w:p w14:paraId="22B01E0C" w14:textId="77777777" w:rsidR="00362189" w:rsidRPr="00003AE8" w:rsidRDefault="00D0103F" w:rsidP="002279FC">
      <w:pPr>
        <w:spacing w:after="120" w:line="300" w:lineRule="atLeast"/>
        <w:rPr>
          <w:rFonts w:cstheme="minorHAnsi"/>
          <w:b/>
          <w:bCs/>
        </w:rPr>
      </w:pPr>
      <w:r w:rsidRPr="00003AE8">
        <w:rPr>
          <w:rFonts w:cstheme="minorHAnsi"/>
          <w:b/>
          <w:bCs/>
        </w:rPr>
        <w:t xml:space="preserve">(1) </w:t>
      </w:r>
      <w:r w:rsidR="00362189" w:rsidRPr="00003AE8">
        <w:rPr>
          <w:rFonts w:cstheme="minorHAnsi"/>
          <w:b/>
          <w:bCs/>
        </w:rPr>
        <w:t>Einleitung</w:t>
      </w:r>
    </w:p>
    <w:p w14:paraId="597D6D54" w14:textId="7821F77C" w:rsidR="00362189" w:rsidRPr="00003AE8" w:rsidRDefault="00362189" w:rsidP="002279FC">
      <w:pPr>
        <w:spacing w:line="300" w:lineRule="atLeast"/>
        <w:rPr>
          <w:rFonts w:cstheme="minorHAnsi"/>
        </w:rPr>
      </w:pPr>
      <w:r w:rsidRPr="00003AE8">
        <w:rPr>
          <w:rFonts w:cstheme="minorHAnsi"/>
        </w:rPr>
        <w:t xml:space="preserve">Die deutsche Pharmaindustrie ist nicht nur Motor für Innovation, Wertschöpfung und Beschäftigung in Deutschland, sondern befördert </w:t>
      </w:r>
      <w:r w:rsidR="00CE55F3">
        <w:rPr>
          <w:rFonts w:cstheme="minorHAnsi"/>
        </w:rPr>
        <w:t>auch</w:t>
      </w:r>
      <w:r w:rsidR="00FA0B33">
        <w:rPr>
          <w:rFonts w:cstheme="minorHAnsi"/>
        </w:rPr>
        <w:t xml:space="preserve"> </w:t>
      </w:r>
      <w:r w:rsidRPr="00003AE8">
        <w:rPr>
          <w:rFonts w:cstheme="minorHAnsi"/>
        </w:rPr>
        <w:t>den medizinischen Fortschritt und ist damit zentral für die Gesundheit der Bevölkerung in Deutschland. Die pharmazeutische Industrie ist damit ein Schlüssel</w:t>
      </w:r>
      <w:r w:rsidR="00003AE8">
        <w:rPr>
          <w:rFonts w:cstheme="minorHAnsi"/>
        </w:rPr>
        <w:softHyphen/>
      </w:r>
      <w:r w:rsidR="002279FC">
        <w:rPr>
          <w:rFonts w:cstheme="minorHAnsi"/>
        </w:rPr>
        <w:softHyphen/>
      </w:r>
      <w:r w:rsidRPr="00003AE8">
        <w:rPr>
          <w:rFonts w:cstheme="minorHAnsi"/>
        </w:rPr>
        <w:t>sektor der deutschen Volkswirtschaft und eine langfristig starke pharmazeutische Industrie ist von großer Bedeutung für die deutsche Volkswirtschaft. Sie trägt wesentlich zu Wohlstand, Wachs</w:t>
      </w:r>
      <w:r w:rsidR="00003AE8">
        <w:rPr>
          <w:rFonts w:cstheme="minorHAnsi"/>
        </w:rPr>
        <w:softHyphen/>
      </w:r>
      <w:r w:rsidRPr="00003AE8">
        <w:rPr>
          <w:rFonts w:cstheme="minorHAnsi"/>
        </w:rPr>
        <w:t xml:space="preserve">tum und Beschäftigung bei. </w:t>
      </w:r>
      <w:r w:rsidR="00CE55F3">
        <w:rPr>
          <w:rFonts w:cstheme="minorHAnsi"/>
        </w:rPr>
        <w:t>I</w:t>
      </w:r>
      <w:r w:rsidRPr="00003AE8">
        <w:rPr>
          <w:rFonts w:cstheme="minorHAnsi"/>
        </w:rPr>
        <w:t>nnovative Arzneimittel sind zudem unabdingbar für die Gesundheit der Menschen und wesentlicher Treiber für den medizinischen Fortschritt.</w:t>
      </w:r>
    </w:p>
    <w:p w14:paraId="3BD8077B" w14:textId="009FF5E7" w:rsidR="009535F2" w:rsidRDefault="00362189" w:rsidP="002279FC">
      <w:pPr>
        <w:spacing w:after="120" w:line="300" w:lineRule="atLeast"/>
        <w:rPr>
          <w:rFonts w:cstheme="minorHAnsi"/>
          <w:lang w:eastAsia="zh-CN"/>
        </w:rPr>
      </w:pPr>
      <w:r w:rsidRPr="00003AE8">
        <w:rPr>
          <w:rFonts w:cstheme="minorHAnsi"/>
          <w:lang w:eastAsia="zh-CN"/>
        </w:rPr>
        <w:t>Zudem ist die Pharmabranche ein bedeutender Teil der kritischen Infrastruktur – sie ist essentiell für die medizinische Versorgung und bedarf einer besonderen Betrach</w:t>
      </w:r>
      <w:r w:rsidRPr="00003AE8">
        <w:rPr>
          <w:rFonts w:cstheme="minorHAnsi"/>
          <w:lang w:eastAsia="zh-CN"/>
        </w:rPr>
        <w:softHyphen/>
        <w:t>tung für Bedrohungen und Krisen</w:t>
      </w:r>
      <w:r w:rsidRPr="00003AE8">
        <w:rPr>
          <w:rFonts w:cstheme="minorHAnsi"/>
          <w:lang w:eastAsia="zh-CN"/>
        </w:rPr>
        <w:softHyphen/>
        <w:t xml:space="preserve">lagen. Die Covid-19-Pandemie hat </w:t>
      </w:r>
      <w:r w:rsidR="000F50B4">
        <w:rPr>
          <w:rFonts w:cstheme="minorHAnsi"/>
          <w:lang w:eastAsia="zh-CN"/>
        </w:rPr>
        <w:t>dabei insbesondere zwei wesentliche Elemente auf</w:t>
      </w:r>
      <w:r w:rsidRPr="00003AE8">
        <w:rPr>
          <w:rFonts w:cstheme="minorHAnsi"/>
          <w:lang w:eastAsia="zh-CN"/>
        </w:rPr>
        <w:t>gezeigt</w:t>
      </w:r>
      <w:r w:rsidR="009535F2">
        <w:rPr>
          <w:rFonts w:cstheme="minorHAnsi"/>
          <w:lang w:eastAsia="zh-CN"/>
        </w:rPr>
        <w:t>:</w:t>
      </w:r>
      <w:r w:rsidR="009535F2" w:rsidRPr="00003AE8">
        <w:rPr>
          <w:rFonts w:cstheme="minorHAnsi"/>
          <w:lang w:eastAsia="zh-CN"/>
        </w:rPr>
        <w:t xml:space="preserve"> </w:t>
      </w:r>
    </w:p>
    <w:p w14:paraId="69A3DCF6" w14:textId="1BDEE3EC" w:rsidR="00362189" w:rsidRPr="00003AE8" w:rsidRDefault="00697CC9" w:rsidP="002279FC">
      <w:pPr>
        <w:spacing w:after="120" w:line="300" w:lineRule="atLeast"/>
        <w:rPr>
          <w:rFonts w:cstheme="minorHAnsi"/>
          <w:lang w:eastAsia="zh-CN"/>
        </w:rPr>
      </w:pPr>
      <w:r w:rsidRPr="00B375CD">
        <w:rPr>
          <w:rFonts w:cstheme="minorHAnsi"/>
          <w:b/>
          <w:lang w:eastAsia="zh-CN"/>
        </w:rPr>
        <w:t>Erstens</w:t>
      </w:r>
      <w:r w:rsidRPr="002C4668">
        <w:rPr>
          <w:rFonts w:cstheme="minorHAnsi"/>
          <w:lang w:eastAsia="zh-CN"/>
        </w:rPr>
        <w:t xml:space="preserve"> hat d</w:t>
      </w:r>
      <w:r w:rsidR="00362189" w:rsidRPr="002C4668">
        <w:rPr>
          <w:rFonts w:cstheme="minorHAnsi"/>
          <w:lang w:eastAsia="zh-CN"/>
        </w:rPr>
        <w:t>ie</w:t>
      </w:r>
      <w:r w:rsidR="00362189" w:rsidRPr="00003AE8">
        <w:rPr>
          <w:rFonts w:cstheme="minorHAnsi"/>
          <w:lang w:eastAsia="zh-CN"/>
        </w:rPr>
        <w:t xml:space="preserve"> Pandemie </w:t>
      </w:r>
      <w:r w:rsidR="000F50B4">
        <w:rPr>
          <w:rFonts w:cstheme="minorHAnsi"/>
          <w:lang w:eastAsia="zh-CN"/>
        </w:rPr>
        <w:t>verdeutlicht</w:t>
      </w:r>
      <w:r w:rsidR="00362189" w:rsidRPr="00003AE8">
        <w:rPr>
          <w:rFonts w:cstheme="minorHAnsi"/>
          <w:lang w:eastAsia="zh-CN"/>
        </w:rPr>
        <w:t>, welche Stärken die pharmazeutische Industrie in der Umsetzung von Forschung und Entwicklung hin zu lebens</w:t>
      </w:r>
      <w:r w:rsidR="00362189" w:rsidRPr="00003AE8">
        <w:rPr>
          <w:rFonts w:cstheme="minorHAnsi"/>
          <w:lang w:eastAsia="zh-CN"/>
        </w:rPr>
        <w:softHyphen/>
        <w:t>ret</w:t>
      </w:r>
      <w:r w:rsidR="00362189" w:rsidRPr="00003AE8">
        <w:rPr>
          <w:rFonts w:cstheme="minorHAnsi"/>
          <w:lang w:eastAsia="zh-CN"/>
        </w:rPr>
        <w:softHyphen/>
        <w:t>ten</w:t>
      </w:r>
      <w:r w:rsidR="00362189" w:rsidRPr="00003AE8">
        <w:rPr>
          <w:rFonts w:cstheme="minorHAnsi"/>
          <w:lang w:eastAsia="zh-CN"/>
        </w:rPr>
        <w:softHyphen/>
        <w:t xml:space="preserve">den Produkten besitzt und welche erhebliche Wertschöpfung sich daraus für den Wirtschaftsstandort Deutschland ergeben kann. </w:t>
      </w:r>
    </w:p>
    <w:p w14:paraId="4E60BD0E" w14:textId="36A74AF6" w:rsidR="00362189" w:rsidRPr="00003AE8" w:rsidRDefault="00362189" w:rsidP="002279FC">
      <w:pPr>
        <w:spacing w:after="120" w:line="300" w:lineRule="atLeast"/>
        <w:rPr>
          <w:rFonts w:cstheme="minorHAnsi"/>
        </w:rPr>
      </w:pPr>
      <w:r w:rsidRPr="00003AE8">
        <w:rPr>
          <w:rFonts w:cstheme="minorHAnsi"/>
        </w:rPr>
        <w:t>Gemessen am Anteil der internen Aufwendungen für Forschung und Entwicklung am Umsatz ist die Pharmaindustrie die forschungsintensivste Branche in Deutschland</w:t>
      </w:r>
      <w:r w:rsidR="004760B3">
        <w:rPr>
          <w:rFonts w:cstheme="minorHAnsi"/>
        </w:rPr>
        <w:t xml:space="preserve"> –sie investiert rund 15% ihres Branchenumsatzes in Forschungs- und Entwicklungsaktivitäten</w:t>
      </w:r>
      <w:r w:rsidRPr="00003AE8">
        <w:rPr>
          <w:rFonts w:cstheme="minorHAnsi"/>
        </w:rPr>
        <w:t xml:space="preserve">. Zudem ist Deutschland einer der wichtigsten Biotech-Standorte weltweit. Im europäischen Vergleich der Pharmamärkte steht Deutschland gemessen am Umsatz (56,5 Mrd. € im Jahr 2022) auf Platz </w:t>
      </w:r>
      <w:r w:rsidR="00003AE8" w:rsidRPr="00003AE8">
        <w:rPr>
          <w:rFonts w:cstheme="minorHAnsi"/>
        </w:rPr>
        <w:t>1</w:t>
      </w:r>
      <w:r w:rsidR="004760B3">
        <w:rPr>
          <w:rFonts w:cstheme="minorHAnsi"/>
        </w:rPr>
        <w:t xml:space="preserve"> und </w:t>
      </w:r>
      <w:r w:rsidR="00CE55F3">
        <w:rPr>
          <w:rFonts w:cstheme="minorHAnsi"/>
        </w:rPr>
        <w:t xml:space="preserve">ist </w:t>
      </w:r>
      <w:r w:rsidR="004760B3">
        <w:rPr>
          <w:rFonts w:cstheme="minorHAnsi"/>
        </w:rPr>
        <w:t>m</w:t>
      </w:r>
      <w:r w:rsidR="004760B3" w:rsidRPr="004760B3">
        <w:rPr>
          <w:rFonts w:cstheme="minorHAnsi"/>
        </w:rPr>
        <w:t xml:space="preserve">it einem globalen Marktanteil von rund vier </w:t>
      </w:r>
      <w:r w:rsidR="005E119D">
        <w:rPr>
          <w:rFonts w:cstheme="minorHAnsi"/>
        </w:rPr>
        <w:t xml:space="preserve">Prozent </w:t>
      </w:r>
      <w:r w:rsidR="004760B3" w:rsidRPr="004760B3">
        <w:rPr>
          <w:rFonts w:cstheme="minorHAnsi"/>
        </w:rPr>
        <w:t>auch der viertgrößte Pharmamarkt</w:t>
      </w:r>
      <w:r w:rsidRPr="00003AE8">
        <w:rPr>
          <w:rFonts w:cstheme="minorHAnsi"/>
        </w:rPr>
        <w:t xml:space="preserve">. Zudem investieren die Pharmaunternehmen </w:t>
      </w:r>
      <w:r w:rsidR="004760B3">
        <w:rPr>
          <w:rFonts w:cstheme="minorHAnsi"/>
        </w:rPr>
        <w:t xml:space="preserve">in Deutschland mit </w:t>
      </w:r>
      <w:r w:rsidRPr="00003AE8">
        <w:rPr>
          <w:rFonts w:cstheme="minorHAnsi"/>
        </w:rPr>
        <w:t xml:space="preserve">mehr als </w:t>
      </w:r>
      <w:r w:rsidRPr="00003AE8">
        <w:rPr>
          <w:rFonts w:cstheme="minorHAnsi"/>
          <w:bCs/>
        </w:rPr>
        <w:t>acht Milliarden Euro</w:t>
      </w:r>
      <w:r w:rsidRPr="00003AE8">
        <w:rPr>
          <w:rFonts w:cstheme="minorHAnsi"/>
        </w:rPr>
        <w:t xml:space="preserve"> </w:t>
      </w:r>
      <w:r w:rsidR="00CD5146">
        <w:rPr>
          <w:rFonts w:cstheme="minorHAnsi"/>
        </w:rPr>
        <w:t xml:space="preserve">erheblich </w:t>
      </w:r>
      <w:r w:rsidRPr="00003AE8">
        <w:rPr>
          <w:rFonts w:cstheme="minorHAnsi"/>
        </w:rPr>
        <w:t xml:space="preserve">in </w:t>
      </w:r>
      <w:r w:rsidR="00CD5146">
        <w:rPr>
          <w:rFonts w:cstheme="minorHAnsi"/>
        </w:rPr>
        <w:t xml:space="preserve">die </w:t>
      </w:r>
      <w:r w:rsidRPr="00003AE8">
        <w:rPr>
          <w:rFonts w:cstheme="minorHAnsi"/>
        </w:rPr>
        <w:t>Forschung und Entwicklung</w:t>
      </w:r>
      <w:r w:rsidR="00CD5146">
        <w:rPr>
          <w:rFonts w:cstheme="minorHAnsi"/>
        </w:rPr>
        <w:t xml:space="preserve"> neuer Arzneimittel</w:t>
      </w:r>
      <w:r w:rsidRPr="00003AE8">
        <w:rPr>
          <w:rFonts w:cstheme="minorHAnsi"/>
        </w:rPr>
        <w:t>.</w:t>
      </w:r>
    </w:p>
    <w:p w14:paraId="7041AD4E" w14:textId="71A7DB3C" w:rsidR="00362189" w:rsidRPr="00003AE8" w:rsidRDefault="00123C24" w:rsidP="002279FC">
      <w:pPr>
        <w:spacing w:line="300" w:lineRule="atLeast"/>
        <w:rPr>
          <w:rFonts w:cstheme="minorHAnsi"/>
        </w:rPr>
      </w:pPr>
      <w:r w:rsidRPr="00123C24">
        <w:rPr>
          <w:rFonts w:cstheme="minorHAnsi"/>
        </w:rPr>
        <w:t xml:space="preserve">Angesichts sinkender Energiepreise und besserer Rahmenbedingungen wollen </w:t>
      </w:r>
      <w:r w:rsidR="00BB431F">
        <w:rPr>
          <w:rFonts w:cstheme="minorHAnsi"/>
        </w:rPr>
        <w:t xml:space="preserve">laut </w:t>
      </w:r>
      <w:r w:rsidR="00BB431F" w:rsidRPr="00BB431F">
        <w:rPr>
          <w:rFonts w:cstheme="minorHAnsi"/>
        </w:rPr>
        <w:t>unveröffentlichten Gesundheitsreport des Deutschen Industrie- und Handelskammertags (DIHK</w:t>
      </w:r>
      <w:r w:rsidR="00BB431F">
        <w:rPr>
          <w:rFonts w:cstheme="minorHAnsi"/>
        </w:rPr>
        <w:t>)</w:t>
      </w:r>
      <w:r w:rsidR="00BB431F" w:rsidRPr="00BB431F">
        <w:rPr>
          <w:rFonts w:cstheme="minorHAnsi"/>
        </w:rPr>
        <w:t xml:space="preserve"> </w:t>
      </w:r>
      <w:r w:rsidRPr="00123C24">
        <w:rPr>
          <w:rFonts w:cstheme="minorHAnsi"/>
        </w:rPr>
        <w:t>wieder mehr Pharmafirmen in Deutschland investieren</w:t>
      </w:r>
      <w:r>
        <w:rPr>
          <w:rFonts w:cstheme="minorHAnsi"/>
        </w:rPr>
        <w:t xml:space="preserve">. </w:t>
      </w:r>
      <w:r w:rsidR="00362189" w:rsidRPr="00003AE8">
        <w:rPr>
          <w:rFonts w:cstheme="minorHAnsi"/>
        </w:rPr>
        <w:t xml:space="preserve">Die Ausgangssituation für eine Fortsetzung dieser Erfolgsstory ist </w:t>
      </w:r>
      <w:r>
        <w:rPr>
          <w:rFonts w:cstheme="minorHAnsi"/>
        </w:rPr>
        <w:t xml:space="preserve">daher </w:t>
      </w:r>
      <w:r w:rsidR="00362189" w:rsidRPr="00003AE8">
        <w:rPr>
          <w:rFonts w:cstheme="minorHAnsi"/>
        </w:rPr>
        <w:t xml:space="preserve">vielversprechend. Die vergangenen Jahre haben jedoch gezeigt, dass der </w:t>
      </w:r>
      <w:r w:rsidR="00CD5146">
        <w:rPr>
          <w:rFonts w:cstheme="minorHAnsi"/>
        </w:rPr>
        <w:t>Forschungs- und Entwicklungss</w:t>
      </w:r>
      <w:r w:rsidR="00362189" w:rsidRPr="00003AE8">
        <w:rPr>
          <w:rFonts w:cstheme="minorHAnsi"/>
        </w:rPr>
        <w:t xml:space="preserve">tandort Deutschland </w:t>
      </w:r>
      <w:r w:rsidR="00CD5146">
        <w:rPr>
          <w:rFonts w:cstheme="minorHAnsi"/>
        </w:rPr>
        <w:t>im internationalen Bereich an Attraktivität verloren hat:</w:t>
      </w:r>
      <w:r w:rsidR="00CD5146" w:rsidRPr="00CD5146">
        <w:t xml:space="preserve"> </w:t>
      </w:r>
      <w:r w:rsidR="00CD5146" w:rsidRPr="00CD5146">
        <w:rPr>
          <w:rFonts w:cstheme="minorHAnsi"/>
        </w:rPr>
        <w:t>War Deutschland im Jahr 2016 mit 641 von Pharmafirmen veranlassten klinischen Studien noch weltweite Nummer 2 nach den USA, steht es 2021 Clinicaltrials.gov zufolge mit 589 solchen Studien nur noch auf Platz 6.</w:t>
      </w:r>
      <w:r w:rsidR="00CD5146">
        <w:rPr>
          <w:rFonts w:cstheme="minorHAnsi"/>
        </w:rPr>
        <w:t xml:space="preserve"> </w:t>
      </w:r>
    </w:p>
    <w:p w14:paraId="22A286C5" w14:textId="40F95032" w:rsidR="00362189" w:rsidRPr="000D254F" w:rsidRDefault="000D254F" w:rsidP="002279FC">
      <w:pPr>
        <w:spacing w:after="120" w:line="300" w:lineRule="atLeast"/>
        <w:rPr>
          <w:rFonts w:cstheme="minorHAnsi"/>
        </w:rPr>
      </w:pPr>
      <w:r>
        <w:rPr>
          <w:rFonts w:cstheme="minorHAnsi"/>
        </w:rPr>
        <w:t>Auch</w:t>
      </w:r>
      <w:r w:rsidRPr="000D254F">
        <w:rPr>
          <w:rFonts w:cstheme="minorHAnsi"/>
        </w:rPr>
        <w:t xml:space="preserve"> </w:t>
      </w:r>
      <w:r w:rsidR="00362189" w:rsidRPr="000D254F">
        <w:rPr>
          <w:rFonts w:cstheme="minorHAnsi"/>
        </w:rPr>
        <w:t>kann sich der Standort Deutschland dem kontinuierlichen Wandel der Wett</w:t>
      </w:r>
      <w:r w:rsidR="00362189" w:rsidRPr="000D254F">
        <w:rPr>
          <w:rFonts w:cstheme="minorHAnsi"/>
        </w:rPr>
        <w:softHyphen/>
        <w:t>bewerbs</w:t>
      </w:r>
      <w:r w:rsidR="00AF2D33" w:rsidRPr="000D254F">
        <w:rPr>
          <w:rFonts w:cstheme="minorHAnsi"/>
        </w:rPr>
        <w:softHyphen/>
      </w:r>
      <w:r w:rsidR="00362189" w:rsidRPr="000D254F">
        <w:rPr>
          <w:rFonts w:cstheme="minorHAnsi"/>
        </w:rPr>
        <w:t xml:space="preserve">bedingungen weltweit nicht entziehen. IW Köln zeigt dies am Beispiel der Zulassungen für </w:t>
      </w:r>
      <w:r>
        <w:rPr>
          <w:rFonts w:cstheme="minorHAnsi"/>
        </w:rPr>
        <w:t>neue Produktionsstandorte zur Herstellung von b</w:t>
      </w:r>
      <w:r w:rsidR="00362189" w:rsidRPr="000D254F">
        <w:rPr>
          <w:rFonts w:cstheme="minorHAnsi"/>
        </w:rPr>
        <w:t>iopharmazeutische</w:t>
      </w:r>
      <w:r>
        <w:rPr>
          <w:rFonts w:cstheme="minorHAnsi"/>
        </w:rPr>
        <w:t>n</w:t>
      </w:r>
      <w:r w:rsidR="00362189" w:rsidRPr="000D254F">
        <w:rPr>
          <w:rFonts w:cstheme="minorHAnsi"/>
        </w:rPr>
        <w:t xml:space="preserve"> Wirkstoffe</w:t>
      </w:r>
      <w:r>
        <w:rPr>
          <w:rFonts w:cstheme="minorHAnsi"/>
        </w:rPr>
        <w:t>n</w:t>
      </w:r>
      <w:r w:rsidR="00362189" w:rsidRPr="000D254F">
        <w:rPr>
          <w:rFonts w:cstheme="minorHAnsi"/>
        </w:rPr>
        <w:t>:</w:t>
      </w:r>
    </w:p>
    <w:p w14:paraId="5018E9BD" w14:textId="77777777" w:rsidR="00362189" w:rsidRPr="000D254F" w:rsidRDefault="00362189" w:rsidP="003803DB">
      <w:pPr>
        <w:spacing w:after="120" w:line="300" w:lineRule="atLeast"/>
        <w:jc w:val="center"/>
        <w:rPr>
          <w:rFonts w:cstheme="minorHAnsi"/>
        </w:rPr>
      </w:pPr>
      <w:r w:rsidRPr="000D254F">
        <w:rPr>
          <w:rFonts w:cstheme="minorHAnsi"/>
          <w:noProof/>
          <w:lang w:eastAsia="de-DE"/>
        </w:rPr>
        <w:lastRenderedPageBreak/>
        <w:drawing>
          <wp:inline distT="0" distB="0" distL="0" distR="0" wp14:anchorId="19CD1A79" wp14:editId="6C7D6135">
            <wp:extent cx="3855720" cy="25679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8" cstate="print">
                      <a:extLst>
                        <a:ext uri="{28A0092B-C50C-407E-A947-70E740481C1C}">
                          <a14:useLocalDpi xmlns:a14="http://schemas.microsoft.com/office/drawing/2010/main" val="0"/>
                        </a:ext>
                      </a:extLst>
                    </a:blip>
                    <a:srcRect l="55444" t="26784" r="2888" b="18649"/>
                    <a:stretch>
                      <a:fillRect/>
                    </a:stretch>
                  </pic:blipFill>
                  <pic:spPr bwMode="auto">
                    <a:xfrm>
                      <a:off x="0" y="0"/>
                      <a:ext cx="3855720" cy="2567940"/>
                    </a:xfrm>
                    <a:prstGeom prst="rect">
                      <a:avLst/>
                    </a:prstGeom>
                    <a:noFill/>
                    <a:ln>
                      <a:noFill/>
                    </a:ln>
                  </pic:spPr>
                </pic:pic>
              </a:graphicData>
            </a:graphic>
          </wp:inline>
        </w:drawing>
      </w:r>
    </w:p>
    <w:p w14:paraId="66CBDE03" w14:textId="77777777" w:rsidR="0015410E" w:rsidRPr="000D254F" w:rsidRDefault="0015410E" w:rsidP="002279FC">
      <w:pPr>
        <w:spacing w:after="120" w:line="300" w:lineRule="atLeast"/>
        <w:rPr>
          <w:rFonts w:cstheme="minorHAnsi"/>
        </w:rPr>
      </w:pPr>
    </w:p>
    <w:p w14:paraId="3610F793" w14:textId="519E9749" w:rsidR="00362189" w:rsidRDefault="00362189" w:rsidP="002279FC">
      <w:pPr>
        <w:spacing w:after="120" w:line="300" w:lineRule="atLeast"/>
        <w:rPr>
          <w:rFonts w:cstheme="minorHAnsi"/>
        </w:rPr>
      </w:pPr>
      <w:r w:rsidRPr="000D254F">
        <w:rPr>
          <w:rFonts w:cstheme="minorHAnsi"/>
        </w:rPr>
        <w:t>Der F&amp;E-Standort Deutschland verliert nicht nur an die USA (I</w:t>
      </w:r>
      <w:r w:rsidR="005E119D">
        <w:rPr>
          <w:rFonts w:cstheme="minorHAnsi"/>
        </w:rPr>
        <w:t xml:space="preserve">nflation </w:t>
      </w:r>
      <w:proofErr w:type="spellStart"/>
      <w:r w:rsidRPr="000D254F">
        <w:rPr>
          <w:rFonts w:cstheme="minorHAnsi"/>
        </w:rPr>
        <w:t>R</w:t>
      </w:r>
      <w:r w:rsidR="005E119D">
        <w:rPr>
          <w:rFonts w:cstheme="minorHAnsi"/>
        </w:rPr>
        <w:t>eduction</w:t>
      </w:r>
      <w:proofErr w:type="spellEnd"/>
      <w:r w:rsidRPr="000D254F">
        <w:rPr>
          <w:rFonts w:cstheme="minorHAnsi"/>
        </w:rPr>
        <w:t xml:space="preserve"> Act), sondern auch an andere Stand</w:t>
      </w:r>
      <w:r w:rsidR="00003AE8" w:rsidRPr="000D254F">
        <w:rPr>
          <w:rFonts w:cstheme="minorHAnsi"/>
        </w:rPr>
        <w:softHyphen/>
      </w:r>
      <w:r w:rsidRPr="000D254F">
        <w:rPr>
          <w:rFonts w:cstheme="minorHAnsi"/>
        </w:rPr>
        <w:t>orte in Europa.</w:t>
      </w:r>
    </w:p>
    <w:p w14:paraId="43F69E1D" w14:textId="38B9EA77" w:rsidR="00CD5146" w:rsidRPr="00003AE8" w:rsidRDefault="00697CC9" w:rsidP="009535F2">
      <w:pPr>
        <w:spacing w:after="120" w:line="300" w:lineRule="atLeast"/>
        <w:rPr>
          <w:rFonts w:cstheme="minorHAnsi"/>
          <w:lang w:eastAsia="zh-CN"/>
        </w:rPr>
      </w:pPr>
      <w:r w:rsidRPr="00B375CD">
        <w:rPr>
          <w:rFonts w:cstheme="minorHAnsi"/>
          <w:b/>
        </w:rPr>
        <w:t>Zweitens</w:t>
      </w:r>
      <w:r>
        <w:rPr>
          <w:rFonts w:cstheme="minorHAnsi"/>
        </w:rPr>
        <w:t xml:space="preserve"> </w:t>
      </w:r>
      <w:r w:rsidR="009535F2">
        <w:rPr>
          <w:rFonts w:cstheme="minorHAnsi"/>
        </w:rPr>
        <w:t xml:space="preserve">hat die COVID-19 Pandemie eindrücklich die Vulnerabilitäten der Lieferketten verdeutlicht. </w:t>
      </w:r>
      <w:r w:rsidR="009535F2" w:rsidRPr="009535F2">
        <w:rPr>
          <w:rFonts w:cstheme="minorHAnsi"/>
        </w:rPr>
        <w:t>Die Globalisierung und starker Kostendruck bei der Generika-Industrie haben bei einer Vielzahl von Wirkstoffen und Arzneimitteln bereits zu einer Konzentration auf wenige Herstellungsstätten, über</w:t>
      </w:r>
      <w:r w:rsidR="009535F2">
        <w:rPr>
          <w:rFonts w:cstheme="minorHAnsi"/>
        </w:rPr>
        <w:t>wie</w:t>
      </w:r>
      <w:r w:rsidR="009535F2" w:rsidRPr="009535F2">
        <w:rPr>
          <w:rFonts w:cstheme="minorHAnsi"/>
        </w:rPr>
        <w:t>gend in Drittstaaten (insbesondere in China und Indien) geführt. Dies birgt das Risiko von Lieferkettenunterbrechungen und strategischen Abhängigkeiten in sich.</w:t>
      </w:r>
    </w:p>
    <w:p w14:paraId="671CA4F6" w14:textId="4F64A4C8" w:rsidR="00362189" w:rsidRPr="00003AE8" w:rsidRDefault="00362189" w:rsidP="002279FC">
      <w:pPr>
        <w:spacing w:after="120" w:line="300" w:lineRule="atLeast"/>
        <w:rPr>
          <w:rFonts w:cstheme="minorHAnsi"/>
          <w:lang w:eastAsia="zh-CN"/>
        </w:rPr>
      </w:pPr>
      <w:r w:rsidRPr="00003AE8">
        <w:rPr>
          <w:rFonts w:cstheme="minorHAnsi"/>
        </w:rPr>
        <w:t>Politik und Unternehmen müssen gemeinsam Antworten finden auf den wachsenden Kosten- und Konkurrenzdruck aus dem Ausland, Fachkräftemangel, plötzlich ange</w:t>
      </w:r>
      <w:r w:rsidRPr="00003AE8">
        <w:rPr>
          <w:rFonts w:cstheme="minorHAnsi"/>
        </w:rPr>
        <w:softHyphen/>
        <w:t>spannte Lieferketten und sich immer wieder ändernde Rahmenbe</w:t>
      </w:r>
      <w:r w:rsidRPr="00003AE8">
        <w:rPr>
          <w:rFonts w:cstheme="minorHAnsi"/>
        </w:rPr>
        <w:softHyphen/>
        <w:t>din</w:t>
      </w:r>
      <w:r w:rsidRPr="00003AE8">
        <w:rPr>
          <w:rFonts w:cstheme="minorHAnsi"/>
        </w:rPr>
        <w:softHyphen/>
        <w:t xml:space="preserve">gungen. </w:t>
      </w:r>
    </w:p>
    <w:p w14:paraId="50F156D2" w14:textId="3995D9AC" w:rsidR="00362189" w:rsidRPr="00003AE8" w:rsidRDefault="00362189" w:rsidP="002279FC">
      <w:pPr>
        <w:spacing w:after="120" w:line="300" w:lineRule="atLeast"/>
        <w:rPr>
          <w:rFonts w:cstheme="minorHAnsi"/>
        </w:rPr>
      </w:pPr>
      <w:commentRangeStart w:id="0"/>
      <w:r w:rsidRPr="00003AE8">
        <w:rPr>
          <w:rFonts w:cstheme="minorHAnsi"/>
        </w:rPr>
        <w:t xml:space="preserve">Um die Attraktivität des Pharmastandorts Deutschland </w:t>
      </w:r>
      <w:r w:rsidR="005D299B">
        <w:rPr>
          <w:rFonts w:cstheme="minorHAnsi"/>
        </w:rPr>
        <w:t xml:space="preserve">sowohl in der Forschung und Entwicklung neuer Arzneimittel </w:t>
      </w:r>
      <w:r w:rsidRPr="00003AE8">
        <w:rPr>
          <w:rFonts w:cstheme="minorHAnsi"/>
        </w:rPr>
        <w:t>wiederzuerlangen und zu sichern</w:t>
      </w:r>
      <w:r w:rsidR="005D299B">
        <w:rPr>
          <w:rFonts w:cstheme="minorHAnsi"/>
        </w:rPr>
        <w:t xml:space="preserve"> sowie eine zuverlässige Versorgung sicherzustellen</w:t>
      </w:r>
      <w:r w:rsidRPr="00003AE8">
        <w:rPr>
          <w:rFonts w:cstheme="minorHAnsi"/>
        </w:rPr>
        <w:t>,</w:t>
      </w:r>
      <w:r w:rsidR="00AF2D33" w:rsidRPr="00003AE8">
        <w:rPr>
          <w:rFonts w:cstheme="minorHAnsi"/>
        </w:rPr>
        <w:t xml:space="preserve"> setzt sich die Bundesregierung </w:t>
      </w:r>
      <w:r w:rsidRPr="00003AE8">
        <w:rPr>
          <w:rFonts w:cstheme="minorHAnsi"/>
        </w:rPr>
        <w:t>dafür ein, dass die Rahmenbedingungen für eine starke, nachhaltige und inter</w:t>
      </w:r>
      <w:r w:rsidR="00AF2D33" w:rsidRPr="00003AE8">
        <w:rPr>
          <w:rFonts w:cstheme="minorHAnsi"/>
        </w:rPr>
        <w:softHyphen/>
      </w:r>
      <w:r w:rsidRPr="00003AE8">
        <w:rPr>
          <w:rFonts w:cstheme="minorHAnsi"/>
        </w:rPr>
        <w:t xml:space="preserve">national wettbewerbsfähige Pharmaindustrie erhalten bleiben und gefördert werden. </w:t>
      </w:r>
      <w:commentRangeEnd w:id="0"/>
      <w:r w:rsidR="003E032D">
        <w:rPr>
          <w:rStyle w:val="Kommentarzeichen"/>
        </w:rPr>
        <w:commentReference w:id="0"/>
      </w:r>
      <w:r w:rsidRPr="00003AE8">
        <w:rPr>
          <w:rFonts w:cstheme="minorHAnsi"/>
        </w:rPr>
        <w:t>Uner</w:t>
      </w:r>
      <w:r w:rsidR="00AF2D33" w:rsidRPr="00003AE8">
        <w:rPr>
          <w:rFonts w:cstheme="minorHAnsi"/>
        </w:rPr>
        <w:softHyphen/>
      </w:r>
      <w:r w:rsidRPr="00003AE8">
        <w:rPr>
          <w:rFonts w:cstheme="minorHAnsi"/>
        </w:rPr>
        <w:t>lässlich hierfür ist eine hervorragende Forschungsinfrastruktur mit hochqualifizierten Fachkräften sowie enge Kooperationen mit entsprechenden Forschungseinrichtungen.</w:t>
      </w:r>
      <w:r w:rsidR="00AF2D33" w:rsidRPr="00003AE8">
        <w:rPr>
          <w:rFonts w:cstheme="minorHAnsi"/>
        </w:rPr>
        <w:t xml:space="preserve"> </w:t>
      </w:r>
      <w:r w:rsidRPr="00003AE8">
        <w:rPr>
          <w:rFonts w:cstheme="minorHAnsi"/>
        </w:rPr>
        <w:t>Die Unter</w:t>
      </w:r>
      <w:r w:rsidR="00AF2D33" w:rsidRPr="00003AE8">
        <w:rPr>
          <w:rFonts w:cstheme="minorHAnsi"/>
        </w:rPr>
        <w:softHyphen/>
      </w:r>
      <w:r w:rsidRPr="00003AE8">
        <w:rPr>
          <w:rFonts w:cstheme="minorHAnsi"/>
        </w:rPr>
        <w:t>nehmen profitieren von einem renditestarken und stabilen Investitions</w:t>
      </w:r>
      <w:r w:rsidRPr="00003AE8">
        <w:rPr>
          <w:rFonts w:cstheme="minorHAnsi"/>
        </w:rPr>
        <w:softHyphen/>
        <w:t>umfeld – die öffentliche Gesundheit von schnellem Zugang zu innovativen Arznei</w:t>
      </w:r>
      <w:r w:rsidRPr="00003AE8">
        <w:rPr>
          <w:rFonts w:cstheme="minorHAnsi"/>
        </w:rPr>
        <w:softHyphen/>
        <w:t>mitteln/medizinischen Lösungen sowie erhöhter Liefersicherheit von patentfreien Arzneimitteln.</w:t>
      </w:r>
      <w:r w:rsidR="00084771">
        <w:rPr>
          <w:rFonts w:cstheme="minorHAnsi"/>
        </w:rPr>
        <w:t xml:space="preserve"> Zudem muss sichergestellt werden, dass </w:t>
      </w:r>
      <w:r w:rsidR="00294C13">
        <w:rPr>
          <w:rFonts w:cstheme="minorHAnsi"/>
        </w:rPr>
        <w:t xml:space="preserve">sowohl </w:t>
      </w:r>
      <w:r w:rsidR="00084771">
        <w:rPr>
          <w:rFonts w:cstheme="minorHAnsi"/>
        </w:rPr>
        <w:t xml:space="preserve">Deutschland </w:t>
      </w:r>
      <w:r w:rsidR="00294C13">
        <w:rPr>
          <w:rFonts w:cstheme="minorHAnsi"/>
        </w:rPr>
        <w:t xml:space="preserve">als auch </w:t>
      </w:r>
      <w:r w:rsidR="00084771">
        <w:rPr>
          <w:rFonts w:cstheme="minorHAnsi"/>
        </w:rPr>
        <w:t>die EU im internationalen Umfeld in der Herstellung von Arzneimitteln wettbewerbsfähig w</w:t>
      </w:r>
      <w:r w:rsidR="00294C13">
        <w:rPr>
          <w:rFonts w:cstheme="minorHAnsi"/>
        </w:rPr>
        <w:t>e</w:t>
      </w:r>
      <w:r w:rsidR="00084771">
        <w:rPr>
          <w:rFonts w:cstheme="minorHAnsi"/>
        </w:rPr>
        <w:t>rd</w:t>
      </w:r>
      <w:r w:rsidR="00294C13">
        <w:rPr>
          <w:rFonts w:cstheme="minorHAnsi"/>
        </w:rPr>
        <w:t>en, um strategische Abhängigkeiten zu reduzieren und die Arzneimittelverfügbarkeit sicherzustellen</w:t>
      </w:r>
      <w:r w:rsidR="00084771">
        <w:rPr>
          <w:rFonts w:cstheme="minorHAnsi"/>
        </w:rPr>
        <w:t>.</w:t>
      </w:r>
    </w:p>
    <w:p w14:paraId="559C8DE1" w14:textId="44CC7A7E" w:rsidR="00483F1E" w:rsidRPr="00003AE8" w:rsidRDefault="00AF2D33" w:rsidP="002279FC">
      <w:pPr>
        <w:spacing w:line="300" w:lineRule="atLeast"/>
        <w:rPr>
          <w:rFonts w:cstheme="minorHAnsi"/>
        </w:rPr>
      </w:pPr>
      <w:r w:rsidRPr="00003AE8">
        <w:rPr>
          <w:rFonts w:cstheme="minorHAnsi"/>
        </w:rPr>
        <w:t xml:space="preserve">Neben Verbesserungen auf der nationalen Ebene muss </w:t>
      </w:r>
      <w:r w:rsidR="00294C13">
        <w:rPr>
          <w:rFonts w:cstheme="minorHAnsi"/>
        </w:rPr>
        <w:t xml:space="preserve">daher </w:t>
      </w:r>
      <w:r w:rsidRPr="00003AE8">
        <w:rPr>
          <w:rFonts w:cstheme="minorHAnsi"/>
        </w:rPr>
        <w:t xml:space="preserve">die </w:t>
      </w:r>
      <w:r w:rsidR="00294C13">
        <w:rPr>
          <w:rFonts w:cstheme="minorHAnsi"/>
        </w:rPr>
        <w:t>e</w:t>
      </w:r>
      <w:r w:rsidR="00294C13" w:rsidRPr="00003AE8">
        <w:rPr>
          <w:rFonts w:cstheme="minorHAnsi"/>
        </w:rPr>
        <w:t xml:space="preserve">uropäische </w:t>
      </w:r>
      <w:r w:rsidRPr="00003AE8">
        <w:rPr>
          <w:rFonts w:cstheme="minorHAnsi"/>
        </w:rPr>
        <w:t xml:space="preserve">Ebene mitgedacht werden. </w:t>
      </w:r>
      <w:r w:rsidR="00483F1E" w:rsidRPr="00003AE8">
        <w:rPr>
          <w:rFonts w:cstheme="minorHAnsi"/>
        </w:rPr>
        <w:t>Im Schulterschluss mit vielen an</w:t>
      </w:r>
      <w:r w:rsidR="001307CB" w:rsidRPr="00003AE8">
        <w:rPr>
          <w:rFonts w:cstheme="minorHAnsi"/>
        </w:rPr>
        <w:t>deren Mitgliedstaaten hatte Deutschland</w:t>
      </w:r>
      <w:r w:rsidR="00483F1E" w:rsidRPr="00003AE8">
        <w:rPr>
          <w:rFonts w:cstheme="minorHAnsi"/>
        </w:rPr>
        <w:t xml:space="preserve"> </w:t>
      </w:r>
      <w:r w:rsidR="001307CB" w:rsidRPr="00003AE8">
        <w:rPr>
          <w:rFonts w:cstheme="minorHAnsi"/>
        </w:rPr>
        <w:t>im Jahr</w:t>
      </w:r>
      <w:r w:rsidR="00483F1E" w:rsidRPr="00003AE8">
        <w:rPr>
          <w:rFonts w:cstheme="minorHAnsi"/>
        </w:rPr>
        <w:t xml:space="preserve"> 2020 von der </w:t>
      </w:r>
      <w:r w:rsidR="001307CB" w:rsidRPr="00003AE8">
        <w:rPr>
          <w:rFonts w:cstheme="minorHAnsi"/>
        </w:rPr>
        <w:t>Europäischen Kommission</w:t>
      </w:r>
      <w:r w:rsidR="00483F1E" w:rsidRPr="00003AE8">
        <w:rPr>
          <w:rFonts w:cstheme="minorHAnsi"/>
        </w:rPr>
        <w:t xml:space="preserve"> konkrete Maßnahmen für eine größere Autonomie der</w:t>
      </w:r>
      <w:r w:rsidR="005917CC">
        <w:rPr>
          <w:rFonts w:cstheme="minorHAnsi"/>
        </w:rPr>
        <w:t xml:space="preserve"> Europäischen Union </w:t>
      </w:r>
      <w:r w:rsidR="00483F1E" w:rsidRPr="00003AE8">
        <w:rPr>
          <w:rFonts w:cstheme="minorHAnsi"/>
        </w:rPr>
        <w:t xml:space="preserve">in der Sicherstellung der Arzneimittelversorgung </w:t>
      </w:r>
      <w:r w:rsidR="001307CB" w:rsidRPr="00003AE8">
        <w:rPr>
          <w:rFonts w:cstheme="minorHAnsi"/>
        </w:rPr>
        <w:t xml:space="preserve">gefordert, insbesondere </w:t>
      </w:r>
      <w:r w:rsidR="00483F1E" w:rsidRPr="00003AE8">
        <w:rPr>
          <w:rFonts w:cstheme="minorHAnsi"/>
        </w:rPr>
        <w:t>eine höhere Trans</w:t>
      </w:r>
      <w:r w:rsidR="005917CC">
        <w:rPr>
          <w:rFonts w:cstheme="minorHAnsi"/>
        </w:rPr>
        <w:softHyphen/>
      </w:r>
      <w:r w:rsidR="00483F1E" w:rsidRPr="00003AE8">
        <w:rPr>
          <w:rFonts w:cstheme="minorHAnsi"/>
        </w:rPr>
        <w:t>parenz und Diversifizierung von Lieferketten und eine europäische Zusammenarbeit beim Aus</w:t>
      </w:r>
      <w:r w:rsidRPr="00003AE8">
        <w:rPr>
          <w:rFonts w:cstheme="minorHAnsi"/>
        </w:rPr>
        <w:softHyphen/>
      </w:r>
      <w:r w:rsidR="00483F1E" w:rsidRPr="00003AE8">
        <w:rPr>
          <w:rFonts w:cstheme="minorHAnsi"/>
        </w:rPr>
        <w:t>bau der Wirkstoffproduktion für kritische Arzneimittel.</w:t>
      </w:r>
    </w:p>
    <w:p w14:paraId="71FBD78A" w14:textId="77777777" w:rsidR="00483F1E" w:rsidRPr="00003AE8" w:rsidRDefault="00483F1E" w:rsidP="002279FC">
      <w:pPr>
        <w:spacing w:line="300" w:lineRule="atLeast"/>
        <w:rPr>
          <w:rFonts w:cstheme="minorHAnsi"/>
        </w:rPr>
      </w:pPr>
      <w:r w:rsidRPr="00003AE8">
        <w:rPr>
          <w:rFonts w:cstheme="minorHAnsi"/>
        </w:rPr>
        <w:t>Ein Meilenstein hierbei ist die derzeitige Revision des EU-Arzneimittelrechts, welche den Rechts</w:t>
      </w:r>
      <w:r w:rsidR="00AF2D33" w:rsidRPr="00003AE8">
        <w:rPr>
          <w:rFonts w:cstheme="minorHAnsi"/>
        </w:rPr>
        <w:softHyphen/>
      </w:r>
      <w:r w:rsidRPr="00003AE8">
        <w:rPr>
          <w:rFonts w:cstheme="minorHAnsi"/>
        </w:rPr>
        <w:t>rahmen für die kommenden Jahrzehnte gestalten wird. Hierbei wird sich d</w:t>
      </w:r>
      <w:r w:rsidR="00AF2D33" w:rsidRPr="00003AE8">
        <w:rPr>
          <w:rFonts w:cstheme="minorHAnsi"/>
        </w:rPr>
        <w:t xml:space="preserve">ie Bundesregierung </w:t>
      </w:r>
      <w:r w:rsidRPr="00003AE8">
        <w:rPr>
          <w:rFonts w:cstheme="minorHAnsi"/>
        </w:rPr>
        <w:t xml:space="preserve">dafür </w:t>
      </w:r>
      <w:r w:rsidRPr="00003AE8">
        <w:rPr>
          <w:rFonts w:cstheme="minorHAnsi"/>
        </w:rPr>
        <w:lastRenderedPageBreak/>
        <w:t>einsetzen, dass wichtige Wettbewerbselemente, die die Wettbewerbsfähigkeit der pharmazeu</w:t>
      </w:r>
      <w:r w:rsidR="00AF2D33" w:rsidRPr="00003AE8">
        <w:rPr>
          <w:rFonts w:cstheme="minorHAnsi"/>
        </w:rPr>
        <w:softHyphen/>
      </w:r>
      <w:r w:rsidRPr="00003AE8">
        <w:rPr>
          <w:rFonts w:cstheme="minorHAnsi"/>
        </w:rPr>
        <w:t>tischen Industrie – auch im geopolitischen Kontext – betreffen, gestärkt werden.</w:t>
      </w:r>
    </w:p>
    <w:p w14:paraId="6588AB10" w14:textId="5569A28D" w:rsidR="00483F1E" w:rsidRPr="00003AE8" w:rsidRDefault="00483F1E" w:rsidP="002279FC">
      <w:pPr>
        <w:spacing w:line="300" w:lineRule="atLeast"/>
        <w:rPr>
          <w:rFonts w:cstheme="minorHAnsi"/>
        </w:rPr>
      </w:pPr>
      <w:r w:rsidRPr="00003AE8">
        <w:rPr>
          <w:rFonts w:cstheme="minorHAnsi"/>
        </w:rPr>
        <w:t xml:space="preserve">Derzeit unterstützt </w:t>
      </w:r>
      <w:r w:rsidR="001307CB" w:rsidRPr="00003AE8">
        <w:rPr>
          <w:rFonts w:cstheme="minorHAnsi"/>
        </w:rPr>
        <w:t>Deutschland</w:t>
      </w:r>
      <w:r w:rsidRPr="00003AE8">
        <w:rPr>
          <w:rFonts w:cstheme="minorHAnsi"/>
        </w:rPr>
        <w:t xml:space="preserve"> </w:t>
      </w:r>
      <w:r w:rsidR="00BB431F">
        <w:rPr>
          <w:rFonts w:cstheme="minorHAnsi"/>
        </w:rPr>
        <w:t xml:space="preserve">zudem </w:t>
      </w:r>
      <w:r w:rsidRPr="00003AE8">
        <w:rPr>
          <w:rFonts w:cstheme="minorHAnsi"/>
        </w:rPr>
        <w:t>mit zahlreichen anderen Mitgliedstaaten die Initiative</w:t>
      </w:r>
      <w:r w:rsidR="001307CB" w:rsidRPr="00003AE8">
        <w:rPr>
          <w:rFonts w:cstheme="minorHAnsi"/>
        </w:rPr>
        <w:t xml:space="preserve"> Belgiens</w:t>
      </w:r>
      <w:r w:rsidRPr="00003AE8">
        <w:rPr>
          <w:rFonts w:cstheme="minorHAnsi"/>
        </w:rPr>
        <w:t xml:space="preserve"> zum Thema </w:t>
      </w:r>
      <w:r w:rsidRPr="00D10611">
        <w:rPr>
          <w:rFonts w:cstheme="minorHAnsi"/>
          <w:highlight w:val="yellow"/>
        </w:rPr>
        <w:t>„</w:t>
      </w:r>
      <w:proofErr w:type="spellStart"/>
      <w:r w:rsidRPr="00D10611">
        <w:rPr>
          <w:rFonts w:cstheme="minorHAnsi"/>
          <w:highlight w:val="yellow"/>
        </w:rPr>
        <w:t>Improving</w:t>
      </w:r>
      <w:proofErr w:type="spellEnd"/>
      <w:r w:rsidRPr="00D10611">
        <w:rPr>
          <w:rFonts w:cstheme="minorHAnsi"/>
          <w:highlight w:val="yellow"/>
        </w:rPr>
        <w:t xml:space="preserve"> </w:t>
      </w:r>
      <w:proofErr w:type="spellStart"/>
      <w:r w:rsidRPr="00D10611">
        <w:rPr>
          <w:rFonts w:cstheme="minorHAnsi"/>
          <w:highlight w:val="yellow"/>
        </w:rPr>
        <w:t>the</w:t>
      </w:r>
      <w:proofErr w:type="spellEnd"/>
      <w:r w:rsidRPr="00D10611">
        <w:rPr>
          <w:rFonts w:cstheme="minorHAnsi"/>
          <w:highlight w:val="yellow"/>
        </w:rPr>
        <w:t xml:space="preserve"> </w:t>
      </w:r>
      <w:proofErr w:type="spellStart"/>
      <w:r w:rsidRPr="00D10611">
        <w:rPr>
          <w:rFonts w:cstheme="minorHAnsi"/>
          <w:highlight w:val="yellow"/>
        </w:rPr>
        <w:t>security</w:t>
      </w:r>
      <w:proofErr w:type="spellEnd"/>
      <w:r w:rsidRPr="00D10611">
        <w:rPr>
          <w:rFonts w:cstheme="minorHAnsi"/>
          <w:highlight w:val="yellow"/>
        </w:rPr>
        <w:t xml:space="preserve"> </w:t>
      </w:r>
      <w:proofErr w:type="spellStart"/>
      <w:r w:rsidRPr="00D10611">
        <w:rPr>
          <w:rFonts w:cstheme="minorHAnsi"/>
          <w:highlight w:val="yellow"/>
        </w:rPr>
        <w:t>of</w:t>
      </w:r>
      <w:proofErr w:type="spellEnd"/>
      <w:r w:rsidRPr="00D10611">
        <w:rPr>
          <w:rFonts w:cstheme="minorHAnsi"/>
          <w:highlight w:val="yellow"/>
        </w:rPr>
        <w:t xml:space="preserve"> </w:t>
      </w:r>
      <w:proofErr w:type="spellStart"/>
      <w:r w:rsidRPr="00D10611">
        <w:rPr>
          <w:rFonts w:cstheme="minorHAnsi"/>
          <w:highlight w:val="yellow"/>
        </w:rPr>
        <w:t>medicines</w:t>
      </w:r>
      <w:proofErr w:type="spellEnd"/>
      <w:r w:rsidRPr="00D10611">
        <w:rPr>
          <w:rFonts w:cstheme="minorHAnsi"/>
          <w:highlight w:val="yellow"/>
        </w:rPr>
        <w:t xml:space="preserve"> </w:t>
      </w:r>
      <w:proofErr w:type="spellStart"/>
      <w:r w:rsidRPr="00D10611">
        <w:rPr>
          <w:rFonts w:cstheme="minorHAnsi"/>
          <w:highlight w:val="yellow"/>
        </w:rPr>
        <w:t>supply</w:t>
      </w:r>
      <w:proofErr w:type="spellEnd"/>
      <w:r w:rsidRPr="00D10611">
        <w:rPr>
          <w:rFonts w:cstheme="minorHAnsi"/>
          <w:highlight w:val="yellow"/>
        </w:rPr>
        <w:t xml:space="preserve"> in Europe”</w:t>
      </w:r>
      <w:r w:rsidRPr="00003AE8">
        <w:rPr>
          <w:rFonts w:cstheme="minorHAnsi"/>
        </w:rPr>
        <w:t xml:space="preserve">. </w:t>
      </w:r>
      <w:r w:rsidR="003D6978">
        <w:rPr>
          <w:rFonts w:cstheme="minorHAnsi"/>
        </w:rPr>
        <w:br/>
      </w:r>
    </w:p>
    <w:p w14:paraId="47176E3D" w14:textId="6C05F04B" w:rsidR="004601C0" w:rsidRPr="00003AE8" w:rsidRDefault="00D0103F" w:rsidP="002279FC">
      <w:pPr>
        <w:spacing w:line="300" w:lineRule="atLeast"/>
        <w:rPr>
          <w:rFonts w:cstheme="minorHAnsi"/>
          <w:b/>
        </w:rPr>
      </w:pPr>
      <w:r w:rsidRPr="00003AE8">
        <w:rPr>
          <w:rFonts w:cstheme="minorHAnsi"/>
          <w:b/>
        </w:rPr>
        <w:t>(2) Dialogformat mit der Industrie</w:t>
      </w:r>
      <w:r w:rsidR="005917CC">
        <w:rPr>
          <w:rFonts w:cstheme="minorHAnsi"/>
          <w:b/>
        </w:rPr>
        <w:t xml:space="preserve"> nutzen</w:t>
      </w:r>
      <w:r w:rsidR="002C4668">
        <w:rPr>
          <w:rFonts w:cstheme="minorHAnsi"/>
          <w:b/>
        </w:rPr>
        <w:t xml:space="preserve"> (FF BMWK</w:t>
      </w:r>
      <w:r w:rsidR="00CE55F3">
        <w:rPr>
          <w:rFonts w:cstheme="minorHAnsi"/>
          <w:b/>
        </w:rPr>
        <w:t>, Einbindung BMG, BMBF, weitere</w:t>
      </w:r>
      <w:r w:rsidR="002C4668">
        <w:rPr>
          <w:rFonts w:cstheme="minorHAnsi"/>
          <w:b/>
        </w:rPr>
        <w:t>)</w:t>
      </w:r>
    </w:p>
    <w:p w14:paraId="68ECE370" w14:textId="508DE911" w:rsidR="00D0103F" w:rsidRPr="00003AE8" w:rsidRDefault="00982E9D" w:rsidP="002279FC">
      <w:pPr>
        <w:spacing w:after="120" w:line="300" w:lineRule="atLeast"/>
        <w:rPr>
          <w:rFonts w:cstheme="minorHAnsi"/>
        </w:rPr>
      </w:pPr>
      <w:r w:rsidRPr="003E032D">
        <w:rPr>
          <w:rFonts w:cstheme="minorHAnsi"/>
        </w:rPr>
        <w:t>In der Bundesregierung existieren mehrere Dialogformate mit der Industrie, die aufeinander abge</w:t>
      </w:r>
      <w:r w:rsidR="00003AE8" w:rsidRPr="003E032D">
        <w:rPr>
          <w:rFonts w:cstheme="minorHAnsi"/>
        </w:rPr>
        <w:softHyphen/>
      </w:r>
      <w:r w:rsidRPr="003E032D">
        <w:rPr>
          <w:rFonts w:cstheme="minorHAnsi"/>
        </w:rPr>
        <w:t>stimmt und wo möglich konsolidiert werden sollten, um Doppelarbeit zu vermeiden.</w:t>
      </w:r>
      <w:r w:rsidRPr="00003AE8">
        <w:rPr>
          <w:rFonts w:cstheme="minorHAnsi"/>
        </w:rPr>
        <w:t xml:space="preserve"> Sinnvoll ist, als Gesprächsplattform für den weiteren Austausch d</w:t>
      </w:r>
      <w:r w:rsidR="005917CC">
        <w:rPr>
          <w:rFonts w:cstheme="minorHAnsi"/>
        </w:rPr>
        <w:t>ieser</w:t>
      </w:r>
      <w:r w:rsidRPr="00003AE8">
        <w:rPr>
          <w:rFonts w:cstheme="minorHAnsi"/>
        </w:rPr>
        <w:t xml:space="preserve"> Konzeptelemente sowie der späteren Um</w:t>
      </w:r>
      <w:r w:rsidR="00003AE8">
        <w:rPr>
          <w:rFonts w:cstheme="minorHAnsi"/>
        </w:rPr>
        <w:softHyphen/>
      </w:r>
      <w:r w:rsidRPr="00003AE8">
        <w:rPr>
          <w:rFonts w:cstheme="minorHAnsi"/>
        </w:rPr>
        <w:t xml:space="preserve">setzung von Maßnahmen den im </w:t>
      </w:r>
      <w:r w:rsidR="00D0103F" w:rsidRPr="00003AE8">
        <w:rPr>
          <w:rFonts w:cstheme="minorHAnsi"/>
        </w:rPr>
        <w:t xml:space="preserve">November 2022 </w:t>
      </w:r>
      <w:r w:rsidRPr="00003AE8">
        <w:rPr>
          <w:rFonts w:cstheme="minorHAnsi"/>
        </w:rPr>
        <w:t>gemeinsam mit den 12 zentralen Verbän</w:t>
      </w:r>
      <w:r w:rsidRPr="00003AE8">
        <w:rPr>
          <w:rFonts w:cstheme="minorHAnsi"/>
        </w:rPr>
        <w:softHyphen/>
        <w:t xml:space="preserve">den der industriellen Gesundheitswirtschaft im BMWK eröffneten </w:t>
      </w:r>
      <w:r w:rsidR="002C4668" w:rsidRPr="00003AE8">
        <w:rPr>
          <w:rFonts w:cstheme="minorHAnsi"/>
        </w:rPr>
        <w:t>Round-Table</w:t>
      </w:r>
      <w:r w:rsidRPr="00003AE8">
        <w:rPr>
          <w:rFonts w:cstheme="minorHAnsi"/>
        </w:rPr>
        <w:t xml:space="preserve"> Gesundheitswirtschaft zu nutzen</w:t>
      </w:r>
      <w:r w:rsidR="00D0103F" w:rsidRPr="00003AE8">
        <w:rPr>
          <w:rFonts w:cstheme="minorHAnsi"/>
        </w:rPr>
        <w:t xml:space="preserve">. </w:t>
      </w:r>
      <w:r w:rsidRPr="00003AE8">
        <w:rPr>
          <w:rFonts w:cstheme="minorHAnsi"/>
        </w:rPr>
        <w:t>Denn i</w:t>
      </w:r>
      <w:r w:rsidR="00D0103F" w:rsidRPr="00003AE8">
        <w:rPr>
          <w:rFonts w:cstheme="minorHAnsi"/>
        </w:rPr>
        <w:t>m Vorder</w:t>
      </w:r>
      <w:r w:rsidR="00D0103F" w:rsidRPr="00003AE8">
        <w:rPr>
          <w:rFonts w:cstheme="minorHAnsi"/>
        </w:rPr>
        <w:softHyphen/>
        <w:t xml:space="preserve">grund dieses Dialogformates für die gesamte Branche (neben </w:t>
      </w:r>
      <w:proofErr w:type="spellStart"/>
      <w:r w:rsidR="00D0103F" w:rsidRPr="00003AE8">
        <w:rPr>
          <w:rFonts w:cstheme="minorHAnsi"/>
        </w:rPr>
        <w:t>Pharma</w:t>
      </w:r>
      <w:proofErr w:type="spellEnd"/>
      <w:r w:rsidR="00D0103F" w:rsidRPr="00003AE8">
        <w:rPr>
          <w:rFonts w:cstheme="minorHAnsi"/>
        </w:rPr>
        <w:t xml:space="preserve"> auch Medizin</w:t>
      </w:r>
      <w:r w:rsidR="00D0103F" w:rsidRPr="00003AE8">
        <w:rPr>
          <w:rFonts w:cstheme="minorHAnsi"/>
        </w:rPr>
        <w:softHyphen/>
        <w:t xml:space="preserve">technik/-produkte, E-Health) steht der gemeinsame Austausch darüber, wie </w:t>
      </w:r>
    </w:p>
    <w:p w14:paraId="62DE3240" w14:textId="77777777" w:rsidR="00D0103F" w:rsidRPr="00003AE8" w:rsidRDefault="00D0103F" w:rsidP="002279FC">
      <w:pPr>
        <w:pStyle w:val="Listenabsatz"/>
        <w:numPr>
          <w:ilvl w:val="0"/>
          <w:numId w:val="2"/>
        </w:numPr>
        <w:spacing w:after="120" w:line="300" w:lineRule="atLeast"/>
        <w:rPr>
          <w:rFonts w:asciiTheme="minorHAnsi" w:hAnsiTheme="minorHAnsi" w:cstheme="minorHAnsi"/>
        </w:rPr>
      </w:pPr>
      <w:r w:rsidRPr="00003AE8">
        <w:rPr>
          <w:rFonts w:asciiTheme="minorHAnsi" w:hAnsiTheme="minorHAnsi" w:cstheme="minorHAnsi"/>
        </w:rPr>
        <w:t xml:space="preserve">die Wettbewerbsfähigkeit der Unternehmen gestärkt, </w:t>
      </w:r>
    </w:p>
    <w:p w14:paraId="013AB70B" w14:textId="77777777" w:rsidR="00D0103F" w:rsidRPr="00003AE8" w:rsidRDefault="00D0103F" w:rsidP="002279FC">
      <w:pPr>
        <w:pStyle w:val="Listenabsatz"/>
        <w:numPr>
          <w:ilvl w:val="0"/>
          <w:numId w:val="2"/>
        </w:numPr>
        <w:spacing w:after="120" w:line="300" w:lineRule="atLeast"/>
        <w:rPr>
          <w:rFonts w:asciiTheme="minorHAnsi" w:hAnsiTheme="minorHAnsi" w:cstheme="minorHAnsi"/>
        </w:rPr>
      </w:pPr>
      <w:r w:rsidRPr="00003AE8">
        <w:rPr>
          <w:rFonts w:asciiTheme="minorHAnsi" w:hAnsiTheme="minorHAnsi" w:cstheme="minorHAnsi"/>
        </w:rPr>
        <w:t xml:space="preserve">die Resilienz, Finanzierbarkeit und Nachhaltigkeit der Gesundheitsversorgung in Deutschland und Europa gewährleistet, </w:t>
      </w:r>
    </w:p>
    <w:p w14:paraId="448CC2CA" w14:textId="77777777" w:rsidR="00D0103F" w:rsidRPr="00003AE8" w:rsidRDefault="00D0103F" w:rsidP="002279FC">
      <w:pPr>
        <w:pStyle w:val="Listenabsatz"/>
        <w:numPr>
          <w:ilvl w:val="0"/>
          <w:numId w:val="2"/>
        </w:numPr>
        <w:spacing w:after="120" w:line="300" w:lineRule="atLeast"/>
        <w:rPr>
          <w:rFonts w:asciiTheme="minorHAnsi" w:hAnsiTheme="minorHAnsi" w:cstheme="minorHAnsi"/>
        </w:rPr>
      </w:pPr>
      <w:r w:rsidRPr="00003AE8">
        <w:rPr>
          <w:rFonts w:asciiTheme="minorHAnsi" w:hAnsiTheme="minorHAnsi" w:cstheme="minorHAnsi"/>
        </w:rPr>
        <w:t xml:space="preserve">die Standortbedingungen in Deutschland verbessert und </w:t>
      </w:r>
    </w:p>
    <w:p w14:paraId="67199626" w14:textId="77777777" w:rsidR="00D0103F" w:rsidRPr="00003AE8" w:rsidRDefault="00D0103F" w:rsidP="002279FC">
      <w:pPr>
        <w:pStyle w:val="Listenabsatz"/>
        <w:numPr>
          <w:ilvl w:val="0"/>
          <w:numId w:val="2"/>
        </w:numPr>
        <w:spacing w:after="120" w:line="300" w:lineRule="atLeast"/>
        <w:rPr>
          <w:rFonts w:asciiTheme="minorHAnsi" w:hAnsiTheme="minorHAnsi" w:cstheme="minorHAnsi"/>
        </w:rPr>
      </w:pPr>
      <w:r w:rsidRPr="00003AE8">
        <w:rPr>
          <w:rFonts w:asciiTheme="minorHAnsi" w:hAnsiTheme="minorHAnsi" w:cstheme="minorHAnsi"/>
        </w:rPr>
        <w:t xml:space="preserve">die </w:t>
      </w:r>
      <w:proofErr w:type="spellStart"/>
      <w:r w:rsidRPr="00003AE8">
        <w:rPr>
          <w:rFonts w:asciiTheme="minorHAnsi" w:hAnsiTheme="minorHAnsi" w:cstheme="minorHAnsi"/>
        </w:rPr>
        <w:t>iGW</w:t>
      </w:r>
      <w:proofErr w:type="spellEnd"/>
      <w:r w:rsidRPr="00003AE8">
        <w:rPr>
          <w:rFonts w:asciiTheme="minorHAnsi" w:hAnsiTheme="minorHAnsi" w:cstheme="minorHAnsi"/>
        </w:rPr>
        <w:t xml:space="preserve"> sichtbarer gemacht werden kann. </w:t>
      </w:r>
    </w:p>
    <w:p w14:paraId="5BA22225" w14:textId="77777777" w:rsidR="00D0103F" w:rsidRPr="00003AE8" w:rsidRDefault="00D0103F" w:rsidP="002279FC">
      <w:pPr>
        <w:spacing w:after="120" w:line="300" w:lineRule="atLeast"/>
        <w:rPr>
          <w:rFonts w:cstheme="minorHAnsi"/>
        </w:rPr>
      </w:pPr>
      <w:r w:rsidRPr="00003AE8">
        <w:rPr>
          <w:rFonts w:cstheme="minorHAnsi"/>
        </w:rPr>
        <w:t>Das Format erstreckt sich über die gesamte 20. Legislaturperiode und soll Wissens</w:t>
      </w:r>
      <w:r w:rsidRPr="00003AE8">
        <w:rPr>
          <w:rFonts w:cstheme="minorHAnsi"/>
        </w:rPr>
        <w:softHyphen/>
        <w:t>austausch und konstruktiven Dialog ermöglichen, Maßnahmen identifizieren und auf den Weg bringen. Der R</w:t>
      </w:r>
      <w:r w:rsidR="003D6978">
        <w:rPr>
          <w:rFonts w:cstheme="minorHAnsi"/>
        </w:rPr>
        <w:t xml:space="preserve">ound Table Gesundheitswirtschaft </w:t>
      </w:r>
      <w:r w:rsidRPr="00003AE8">
        <w:rPr>
          <w:rFonts w:cstheme="minorHAnsi"/>
        </w:rPr>
        <w:t>hat das Ziel, zu relevanten und übergreifenden The</w:t>
      </w:r>
      <w:r w:rsidRPr="00003AE8">
        <w:rPr>
          <w:rFonts w:cstheme="minorHAnsi"/>
        </w:rPr>
        <w:softHyphen/>
        <w:t xml:space="preserve">men der </w:t>
      </w:r>
      <w:proofErr w:type="spellStart"/>
      <w:r w:rsidRPr="00003AE8">
        <w:rPr>
          <w:rFonts w:cstheme="minorHAnsi"/>
        </w:rPr>
        <w:t>iGW</w:t>
      </w:r>
      <w:proofErr w:type="spellEnd"/>
      <w:r w:rsidRPr="00003AE8">
        <w:rPr>
          <w:rFonts w:cstheme="minorHAnsi"/>
        </w:rPr>
        <w:t xml:space="preserve"> ins</w:t>
      </w:r>
      <w:r w:rsidR="0015410E">
        <w:rPr>
          <w:rFonts w:cstheme="minorHAnsi"/>
        </w:rPr>
        <w:softHyphen/>
      </w:r>
      <w:r w:rsidRPr="00003AE8">
        <w:rPr>
          <w:rFonts w:cstheme="minorHAnsi"/>
        </w:rPr>
        <w:t>gesamt frühzeitig in einen offenen, vertraulichen und konstruktiven Dialog zu treten.</w:t>
      </w:r>
    </w:p>
    <w:p w14:paraId="7604C652" w14:textId="15DE173F" w:rsidR="00982E9D" w:rsidRDefault="00D0103F" w:rsidP="002279FC">
      <w:pPr>
        <w:spacing w:after="120" w:line="300" w:lineRule="atLeast"/>
        <w:rPr>
          <w:rFonts w:cstheme="minorHAnsi"/>
          <w:bCs/>
          <w:lang w:eastAsia="de-DE"/>
        </w:rPr>
      </w:pPr>
      <w:r w:rsidRPr="00D10611">
        <w:rPr>
          <w:rFonts w:cstheme="minorHAnsi"/>
          <w:b/>
          <w:bCs/>
        </w:rPr>
        <w:t>Die Pharmabranche ist eine Branche mit dauerhafter Perspektive und Potenzial in Deutschland. Sie sollte deshalb aktiv bei der industriellen Ausrichtung im Land und der Gestaltung des Struktur</w:t>
      </w:r>
      <w:r w:rsidR="00982E9D" w:rsidRPr="00D10611">
        <w:rPr>
          <w:rFonts w:cstheme="minorHAnsi"/>
          <w:b/>
          <w:bCs/>
        </w:rPr>
        <w:softHyphen/>
      </w:r>
      <w:r w:rsidRPr="00D10611">
        <w:rPr>
          <w:rFonts w:cstheme="minorHAnsi"/>
          <w:b/>
          <w:bCs/>
        </w:rPr>
        <w:t>wandels berücksichtigt werden. Es bedarf hierfür einer breit verankerten stärkeren wirtschafts</w:t>
      </w:r>
      <w:r w:rsidR="00982E9D" w:rsidRPr="00D10611">
        <w:rPr>
          <w:rFonts w:cstheme="minorHAnsi"/>
          <w:b/>
          <w:bCs/>
        </w:rPr>
        <w:softHyphen/>
      </w:r>
      <w:r w:rsidRPr="00D10611">
        <w:rPr>
          <w:rFonts w:cstheme="minorHAnsi"/>
          <w:b/>
          <w:bCs/>
        </w:rPr>
        <w:t>politischen Unterstützung der Branche</w:t>
      </w:r>
      <w:r w:rsidRPr="00846B7D">
        <w:rPr>
          <w:rFonts w:cstheme="minorHAnsi"/>
        </w:rPr>
        <w:t>.</w:t>
      </w:r>
      <w:r w:rsidRPr="00003AE8">
        <w:rPr>
          <w:rFonts w:cstheme="minorHAnsi"/>
        </w:rPr>
        <w:t xml:space="preserve"> </w:t>
      </w:r>
      <w:r w:rsidR="00003AE8">
        <w:rPr>
          <w:rFonts w:cstheme="minorHAnsi"/>
          <w:bCs/>
          <w:lang w:eastAsia="de-DE"/>
        </w:rPr>
        <w:br/>
      </w:r>
    </w:p>
    <w:p w14:paraId="303932AC" w14:textId="62EC6568" w:rsidR="002C4668" w:rsidRPr="00B375CD" w:rsidRDefault="002C4668" w:rsidP="002279FC">
      <w:pPr>
        <w:spacing w:after="120" w:line="300" w:lineRule="atLeast"/>
        <w:rPr>
          <w:rFonts w:cstheme="minorHAnsi"/>
          <w:b/>
          <w:sz w:val="24"/>
        </w:rPr>
      </w:pPr>
      <w:r w:rsidRPr="00B375CD">
        <w:rPr>
          <w:rFonts w:cstheme="minorHAnsi"/>
          <w:b/>
          <w:bCs/>
          <w:sz w:val="24"/>
          <w:lang w:eastAsia="de-DE"/>
        </w:rPr>
        <w:t>Maßnahmen zur</w:t>
      </w:r>
      <w:r w:rsidRPr="00B375CD">
        <w:rPr>
          <w:rFonts w:cstheme="minorHAnsi"/>
          <w:b/>
          <w:sz w:val="24"/>
        </w:rPr>
        <w:t xml:space="preserve"> Verbesserung der Rahmenbedingungen für den Pharmabereich in Deutschland:</w:t>
      </w:r>
    </w:p>
    <w:p w14:paraId="1D59C621" w14:textId="77777777" w:rsidR="00F00A95" w:rsidRPr="00003AE8" w:rsidRDefault="00003AE8" w:rsidP="002279FC">
      <w:pPr>
        <w:pStyle w:val="berschrift2"/>
        <w:numPr>
          <w:ilvl w:val="0"/>
          <w:numId w:val="0"/>
        </w:numPr>
        <w:spacing w:line="300" w:lineRule="atLeast"/>
        <w:rPr>
          <w:rFonts w:asciiTheme="minorHAnsi" w:hAnsiTheme="minorHAnsi" w:cstheme="minorHAnsi"/>
          <w:b/>
          <w:color w:val="auto"/>
          <w:sz w:val="22"/>
          <w:szCs w:val="22"/>
        </w:rPr>
      </w:pPr>
      <w:r w:rsidRPr="00003AE8">
        <w:rPr>
          <w:rFonts w:asciiTheme="minorHAnsi" w:eastAsiaTheme="minorHAnsi" w:hAnsiTheme="minorHAnsi" w:cstheme="minorHAnsi"/>
          <w:b/>
          <w:bCs/>
          <w:color w:val="auto"/>
          <w:sz w:val="22"/>
          <w:szCs w:val="22"/>
        </w:rPr>
        <w:t xml:space="preserve">(3) </w:t>
      </w:r>
      <w:r w:rsidR="00F00A95" w:rsidRPr="00003AE8">
        <w:rPr>
          <w:rFonts w:asciiTheme="minorHAnsi" w:hAnsiTheme="minorHAnsi" w:cstheme="minorHAnsi"/>
          <w:b/>
          <w:color w:val="auto"/>
          <w:sz w:val="22"/>
          <w:szCs w:val="22"/>
        </w:rPr>
        <w:t>Globale Wertschöpfungsketten absichern</w:t>
      </w:r>
    </w:p>
    <w:p w14:paraId="1812AB12" w14:textId="77777777" w:rsidR="00F00A95" w:rsidRPr="00003AE8" w:rsidRDefault="00F00A95" w:rsidP="002279FC">
      <w:pPr>
        <w:spacing w:after="120" w:line="300" w:lineRule="atLeast"/>
        <w:rPr>
          <w:rFonts w:cstheme="minorHAnsi"/>
          <w:lang w:eastAsia="de-DE"/>
        </w:rPr>
      </w:pPr>
      <w:r w:rsidRPr="00003AE8">
        <w:rPr>
          <w:rFonts w:cstheme="minorHAnsi"/>
          <w:lang w:eastAsia="de-DE"/>
        </w:rPr>
        <w:t>Die Wertschöpfungsketten in der Pharmaindustrie und ihren Zulieferern sollen resilien</w:t>
      </w:r>
      <w:r w:rsidRPr="00003AE8">
        <w:rPr>
          <w:rFonts w:cstheme="minorHAnsi"/>
          <w:lang w:eastAsia="de-DE"/>
        </w:rPr>
        <w:softHyphen/>
        <w:t>ter werden. Soweit WTO-rechtlich zulässig, werden Anreize für die Unter</w:t>
      </w:r>
      <w:r w:rsidRPr="00003AE8">
        <w:rPr>
          <w:rFonts w:cstheme="minorHAnsi"/>
          <w:lang w:eastAsia="de-DE"/>
        </w:rPr>
        <w:softHyphen/>
        <w:t>neh</w:t>
      </w:r>
      <w:r w:rsidRPr="00003AE8">
        <w:rPr>
          <w:rFonts w:cstheme="minorHAnsi"/>
          <w:lang w:eastAsia="de-DE"/>
        </w:rPr>
        <w:softHyphen/>
        <w:t>men gesetzt, um Produktions</w:t>
      </w:r>
      <w:r w:rsidRPr="00003AE8">
        <w:rPr>
          <w:rFonts w:cstheme="minorHAnsi"/>
          <w:lang w:eastAsia="de-DE"/>
        </w:rPr>
        <w:softHyphen/>
        <w:t>standorte und Bezugsquellen zu diversifizieren, v. a. mit Blick auf den Standort Europa und auf Her</w:t>
      </w:r>
      <w:r w:rsidR="003D6978">
        <w:rPr>
          <w:rFonts w:cstheme="minorHAnsi"/>
          <w:lang w:eastAsia="de-DE"/>
        </w:rPr>
        <w:softHyphen/>
      </w:r>
      <w:r w:rsidRPr="00003AE8">
        <w:rPr>
          <w:rFonts w:cstheme="minorHAnsi"/>
          <w:lang w:eastAsia="de-DE"/>
        </w:rPr>
        <w:t>kunftsländer ohne absehbare politische oder wirtschaftliche Lieferrisiken.</w:t>
      </w:r>
    </w:p>
    <w:p w14:paraId="1F39852B" w14:textId="2DB05E60" w:rsidR="00F00A95" w:rsidRPr="00003AE8" w:rsidRDefault="00F00A95" w:rsidP="002279FC">
      <w:pPr>
        <w:spacing w:line="300" w:lineRule="atLeast"/>
        <w:rPr>
          <w:rFonts w:cstheme="minorHAnsi"/>
          <w:b/>
        </w:rPr>
      </w:pPr>
      <w:r w:rsidRPr="00003AE8">
        <w:rPr>
          <w:rFonts w:cstheme="minorHAnsi"/>
          <w:lang w:eastAsia="de-DE"/>
        </w:rPr>
        <w:t xml:space="preserve">Die Liefersicherheit im </w:t>
      </w:r>
      <w:r w:rsidRPr="00D10611">
        <w:rPr>
          <w:rFonts w:cstheme="minorHAnsi"/>
          <w:b/>
          <w:bCs/>
          <w:lang w:eastAsia="de-DE"/>
        </w:rPr>
        <w:t>patentfreien Bereich</w:t>
      </w:r>
      <w:r w:rsidRPr="00003AE8">
        <w:rPr>
          <w:rFonts w:cstheme="minorHAnsi"/>
          <w:lang w:eastAsia="de-DE"/>
        </w:rPr>
        <w:t xml:space="preserve"> soll verbessert werden. Soweit im Rahmen des Vergabe</w:t>
      </w:r>
      <w:r w:rsidR="0015410E">
        <w:rPr>
          <w:rFonts w:cstheme="minorHAnsi"/>
          <w:lang w:eastAsia="de-DE"/>
        </w:rPr>
        <w:softHyphen/>
      </w:r>
      <w:r w:rsidRPr="00003AE8">
        <w:rPr>
          <w:rFonts w:cstheme="minorHAnsi"/>
          <w:lang w:eastAsia="de-DE"/>
        </w:rPr>
        <w:t>rechts möglich, werden wir die hohen (z. B. Sicherheits-/Umwelt-) Standards euro</w:t>
      </w:r>
      <w:r w:rsidRPr="00003AE8">
        <w:rPr>
          <w:rFonts w:cstheme="minorHAnsi"/>
          <w:lang w:eastAsia="de-DE"/>
        </w:rPr>
        <w:softHyphen/>
        <w:t xml:space="preserve">päischer Produktionsstätten berücksichtigen. </w:t>
      </w:r>
    </w:p>
    <w:p w14:paraId="7CB67BDD" w14:textId="6EF6847B" w:rsidR="00DC117A" w:rsidRDefault="00CC51DE" w:rsidP="002279FC">
      <w:pPr>
        <w:spacing w:after="120" w:line="300" w:lineRule="atLeast"/>
        <w:rPr>
          <w:rFonts w:cstheme="minorHAnsi"/>
        </w:rPr>
      </w:pPr>
      <w:r w:rsidRPr="00D10611">
        <w:rPr>
          <w:rFonts w:cstheme="minorHAnsi"/>
          <w:lang w:eastAsia="de-DE"/>
        </w:rPr>
        <w:t>Wir haben die Anreize im Rahmen der sozial</w:t>
      </w:r>
      <w:r w:rsidRPr="00D10611">
        <w:rPr>
          <w:rFonts w:cstheme="minorHAnsi"/>
          <w:lang w:eastAsia="de-DE"/>
        </w:rPr>
        <w:softHyphen/>
        <w:t>recht</w:t>
      </w:r>
      <w:r w:rsidRPr="00D10611">
        <w:rPr>
          <w:rFonts w:cstheme="minorHAnsi"/>
          <w:lang w:eastAsia="de-DE"/>
        </w:rPr>
        <w:softHyphen/>
        <w:t>lichen Preisregulierung überarbeitet, mit dem Ziel, die Anbieterzahl zu erhöhen und/ oder die Anbie</w:t>
      </w:r>
      <w:r w:rsidRPr="00D10611">
        <w:rPr>
          <w:rFonts w:cstheme="minorHAnsi"/>
          <w:lang w:eastAsia="de-DE"/>
        </w:rPr>
        <w:softHyphen/>
        <w:t>ter</w:t>
      </w:r>
      <w:r w:rsidRPr="00D10611">
        <w:rPr>
          <w:rFonts w:cstheme="minorHAnsi"/>
          <w:lang w:eastAsia="de-DE"/>
        </w:rPr>
        <w:softHyphen/>
        <w:t xml:space="preserve">vielfalt für generische Produkte zu verbreitern. </w:t>
      </w:r>
      <w:r w:rsidRPr="00D10611">
        <w:rPr>
          <w:rFonts w:cstheme="minorHAnsi"/>
        </w:rPr>
        <w:t>So</w:t>
      </w:r>
      <w:r w:rsidR="00F00A95" w:rsidRPr="00D10611">
        <w:rPr>
          <w:rFonts w:cstheme="minorHAnsi"/>
        </w:rPr>
        <w:t xml:space="preserve"> hat der Deutsche Bundestag am 23. Juni 2023 mit dem Arzneimittel-Lieferengpassbekämpfungs- und Versorgungsverbesserungsgesetz (ALBVVG) </w:t>
      </w:r>
      <w:r w:rsidRPr="00D10611">
        <w:rPr>
          <w:rFonts w:cstheme="minorHAnsi"/>
        </w:rPr>
        <w:t xml:space="preserve">gesundheitspolitische </w:t>
      </w:r>
      <w:r w:rsidR="00F00A95" w:rsidRPr="00D10611">
        <w:rPr>
          <w:rFonts w:cstheme="minorHAnsi"/>
        </w:rPr>
        <w:t xml:space="preserve">Maßnahmen beschlossen, die </w:t>
      </w:r>
      <w:r w:rsidR="00F00A95" w:rsidRPr="00D10611">
        <w:rPr>
          <w:rFonts w:cstheme="minorHAnsi"/>
        </w:rPr>
        <w:lastRenderedPageBreak/>
        <w:t>dieser Entwicklung gegen</w:t>
      </w:r>
      <w:r w:rsidR="0015410E" w:rsidRPr="00D10611">
        <w:rPr>
          <w:rFonts w:cstheme="minorHAnsi"/>
        </w:rPr>
        <w:softHyphen/>
      </w:r>
      <w:r w:rsidR="00F00A95" w:rsidRPr="00D10611">
        <w:rPr>
          <w:rFonts w:cstheme="minorHAnsi"/>
        </w:rPr>
        <w:t>steuern sollen.</w:t>
      </w:r>
      <w:r w:rsidR="00F00A95" w:rsidRPr="00003AE8">
        <w:rPr>
          <w:rFonts w:cstheme="minorHAnsi"/>
        </w:rPr>
        <w:t xml:space="preserve"> Gegenstand des ALBVVG sind strukturelle Maßnahmen zur Bekämpfung von Liefer</w:t>
      </w:r>
      <w:r w:rsidR="0015410E">
        <w:rPr>
          <w:rFonts w:cstheme="minorHAnsi"/>
        </w:rPr>
        <w:softHyphen/>
      </w:r>
      <w:r w:rsidR="00F00A95" w:rsidRPr="00003AE8">
        <w:rPr>
          <w:rFonts w:cstheme="minorHAnsi"/>
        </w:rPr>
        <w:t>engpässen bei Kinderarzneimitteln und generischen Arzneimitteln. Hierzu gehören die Preisge</w:t>
      </w:r>
      <w:r w:rsidR="00003AE8">
        <w:rPr>
          <w:rFonts w:cstheme="minorHAnsi"/>
        </w:rPr>
        <w:softHyphen/>
      </w:r>
      <w:r w:rsidR="00F00A95" w:rsidRPr="00003AE8">
        <w:rPr>
          <w:rFonts w:cstheme="minorHAnsi"/>
        </w:rPr>
        <w:t>stal</w:t>
      </w:r>
      <w:r w:rsidR="0015410E">
        <w:rPr>
          <w:rFonts w:cstheme="minorHAnsi"/>
        </w:rPr>
        <w:softHyphen/>
      </w:r>
      <w:r w:rsidR="00F00A95" w:rsidRPr="00003AE8">
        <w:rPr>
          <w:rFonts w:cstheme="minorHAnsi"/>
        </w:rPr>
        <w:t>tung bei Kinderarzneimitteln, Festbetragsregelungen für versorgungskritische Arzneimittel, erhöhte Bevorratungspflichten, Rabattvertragsregelungen zunächst für Antibiotika, die die Wirkstoff</w:t>
      </w:r>
      <w:r w:rsidR="00003AE8">
        <w:rPr>
          <w:rFonts w:cstheme="minorHAnsi"/>
        </w:rPr>
        <w:softHyphen/>
      </w:r>
      <w:r w:rsidR="00F00A95" w:rsidRPr="00003AE8">
        <w:rPr>
          <w:rFonts w:cstheme="minorHAnsi"/>
        </w:rPr>
        <w:t>herstellung in Europa stärken sollen, weitere Informationsrechte des Bundesinstituts für Arzneimittel und Medizinprodukte (BfArM) gegenüber Herstellern und Krankenhausapotheken sowie die Ein</w:t>
      </w:r>
      <w:r w:rsidR="0015410E">
        <w:rPr>
          <w:rFonts w:cstheme="minorHAnsi"/>
        </w:rPr>
        <w:softHyphen/>
      </w:r>
      <w:r w:rsidR="00F00A95" w:rsidRPr="00003AE8">
        <w:rPr>
          <w:rFonts w:cstheme="minorHAnsi"/>
        </w:rPr>
        <w:t xml:space="preserve">richtung eines Frühwarnsystems beim BfArM zur Erkennung von drohenden Lieferengpässen. Mit den vorgeschlagenen Maßnahmen und Investitionen zur Arzneimittelversorgung werden wir </w:t>
      </w:r>
      <w:r w:rsidR="00F00A95" w:rsidRPr="00D10611">
        <w:rPr>
          <w:rFonts w:cstheme="minorHAnsi"/>
          <w:b/>
          <w:bCs/>
        </w:rPr>
        <w:t>mittel- und langfristig die Auswirkungen von Lieferengpässen auf das Gesundheitssystem und mögliche Folgen auch auf die Arbeitsfähigkeit der Bevölkerung und somit auf die Wirtschaft</w:t>
      </w:r>
      <w:r w:rsidR="002C4668" w:rsidRPr="00D10611">
        <w:rPr>
          <w:rFonts w:cstheme="minorHAnsi"/>
          <w:b/>
          <w:bCs/>
        </w:rPr>
        <w:t xml:space="preserve"> abfedern</w:t>
      </w:r>
      <w:r w:rsidR="00003AE8" w:rsidRPr="00D10611">
        <w:rPr>
          <w:rFonts w:cstheme="minorHAnsi"/>
          <w:b/>
          <w:bCs/>
        </w:rPr>
        <w:t>.</w:t>
      </w:r>
      <w:r w:rsidR="002C4668">
        <w:rPr>
          <w:rFonts w:cstheme="minorHAnsi"/>
        </w:rPr>
        <w:t xml:space="preserve"> </w:t>
      </w:r>
      <w:r w:rsidR="002C4668" w:rsidRPr="00D53A10">
        <w:rPr>
          <w:rFonts w:cstheme="minorHAnsi"/>
        </w:rPr>
        <w:t>Um einen nachhaltigen Effekt für den EU-Produktionsstandort zu erzielen, ist eine orchestrierte Vorgehensweise aller EU-Mitgliedsstaaten in Hinblick auf die Berücksichtigung der Versorgungssicherheit in der Arzneimittelbeschaffung zweckdienlich.</w:t>
      </w:r>
      <w:r w:rsidR="002C4668">
        <w:rPr>
          <w:rFonts w:cstheme="minorHAnsi"/>
        </w:rPr>
        <w:t xml:space="preserve"> </w:t>
      </w:r>
    </w:p>
    <w:p w14:paraId="7FBAC4CB" w14:textId="77777777" w:rsidR="00F00A95" w:rsidRDefault="00CC51DE" w:rsidP="002279FC">
      <w:pPr>
        <w:spacing w:after="120" w:line="300" w:lineRule="atLeast"/>
        <w:rPr>
          <w:rFonts w:cstheme="minorHAnsi"/>
          <w:highlight w:val="yellow"/>
        </w:rPr>
      </w:pPr>
      <w:r w:rsidRPr="002C4668">
        <w:rPr>
          <w:rFonts w:cstheme="minorHAnsi"/>
        </w:rPr>
        <w:t>Neben diesen gesundheitspolitischen Maßnahmen sieht d</w:t>
      </w:r>
      <w:r w:rsidR="00DC117A" w:rsidRPr="002C4668">
        <w:rPr>
          <w:rFonts w:cstheme="minorHAnsi"/>
        </w:rPr>
        <w:t xml:space="preserve">er Koalitionsvertrag „Mehr Fortschritt wagen“ </w:t>
      </w:r>
      <w:r w:rsidRPr="002C4668">
        <w:rPr>
          <w:rFonts w:cstheme="minorHAnsi"/>
        </w:rPr>
        <w:t xml:space="preserve">wirtschaftspolitische </w:t>
      </w:r>
      <w:r w:rsidR="00DC117A" w:rsidRPr="002C4668">
        <w:rPr>
          <w:rFonts w:cstheme="minorHAnsi"/>
        </w:rPr>
        <w:t xml:space="preserve">Maßnahmen vor, um die Herstellung von Arzneimitteln inklusive der Wirk- und Hilfsstoffproduktion nach Deutschland oder in die EU zurück zu verlagern. </w:t>
      </w:r>
    </w:p>
    <w:p w14:paraId="3B1C9529" w14:textId="77777777" w:rsidR="000170B7" w:rsidRDefault="000170B7" w:rsidP="002279FC">
      <w:pPr>
        <w:spacing w:after="120" w:line="300" w:lineRule="atLeast"/>
        <w:rPr>
          <w:rFonts w:cstheme="minorHAnsi"/>
          <w:i/>
        </w:rPr>
      </w:pPr>
      <w:r w:rsidRPr="00003AE8">
        <w:rPr>
          <w:rFonts w:cstheme="minorHAnsi"/>
        </w:rPr>
        <w:t>Deutschland unterstützt mit anderen Mitgliedstaaten die Initiative Belgiens zum Thema „</w:t>
      </w:r>
      <w:proofErr w:type="spellStart"/>
      <w:r w:rsidRPr="00003AE8">
        <w:rPr>
          <w:rFonts w:cstheme="minorHAnsi"/>
        </w:rPr>
        <w:t>Improving</w:t>
      </w:r>
      <w:proofErr w:type="spellEnd"/>
      <w:r w:rsidRPr="00003AE8">
        <w:rPr>
          <w:rFonts w:cstheme="minorHAnsi"/>
        </w:rPr>
        <w:t xml:space="preserve"> </w:t>
      </w:r>
      <w:proofErr w:type="spellStart"/>
      <w:r w:rsidRPr="00003AE8">
        <w:rPr>
          <w:rFonts w:cstheme="minorHAnsi"/>
        </w:rPr>
        <w:t>the</w:t>
      </w:r>
      <w:proofErr w:type="spellEnd"/>
      <w:r w:rsidRPr="00003AE8">
        <w:rPr>
          <w:rFonts w:cstheme="minorHAnsi"/>
        </w:rPr>
        <w:t xml:space="preserve"> </w:t>
      </w:r>
      <w:proofErr w:type="spellStart"/>
      <w:r w:rsidRPr="00003AE8">
        <w:rPr>
          <w:rFonts w:cstheme="minorHAnsi"/>
        </w:rPr>
        <w:t>security</w:t>
      </w:r>
      <w:proofErr w:type="spellEnd"/>
      <w:r w:rsidRPr="00003AE8">
        <w:rPr>
          <w:rFonts w:cstheme="minorHAnsi"/>
        </w:rPr>
        <w:t xml:space="preserve"> </w:t>
      </w:r>
      <w:proofErr w:type="spellStart"/>
      <w:r w:rsidRPr="00003AE8">
        <w:rPr>
          <w:rFonts w:cstheme="minorHAnsi"/>
        </w:rPr>
        <w:t>of</w:t>
      </w:r>
      <w:proofErr w:type="spellEnd"/>
      <w:r w:rsidRPr="00003AE8">
        <w:rPr>
          <w:rFonts w:cstheme="minorHAnsi"/>
        </w:rPr>
        <w:t xml:space="preserve"> </w:t>
      </w:r>
      <w:proofErr w:type="spellStart"/>
      <w:r w:rsidRPr="00003AE8">
        <w:rPr>
          <w:rFonts w:cstheme="minorHAnsi"/>
        </w:rPr>
        <w:t>medicines</w:t>
      </w:r>
      <w:proofErr w:type="spellEnd"/>
      <w:r w:rsidRPr="00003AE8">
        <w:rPr>
          <w:rFonts w:cstheme="minorHAnsi"/>
        </w:rPr>
        <w:t xml:space="preserve"> </w:t>
      </w:r>
      <w:proofErr w:type="spellStart"/>
      <w:r w:rsidRPr="00003AE8">
        <w:rPr>
          <w:rFonts w:cstheme="minorHAnsi"/>
        </w:rPr>
        <w:t>supply</w:t>
      </w:r>
      <w:proofErr w:type="spellEnd"/>
      <w:r w:rsidRPr="00003AE8">
        <w:rPr>
          <w:rFonts w:cstheme="minorHAnsi"/>
        </w:rPr>
        <w:t xml:space="preserve"> in Europe”. Eine zentrale Forderung ist, dass die EU-Kommission einen Critical Medicines Act (CMA) – angelehnt an den am 16. März 2023 ver</w:t>
      </w:r>
      <w:r w:rsidRPr="00003AE8">
        <w:rPr>
          <w:rFonts w:cstheme="minorHAnsi"/>
        </w:rPr>
        <w:softHyphen/>
        <w:t>öffent</w:t>
      </w:r>
      <w:r w:rsidRPr="00003AE8">
        <w:rPr>
          <w:rFonts w:cstheme="minorHAnsi"/>
        </w:rPr>
        <w:softHyphen/>
        <w:t>lichen Critical Raw Materials Act (CRMA) – vorlegen soll, mit dem Ziel, die europäische Herstellung im Arzneimittel</w:t>
      </w:r>
      <w:r>
        <w:rPr>
          <w:rFonts w:cstheme="minorHAnsi"/>
        </w:rPr>
        <w:softHyphen/>
      </w:r>
      <w:r w:rsidRPr="00003AE8">
        <w:rPr>
          <w:rFonts w:cstheme="minorHAnsi"/>
        </w:rPr>
        <w:t xml:space="preserve">bereich zu unterstützen und strategische Abhängigkeiten für kritische Arzneimittel zu reduzieren. In diesem Sinne haben wir uns im Vorfeld der Schlussfolgerungen des Europäischen Rates vom 29./ 30.6.2023 dafür eingesetzt, </w:t>
      </w:r>
      <w:r w:rsidRPr="00003AE8">
        <w:rPr>
          <w:rFonts w:cstheme="minorHAnsi"/>
          <w:i/>
        </w:rPr>
        <w:t>„</w:t>
      </w:r>
      <w:r w:rsidRPr="00D10611">
        <w:rPr>
          <w:rFonts w:cstheme="minorHAnsi"/>
          <w:b/>
          <w:bCs/>
          <w:i/>
        </w:rPr>
        <w:t>die Kommission zu ersuchen, eine Initiative für Sofort</w:t>
      </w:r>
      <w:r w:rsidRPr="00D10611">
        <w:rPr>
          <w:rFonts w:cstheme="minorHAnsi"/>
          <w:b/>
          <w:bCs/>
          <w:i/>
        </w:rPr>
        <w:softHyphen/>
        <w:t>maß</w:t>
      </w:r>
      <w:r w:rsidRPr="00D10611">
        <w:rPr>
          <w:rFonts w:cstheme="minorHAnsi"/>
          <w:b/>
          <w:bCs/>
          <w:i/>
        </w:rPr>
        <w:softHyphen/>
        <w:t>nahmen vorzu</w:t>
      </w:r>
      <w:r w:rsidRPr="00D10611">
        <w:rPr>
          <w:rFonts w:cstheme="minorHAnsi"/>
          <w:b/>
          <w:bCs/>
          <w:i/>
        </w:rPr>
        <w:softHyphen/>
        <w:t>schlagen, um die ausreichende Produktion und Verfügbarkeit der kritischsten Arznei</w:t>
      </w:r>
      <w:r w:rsidRPr="00D10611">
        <w:rPr>
          <w:rFonts w:cstheme="minorHAnsi"/>
          <w:b/>
          <w:bCs/>
          <w:i/>
        </w:rPr>
        <w:softHyphen/>
        <w:t>mittel und Be</w:t>
      </w:r>
      <w:r w:rsidRPr="00D10611">
        <w:rPr>
          <w:rFonts w:cstheme="minorHAnsi"/>
          <w:b/>
          <w:bCs/>
          <w:i/>
        </w:rPr>
        <w:softHyphen/>
        <w:t>standteile in Europa sicherzustellen und die internationalen Lieferketten zu diversifizieren</w:t>
      </w:r>
      <w:r w:rsidRPr="00003AE8">
        <w:rPr>
          <w:rFonts w:cstheme="minorHAnsi"/>
          <w:i/>
        </w:rPr>
        <w:t>.“</w:t>
      </w:r>
    </w:p>
    <w:p w14:paraId="6F18D948" w14:textId="77777777" w:rsidR="007E5063" w:rsidRPr="007E5063" w:rsidRDefault="00683D1C" w:rsidP="002279FC">
      <w:pPr>
        <w:spacing w:after="120" w:line="300" w:lineRule="atLeast"/>
        <w:rPr>
          <w:rFonts w:cstheme="minorHAnsi"/>
          <w:b/>
          <w:highlight w:val="yellow"/>
        </w:rPr>
      </w:pPr>
      <w:r>
        <w:rPr>
          <w:rFonts w:cstheme="minorHAnsi"/>
          <w:b/>
        </w:rPr>
        <w:t>Umsetzung</w:t>
      </w:r>
      <w:r w:rsidR="007E5063" w:rsidRPr="00B375CD">
        <w:rPr>
          <w:rFonts w:cstheme="minorHAnsi"/>
          <w:b/>
        </w:rPr>
        <w:t>:</w:t>
      </w:r>
    </w:p>
    <w:p w14:paraId="49F6D7E3" w14:textId="77777777" w:rsidR="00F26FBA" w:rsidRPr="000170B7" w:rsidRDefault="007E5063" w:rsidP="00F26FBA">
      <w:pPr>
        <w:pStyle w:val="Listenabsatz"/>
        <w:numPr>
          <w:ilvl w:val="0"/>
          <w:numId w:val="15"/>
        </w:numPr>
        <w:spacing w:after="120" w:line="300" w:lineRule="atLeast"/>
        <w:rPr>
          <w:rFonts w:cstheme="minorHAnsi"/>
          <w:iCs/>
          <w:lang w:eastAsia="de-DE"/>
        </w:rPr>
      </w:pPr>
      <w:r w:rsidRPr="00B375CD">
        <w:rPr>
          <w:rFonts w:cstheme="minorHAnsi"/>
          <w:iCs/>
          <w:lang w:eastAsia="de-DE"/>
        </w:rPr>
        <w:t>Prüfung von Investitionsbezuschussungen für Produktionsstätten</w:t>
      </w:r>
      <w:r w:rsidR="00F26FBA">
        <w:rPr>
          <w:rFonts w:cstheme="minorHAnsi"/>
          <w:iCs/>
          <w:lang w:eastAsia="de-DE"/>
        </w:rPr>
        <w:t xml:space="preserve"> </w:t>
      </w:r>
      <w:r w:rsidR="00F26FBA">
        <w:rPr>
          <w:rFonts w:cstheme="minorHAnsi"/>
          <w:lang w:eastAsia="de-DE"/>
        </w:rPr>
        <w:t>(FF BMWK, Einbindung BMG)</w:t>
      </w:r>
      <w:r w:rsidR="00F26FBA" w:rsidRPr="007E5063">
        <w:rPr>
          <w:rFonts w:cstheme="minorHAnsi"/>
          <w:lang w:eastAsia="de-DE"/>
        </w:rPr>
        <w:t xml:space="preserve"> </w:t>
      </w:r>
    </w:p>
    <w:p w14:paraId="6FC0D439" w14:textId="33D154DD" w:rsidR="007E5063" w:rsidRPr="00556F7A" w:rsidRDefault="007E5063" w:rsidP="00B375CD">
      <w:pPr>
        <w:pStyle w:val="Listenabsatz"/>
        <w:numPr>
          <w:ilvl w:val="0"/>
          <w:numId w:val="15"/>
        </w:numPr>
        <w:spacing w:after="120" w:line="300" w:lineRule="atLeast"/>
        <w:rPr>
          <w:rFonts w:cstheme="minorHAnsi"/>
          <w:iCs/>
          <w:lang w:eastAsia="de-DE"/>
        </w:rPr>
      </w:pPr>
      <w:r w:rsidRPr="00B375CD">
        <w:rPr>
          <w:rFonts w:cstheme="minorHAnsi"/>
          <w:iCs/>
          <w:lang w:eastAsia="de-DE"/>
        </w:rPr>
        <w:t>Prüfung von Zuschüssen zur Gewährung der Versorgungssicherheit</w:t>
      </w:r>
      <w:r w:rsidRPr="00F2526C">
        <w:rPr>
          <w:rFonts w:cstheme="minorHAnsi"/>
          <w:iCs/>
          <w:lang w:eastAsia="de-DE"/>
        </w:rPr>
        <w:t xml:space="preserve"> </w:t>
      </w:r>
      <w:r w:rsidRPr="00F2526C">
        <w:rPr>
          <w:rFonts w:cstheme="minorHAnsi"/>
          <w:lang w:eastAsia="de-DE"/>
        </w:rPr>
        <w:t xml:space="preserve">(FF BMWK, Einbindung BMG) </w:t>
      </w:r>
    </w:p>
    <w:p w14:paraId="0FCCDD87" w14:textId="70CF10A9" w:rsidR="00F26FBA" w:rsidRPr="007E5063" w:rsidRDefault="00F26FBA" w:rsidP="00F26FBA">
      <w:pPr>
        <w:pStyle w:val="Listenabsatz"/>
        <w:numPr>
          <w:ilvl w:val="0"/>
          <w:numId w:val="15"/>
        </w:numPr>
        <w:spacing w:line="300" w:lineRule="atLeast"/>
        <w:rPr>
          <w:rFonts w:cstheme="minorHAnsi"/>
          <w:b/>
        </w:rPr>
      </w:pPr>
      <w:r>
        <w:rPr>
          <w:rFonts w:cstheme="minorHAnsi"/>
          <w:lang w:eastAsia="de-DE"/>
        </w:rPr>
        <w:t>D</w:t>
      </w:r>
      <w:r w:rsidR="004A2477">
        <w:rPr>
          <w:rFonts w:cstheme="minorHAnsi"/>
          <w:lang w:eastAsia="de-DE"/>
        </w:rPr>
        <w:t>eutschland</w:t>
      </w:r>
      <w:r>
        <w:rPr>
          <w:rFonts w:cstheme="minorHAnsi"/>
          <w:lang w:eastAsia="de-DE"/>
        </w:rPr>
        <w:t xml:space="preserve"> unterstützt die Änderung </w:t>
      </w:r>
      <w:r w:rsidRPr="007E5063">
        <w:rPr>
          <w:rFonts w:cstheme="minorHAnsi"/>
          <w:lang w:eastAsia="de-DE"/>
        </w:rPr>
        <w:t>des EU- Vergaberechts i</w:t>
      </w:r>
      <w:r>
        <w:rPr>
          <w:rFonts w:cstheme="minorHAnsi"/>
          <w:lang w:eastAsia="de-DE"/>
        </w:rPr>
        <w:t>m</w:t>
      </w:r>
      <w:r w:rsidRPr="007E5063">
        <w:rPr>
          <w:rFonts w:cstheme="minorHAnsi"/>
          <w:lang w:eastAsia="de-DE"/>
        </w:rPr>
        <w:t xml:space="preserve"> Hinblick auf die Erweiterung der Vergabekriterien um Versorgungssicherheit/diversifizierte Lieferketten</w:t>
      </w:r>
      <w:r>
        <w:rPr>
          <w:rFonts w:cstheme="minorHAnsi"/>
          <w:lang w:eastAsia="de-DE"/>
        </w:rPr>
        <w:t xml:space="preserve"> (FF BMWK, Einbindung BMG)</w:t>
      </w:r>
      <w:r w:rsidRPr="007E5063">
        <w:rPr>
          <w:rFonts w:cstheme="minorHAnsi"/>
          <w:lang w:eastAsia="de-DE"/>
        </w:rPr>
        <w:t xml:space="preserve"> </w:t>
      </w:r>
    </w:p>
    <w:p w14:paraId="539A91AE" w14:textId="073613D2" w:rsidR="000170B7" w:rsidRPr="00431DF5" w:rsidRDefault="00DD6BBD" w:rsidP="000170B7">
      <w:pPr>
        <w:pStyle w:val="Listenabsatz"/>
        <w:numPr>
          <w:ilvl w:val="0"/>
          <w:numId w:val="15"/>
        </w:numPr>
        <w:spacing w:line="300" w:lineRule="atLeast"/>
        <w:rPr>
          <w:rFonts w:cstheme="minorHAnsi"/>
        </w:rPr>
      </w:pPr>
      <w:r>
        <w:rPr>
          <w:rFonts w:cstheme="minorHAnsi"/>
        </w:rPr>
        <w:t>Deutschland</w:t>
      </w:r>
      <w:r w:rsidR="000170B7">
        <w:rPr>
          <w:rFonts w:cstheme="minorHAnsi"/>
        </w:rPr>
        <w:t xml:space="preserve"> unterstützt die Aufstellung eines Critical </w:t>
      </w:r>
      <w:r w:rsidR="00F26FBA">
        <w:rPr>
          <w:rFonts w:cstheme="minorHAnsi"/>
        </w:rPr>
        <w:t>Medicines</w:t>
      </w:r>
      <w:r w:rsidR="000170B7">
        <w:rPr>
          <w:rFonts w:cstheme="minorHAnsi"/>
        </w:rPr>
        <w:t xml:space="preserve"> Act und bringt sich in aktiv in die Konzeptionierung ein (FF BMWK, Einbindung BMG)</w:t>
      </w:r>
    </w:p>
    <w:p w14:paraId="540B0666" w14:textId="77777777" w:rsidR="00BB431F" w:rsidRPr="00B375CD" w:rsidRDefault="00BB431F" w:rsidP="00B375CD">
      <w:pPr>
        <w:rPr>
          <w:lang w:eastAsia="de-DE"/>
        </w:rPr>
      </w:pPr>
    </w:p>
    <w:p w14:paraId="32B514C5" w14:textId="77777777" w:rsidR="00F00A95" w:rsidRPr="00003AE8" w:rsidRDefault="00003AE8" w:rsidP="002279FC">
      <w:pPr>
        <w:pStyle w:val="berschrift2"/>
        <w:numPr>
          <w:ilvl w:val="0"/>
          <w:numId w:val="0"/>
        </w:numPr>
        <w:spacing w:line="300" w:lineRule="atLeast"/>
        <w:rPr>
          <w:rFonts w:asciiTheme="minorHAnsi" w:hAnsiTheme="minorHAnsi" w:cstheme="minorHAnsi"/>
          <w:sz w:val="22"/>
          <w:szCs w:val="22"/>
        </w:rPr>
      </w:pPr>
      <w:r>
        <w:rPr>
          <w:rFonts w:asciiTheme="minorHAnsi" w:hAnsiTheme="minorHAnsi" w:cstheme="minorHAnsi"/>
          <w:sz w:val="22"/>
          <w:szCs w:val="22"/>
        </w:rPr>
        <w:t>(</w:t>
      </w:r>
      <w:r w:rsidRPr="00003AE8">
        <w:rPr>
          <w:rFonts w:asciiTheme="minorHAnsi" w:hAnsiTheme="minorHAnsi" w:cstheme="minorHAnsi"/>
          <w:b/>
          <w:color w:val="auto"/>
          <w:sz w:val="22"/>
          <w:szCs w:val="22"/>
        </w:rPr>
        <w:t xml:space="preserve">4) </w:t>
      </w:r>
      <w:r w:rsidR="00F00A95" w:rsidRPr="00003AE8">
        <w:rPr>
          <w:rFonts w:asciiTheme="minorHAnsi" w:hAnsiTheme="minorHAnsi" w:cstheme="minorHAnsi"/>
          <w:b/>
          <w:color w:val="auto"/>
          <w:sz w:val="22"/>
          <w:szCs w:val="22"/>
        </w:rPr>
        <w:t>GKV-Finanzstabilisierungsgesetz, AMNOG-</w:t>
      </w:r>
      <w:r w:rsidR="00F00A95" w:rsidRPr="005917CC">
        <w:rPr>
          <w:rFonts w:asciiTheme="minorHAnsi" w:hAnsiTheme="minorHAnsi" w:cstheme="minorHAnsi"/>
          <w:b/>
          <w:color w:val="auto"/>
          <w:sz w:val="22"/>
          <w:szCs w:val="22"/>
        </w:rPr>
        <w:t xml:space="preserve">Reform </w:t>
      </w:r>
      <w:r w:rsidR="005917CC" w:rsidRPr="005917CC">
        <w:rPr>
          <w:rFonts w:asciiTheme="minorHAnsi" w:hAnsiTheme="minorHAnsi" w:cstheme="minorHAnsi"/>
          <w:b/>
          <w:color w:val="auto"/>
          <w:sz w:val="22"/>
          <w:szCs w:val="22"/>
        </w:rPr>
        <w:t>evaluieren</w:t>
      </w:r>
    </w:p>
    <w:p w14:paraId="67EAA5CD" w14:textId="2642E115" w:rsidR="00F00A95" w:rsidRPr="00D10611" w:rsidRDefault="00F00A95" w:rsidP="002279FC">
      <w:pPr>
        <w:spacing w:line="300" w:lineRule="atLeast"/>
        <w:rPr>
          <w:rFonts w:cstheme="minorHAnsi"/>
          <w:b/>
          <w:bCs/>
        </w:rPr>
      </w:pPr>
      <w:r w:rsidRPr="00003AE8">
        <w:rPr>
          <w:rFonts w:cstheme="minorHAnsi"/>
        </w:rPr>
        <w:t>Der Standort Deutschland bietet der Pharmabranche hinsichtlich des Marktzugangs, der vollumfäng</w:t>
      </w:r>
      <w:r w:rsidR="00003AE8">
        <w:rPr>
          <w:rFonts w:cstheme="minorHAnsi"/>
        </w:rPr>
        <w:softHyphen/>
      </w:r>
      <w:r w:rsidRPr="00003AE8">
        <w:rPr>
          <w:rFonts w:cstheme="minorHAnsi"/>
        </w:rPr>
        <w:t xml:space="preserve">lichen Erstattung und dem </w:t>
      </w:r>
      <w:r w:rsidRPr="007A2F2E">
        <w:rPr>
          <w:rFonts w:cstheme="minorHAnsi"/>
        </w:rPr>
        <w:t>auch international anerkannten Prozess der Nutzenbewertung und an</w:t>
      </w:r>
      <w:r w:rsidR="00003AE8" w:rsidRPr="007A2F2E">
        <w:rPr>
          <w:rFonts w:cstheme="minorHAnsi"/>
        </w:rPr>
        <w:softHyphen/>
      </w:r>
      <w:r w:rsidRPr="007A2F2E">
        <w:rPr>
          <w:rFonts w:cstheme="minorHAnsi"/>
        </w:rPr>
        <w:t xml:space="preserve">schließenden Preisbildung von neuen Arzneimitteln auch im internationalen Vergleich </w:t>
      </w:r>
      <w:r w:rsidR="00025870" w:rsidRPr="007A2F2E">
        <w:rPr>
          <w:rFonts w:cstheme="minorHAnsi"/>
        </w:rPr>
        <w:t xml:space="preserve">bereits </w:t>
      </w:r>
      <w:r w:rsidRPr="007A2F2E">
        <w:rPr>
          <w:rFonts w:cstheme="minorHAnsi"/>
        </w:rPr>
        <w:t>ausge</w:t>
      </w:r>
      <w:r w:rsidR="00003AE8" w:rsidRPr="007A2F2E">
        <w:rPr>
          <w:rFonts w:cstheme="minorHAnsi"/>
        </w:rPr>
        <w:softHyphen/>
      </w:r>
      <w:r w:rsidRPr="007A2F2E">
        <w:rPr>
          <w:rFonts w:cstheme="minorHAnsi"/>
        </w:rPr>
        <w:t>zeich</w:t>
      </w:r>
      <w:r w:rsidR="0015410E" w:rsidRPr="007A2F2E">
        <w:rPr>
          <w:rFonts w:cstheme="minorHAnsi"/>
        </w:rPr>
        <w:softHyphen/>
      </w:r>
      <w:r w:rsidRPr="007A2F2E">
        <w:rPr>
          <w:rFonts w:cstheme="minorHAnsi"/>
        </w:rPr>
        <w:t xml:space="preserve">nete Rahmenbedingungen. </w:t>
      </w:r>
      <w:r w:rsidR="00025870" w:rsidRPr="007A2F2E">
        <w:rPr>
          <w:rFonts w:cstheme="minorHAnsi"/>
        </w:rPr>
        <w:t xml:space="preserve">Insbesondere bei neuen patentgeschützten Arzneimitteln gilt Deutschland als Hochpreisland, häufig sind die Preise innovativer Arzneimittel die höchsten in Europa. </w:t>
      </w:r>
      <w:r w:rsidRPr="007A2F2E">
        <w:rPr>
          <w:rFonts w:cstheme="minorHAnsi"/>
        </w:rPr>
        <w:t xml:space="preserve">Deutschland belegt hinsichtlich des Zugangs (schnell und breit) zu neuen Arzneimitteln im </w:t>
      </w:r>
      <w:r w:rsidRPr="007A2F2E">
        <w:rPr>
          <w:rFonts w:cstheme="minorHAnsi"/>
        </w:rPr>
        <w:lastRenderedPageBreak/>
        <w:t>EU</w:t>
      </w:r>
      <w:r w:rsidRPr="00D10611">
        <w:rPr>
          <w:rFonts w:cstheme="minorHAnsi"/>
        </w:rPr>
        <w:t xml:space="preserve">- Vergleich den Spitzenplatz. </w:t>
      </w:r>
      <w:r w:rsidRPr="00D10611">
        <w:rPr>
          <w:rFonts w:cstheme="minorHAnsi"/>
          <w:b/>
          <w:bCs/>
        </w:rPr>
        <w:t>Die sehr günstigen Rahmen</w:t>
      </w:r>
      <w:r w:rsidR="00003AE8" w:rsidRPr="00D10611">
        <w:rPr>
          <w:rFonts w:cstheme="minorHAnsi"/>
          <w:b/>
          <w:bCs/>
        </w:rPr>
        <w:softHyphen/>
      </w:r>
      <w:r w:rsidRPr="00D10611">
        <w:rPr>
          <w:rFonts w:cstheme="minorHAnsi"/>
          <w:b/>
          <w:bCs/>
        </w:rPr>
        <w:t>bedingungen für forschende Pharmaunternehmen in Deutschland bleiben auch mit dem GKV-Finanzstabilisi</w:t>
      </w:r>
      <w:r w:rsidR="0015410E" w:rsidRPr="00D10611">
        <w:rPr>
          <w:rFonts w:cstheme="minorHAnsi"/>
          <w:b/>
          <w:bCs/>
        </w:rPr>
        <w:softHyphen/>
      </w:r>
      <w:r w:rsidRPr="00D10611">
        <w:rPr>
          <w:rFonts w:cstheme="minorHAnsi"/>
          <w:b/>
          <w:bCs/>
        </w:rPr>
        <w:t>erungs</w:t>
      </w:r>
      <w:r w:rsidR="0015410E" w:rsidRPr="00D10611">
        <w:rPr>
          <w:rFonts w:cstheme="minorHAnsi"/>
          <w:b/>
          <w:bCs/>
        </w:rPr>
        <w:softHyphen/>
      </w:r>
      <w:r w:rsidRPr="00D10611">
        <w:rPr>
          <w:rFonts w:cstheme="minorHAnsi"/>
          <w:b/>
          <w:bCs/>
        </w:rPr>
        <w:t>gesetz (GKV-</w:t>
      </w:r>
      <w:proofErr w:type="spellStart"/>
      <w:r w:rsidRPr="00D10611">
        <w:rPr>
          <w:rFonts w:cstheme="minorHAnsi"/>
          <w:b/>
          <w:bCs/>
        </w:rPr>
        <w:t>FinStG</w:t>
      </w:r>
      <w:proofErr w:type="spellEnd"/>
      <w:r w:rsidRPr="00D10611">
        <w:rPr>
          <w:rFonts w:cstheme="minorHAnsi"/>
          <w:b/>
          <w:bCs/>
        </w:rPr>
        <w:t xml:space="preserve">) erhalten. </w:t>
      </w:r>
    </w:p>
    <w:p w14:paraId="77C89D22" w14:textId="77777777" w:rsidR="00CE55F3" w:rsidRPr="00D10611" w:rsidRDefault="00F00A95" w:rsidP="002279FC">
      <w:pPr>
        <w:spacing w:line="300" w:lineRule="atLeast"/>
        <w:rPr>
          <w:rFonts w:cstheme="minorHAnsi"/>
        </w:rPr>
      </w:pPr>
      <w:r w:rsidRPr="00D10611">
        <w:rPr>
          <w:rFonts w:cstheme="minorHAnsi"/>
        </w:rPr>
        <w:t xml:space="preserve">Die Arzneimittelausgaben sind ein in den letzten Jahren überproportional </w:t>
      </w:r>
      <w:r w:rsidR="00C31E41" w:rsidRPr="00D10611">
        <w:rPr>
          <w:rFonts w:cstheme="minorHAnsi"/>
        </w:rPr>
        <w:t>gestiegen</w:t>
      </w:r>
      <w:r w:rsidRPr="00D10611">
        <w:rPr>
          <w:rFonts w:cstheme="minorHAnsi"/>
        </w:rPr>
        <w:t xml:space="preserve"> in der gesetzlichen Krankenversicherung. Der maßgebliche Grund für diese Entwicklung ist, dass die Preise für neue </w:t>
      </w:r>
      <w:r w:rsidR="00025870" w:rsidRPr="00D10611">
        <w:rPr>
          <w:rFonts w:cstheme="minorHAnsi"/>
        </w:rPr>
        <w:t xml:space="preserve">patentgeschützte </w:t>
      </w:r>
      <w:r w:rsidRPr="00D10611">
        <w:rPr>
          <w:rFonts w:cstheme="minorHAnsi"/>
        </w:rPr>
        <w:t xml:space="preserve">Arzneimittel sich in den letzten Jahren, trotz bestehender Regulierungsinstrumente, </w:t>
      </w:r>
      <w:r w:rsidR="00025870" w:rsidRPr="00D10611">
        <w:rPr>
          <w:rFonts w:cstheme="minorHAnsi"/>
        </w:rPr>
        <w:t>immer stärker</w:t>
      </w:r>
      <w:r w:rsidRPr="00D10611">
        <w:rPr>
          <w:rFonts w:cstheme="minorHAnsi"/>
        </w:rPr>
        <w:t xml:space="preserve"> erhöht haben. Deutschland bleibt damit weiterhin fast das einzige Land in der EU mit einer freien Preisbildung zum Markteintritt und der Möglichkeit zum Marktzugang/Erstattung unmittelbar nach der Zulassung. </w:t>
      </w:r>
    </w:p>
    <w:p w14:paraId="2FE79A51" w14:textId="0EB91297" w:rsidR="00F00A95" w:rsidRPr="00D10611" w:rsidRDefault="00F00A95" w:rsidP="002279FC">
      <w:pPr>
        <w:spacing w:line="300" w:lineRule="atLeast"/>
        <w:rPr>
          <w:rFonts w:cstheme="minorHAnsi"/>
        </w:rPr>
      </w:pPr>
      <w:r w:rsidRPr="00D10611">
        <w:rPr>
          <w:rFonts w:cstheme="minorHAnsi"/>
        </w:rPr>
        <w:t xml:space="preserve">Das BMG wird bis Ende 2023 eine Evaluation der AMNOG-Reform </w:t>
      </w:r>
      <w:r w:rsidR="00CE55F3" w:rsidRPr="00D10611">
        <w:rPr>
          <w:rFonts w:cstheme="minorHAnsi"/>
        </w:rPr>
        <w:t>im GKV-</w:t>
      </w:r>
      <w:proofErr w:type="spellStart"/>
      <w:r w:rsidR="00CE55F3" w:rsidRPr="00D10611">
        <w:rPr>
          <w:rFonts w:cstheme="minorHAnsi"/>
        </w:rPr>
        <w:t>FinStG</w:t>
      </w:r>
      <w:proofErr w:type="spellEnd"/>
      <w:r w:rsidR="00CE55F3" w:rsidRPr="00D10611">
        <w:rPr>
          <w:rFonts w:cstheme="minorHAnsi"/>
        </w:rPr>
        <w:t xml:space="preserve"> </w:t>
      </w:r>
      <w:r w:rsidRPr="00D10611">
        <w:rPr>
          <w:rFonts w:cstheme="minorHAnsi"/>
        </w:rPr>
        <w:t>durchführen. So wird geprüft, ob die Reform ihre Ziele erreicht und welche Effekte mit Blick auf Versorgungssicherheit und Produktionsstandort entstehen.</w:t>
      </w:r>
    </w:p>
    <w:p w14:paraId="6317DE08" w14:textId="07773D98" w:rsidR="00003AE8" w:rsidRDefault="00F00A95" w:rsidP="002279FC">
      <w:pPr>
        <w:spacing w:after="120" w:line="300" w:lineRule="atLeast"/>
        <w:rPr>
          <w:rFonts w:cstheme="minorHAnsi"/>
          <w:lang w:eastAsia="de-DE"/>
        </w:rPr>
      </w:pPr>
      <w:r w:rsidRPr="00D10611">
        <w:rPr>
          <w:rFonts w:cstheme="minorHAnsi"/>
          <w:lang w:eastAsia="de-DE"/>
        </w:rPr>
        <w:t xml:space="preserve">Deutschland ist als wichtiger Markt für Arzneimittel zugleich Referenzmarkt für viele weitere Staaten bei Preisverhandlungen. Daher </w:t>
      </w:r>
      <w:r w:rsidR="005C7084" w:rsidRPr="00D10611">
        <w:rPr>
          <w:rFonts w:cstheme="minorHAnsi"/>
          <w:lang w:eastAsia="de-DE"/>
        </w:rPr>
        <w:t xml:space="preserve">sollte </w:t>
      </w:r>
      <w:r w:rsidR="00442AF4" w:rsidRPr="00D10611">
        <w:rPr>
          <w:rFonts w:cstheme="minorHAnsi"/>
          <w:lang w:eastAsia="de-DE"/>
        </w:rPr>
        <w:t>in Zusammenarbeit mit den EU-Partnern geprüft werden, welche</w:t>
      </w:r>
      <w:r w:rsidRPr="00D10611">
        <w:rPr>
          <w:rFonts w:cstheme="minorHAnsi"/>
          <w:lang w:eastAsia="de-DE"/>
        </w:rPr>
        <w:t xml:space="preserve"> Wirkung öffentlich bekannte</w:t>
      </w:r>
      <w:r w:rsidR="00442AF4" w:rsidRPr="00D10611">
        <w:rPr>
          <w:rFonts w:cstheme="minorHAnsi"/>
          <w:lang w:eastAsia="de-DE"/>
        </w:rPr>
        <w:t xml:space="preserve"> bzw. vertrauliche</w:t>
      </w:r>
      <w:r w:rsidRPr="00D10611">
        <w:rPr>
          <w:rFonts w:cstheme="minorHAnsi"/>
          <w:lang w:eastAsia="de-DE"/>
        </w:rPr>
        <w:t xml:space="preserve"> Rabatte auf den Hersteller</w:t>
      </w:r>
      <w:r w:rsidR="0015410E" w:rsidRPr="00D10611">
        <w:rPr>
          <w:rFonts w:cstheme="minorHAnsi"/>
          <w:lang w:eastAsia="de-DE"/>
        </w:rPr>
        <w:softHyphen/>
      </w:r>
      <w:r w:rsidRPr="00D10611">
        <w:rPr>
          <w:rFonts w:cstheme="minorHAnsi"/>
          <w:lang w:eastAsia="de-DE"/>
        </w:rPr>
        <w:t xml:space="preserve">preis (Gewährung von Abschlägen durch die Hersteller im Rahmen der Preisverhandlungen zwischen Kassen und Herstellern) in </w:t>
      </w:r>
      <w:r w:rsidR="0015410E" w:rsidRPr="00D10611">
        <w:rPr>
          <w:rFonts w:cstheme="minorHAnsi"/>
          <w:lang w:eastAsia="de-DE"/>
        </w:rPr>
        <w:t>Deutschland</w:t>
      </w:r>
      <w:r w:rsidRPr="00D10611">
        <w:rPr>
          <w:rFonts w:cstheme="minorHAnsi"/>
          <w:lang w:eastAsia="de-DE"/>
        </w:rPr>
        <w:t xml:space="preserve"> haben können.</w:t>
      </w:r>
    </w:p>
    <w:p w14:paraId="25ADB31F" w14:textId="77777777" w:rsidR="00A46E58" w:rsidRPr="007E5063" w:rsidRDefault="00683D1C" w:rsidP="00A46E58">
      <w:pPr>
        <w:spacing w:after="120" w:line="300" w:lineRule="atLeast"/>
        <w:rPr>
          <w:rFonts w:cstheme="minorHAnsi"/>
          <w:b/>
          <w:highlight w:val="yellow"/>
        </w:rPr>
      </w:pPr>
      <w:r>
        <w:rPr>
          <w:rFonts w:cstheme="minorHAnsi"/>
          <w:b/>
        </w:rPr>
        <w:t>Umsetzung</w:t>
      </w:r>
      <w:r w:rsidR="00A46E58" w:rsidRPr="00431DF5">
        <w:rPr>
          <w:rFonts w:cstheme="minorHAnsi"/>
          <w:b/>
        </w:rPr>
        <w:t>:</w:t>
      </w:r>
    </w:p>
    <w:p w14:paraId="13BD7A6A" w14:textId="77777777" w:rsidR="00A46E58" w:rsidRPr="00560921" w:rsidRDefault="00A46E58" w:rsidP="00A46E58">
      <w:pPr>
        <w:pStyle w:val="Listenabsatz"/>
        <w:numPr>
          <w:ilvl w:val="0"/>
          <w:numId w:val="15"/>
        </w:numPr>
        <w:spacing w:line="300" w:lineRule="atLeast"/>
        <w:rPr>
          <w:rFonts w:cstheme="minorHAnsi"/>
          <w:b/>
        </w:rPr>
      </w:pPr>
      <w:r w:rsidRPr="00560921">
        <w:rPr>
          <w:rFonts w:cstheme="minorHAnsi"/>
          <w:lang w:eastAsia="de-DE"/>
        </w:rPr>
        <w:t>Evaluierung der AMNOG-Reform Ende 2023 (FF BMG, Einbindung BMWK)</w:t>
      </w:r>
    </w:p>
    <w:p w14:paraId="1E218259" w14:textId="77777777" w:rsidR="00003AE8" w:rsidRDefault="00003AE8" w:rsidP="002279FC">
      <w:pPr>
        <w:spacing w:after="120" w:line="300" w:lineRule="atLeast"/>
        <w:rPr>
          <w:rFonts w:cstheme="minorHAnsi"/>
          <w:lang w:eastAsia="de-DE"/>
        </w:rPr>
      </w:pPr>
    </w:p>
    <w:p w14:paraId="06924A7B" w14:textId="0482A7E5" w:rsidR="00E17ED0" w:rsidRPr="00003AE8" w:rsidRDefault="00003AE8" w:rsidP="002279FC">
      <w:pPr>
        <w:spacing w:after="120" w:line="300" w:lineRule="atLeast"/>
        <w:rPr>
          <w:rFonts w:cstheme="minorHAnsi"/>
          <w:b/>
          <w:lang w:eastAsia="de-DE"/>
        </w:rPr>
      </w:pPr>
      <w:r w:rsidRPr="00003AE8">
        <w:rPr>
          <w:rFonts w:cstheme="minorHAnsi"/>
          <w:b/>
          <w:lang w:eastAsia="de-DE"/>
        </w:rPr>
        <w:t>(5)</w:t>
      </w:r>
      <w:r w:rsidR="00683D1C">
        <w:rPr>
          <w:rFonts w:cstheme="minorHAnsi"/>
          <w:b/>
          <w:lang w:eastAsia="de-DE"/>
        </w:rPr>
        <w:t xml:space="preserve"> </w:t>
      </w:r>
      <w:r w:rsidR="00E17ED0" w:rsidRPr="00003AE8">
        <w:rPr>
          <w:rFonts w:cstheme="minorHAnsi"/>
          <w:b/>
        </w:rPr>
        <w:t>Zulassungsverfahren</w:t>
      </w:r>
      <w:r w:rsidR="0015410E">
        <w:rPr>
          <w:rFonts w:cstheme="minorHAnsi"/>
          <w:b/>
        </w:rPr>
        <w:t xml:space="preserve"> verschlanken</w:t>
      </w:r>
      <w:r w:rsidR="00683D1C" w:rsidRPr="00683D1C">
        <w:rPr>
          <w:rFonts w:cstheme="minorHAnsi"/>
          <w:b/>
          <w:lang w:eastAsia="de-DE"/>
        </w:rPr>
        <w:t xml:space="preserve"> </w:t>
      </w:r>
      <w:r w:rsidR="00683D1C">
        <w:rPr>
          <w:rFonts w:cstheme="minorHAnsi"/>
          <w:b/>
          <w:lang w:eastAsia="de-DE"/>
        </w:rPr>
        <w:t xml:space="preserve">und Wettbewerbsfähigkeit im Rahmen des EU-Pharmapakets stärken </w:t>
      </w:r>
    </w:p>
    <w:p w14:paraId="3540025D" w14:textId="394894D5" w:rsidR="0015410E" w:rsidRDefault="00E17ED0" w:rsidP="002279FC">
      <w:pPr>
        <w:spacing w:line="300" w:lineRule="atLeast"/>
        <w:rPr>
          <w:rFonts w:cstheme="minorHAnsi"/>
        </w:rPr>
      </w:pPr>
      <w:r w:rsidRPr="00003AE8">
        <w:rPr>
          <w:rFonts w:cstheme="minorHAnsi"/>
        </w:rPr>
        <w:t>Die Regelungen zur Zulassung von Arzneimitteln sind europäisch harmonisiert und die entsprech</w:t>
      </w:r>
      <w:r w:rsidR="00003AE8">
        <w:rPr>
          <w:rFonts w:cstheme="minorHAnsi"/>
        </w:rPr>
        <w:softHyphen/>
      </w:r>
      <w:r w:rsidRPr="00003AE8">
        <w:rPr>
          <w:rFonts w:cstheme="minorHAnsi"/>
        </w:rPr>
        <w:t xml:space="preserve">enden Anforderungen und Verfahren für die Genehmigung und Überwachung von Arzneimitteln hauptsächlich in der Richtlinie 2001/83/EG und in der Verordnung (EG) Nr. 726/2004 festgelegt; für alle Mitgliedstaaten (MS) gelten dieselben Vorschriften und Verfahren. </w:t>
      </w:r>
    </w:p>
    <w:p w14:paraId="30828C24" w14:textId="1122C395" w:rsidR="005E119D" w:rsidRDefault="005E119D" w:rsidP="002279FC">
      <w:pPr>
        <w:spacing w:line="300" w:lineRule="atLeast"/>
        <w:rPr>
          <w:rFonts w:cstheme="minorHAnsi"/>
        </w:rPr>
      </w:pPr>
      <w:r>
        <w:rPr>
          <w:rFonts w:cstheme="minorHAnsi"/>
        </w:rPr>
        <w:t>Im Jahr 2022 wurde von der Europäischen Arzneimittel-Agentur für 89 Arzneimittel die Empfehlung der Genehmigung für das Inverkehrbringen ausgesprochen; 41 davon betrafen einen neue</w:t>
      </w:r>
      <w:r w:rsidRPr="002107B2">
        <w:rPr>
          <w:rFonts w:cstheme="minorHAnsi"/>
        </w:rPr>
        <w:t xml:space="preserve">n Wirkstoff, der </w:t>
      </w:r>
      <w:r>
        <w:rPr>
          <w:rFonts w:cstheme="minorHAnsi"/>
        </w:rPr>
        <w:t>zuvor nicht</w:t>
      </w:r>
      <w:r w:rsidRPr="002107B2">
        <w:rPr>
          <w:rFonts w:cstheme="minorHAnsi"/>
        </w:rPr>
        <w:t xml:space="preserve"> in der EU zugelassen war</w:t>
      </w:r>
      <w:r>
        <w:rPr>
          <w:rFonts w:cstheme="minorHAnsi"/>
        </w:rPr>
        <w:t>.</w:t>
      </w:r>
    </w:p>
    <w:p w14:paraId="5E7D03F1" w14:textId="77777777" w:rsidR="005E119D" w:rsidRDefault="00E17ED0" w:rsidP="000D254F">
      <w:pPr>
        <w:spacing w:after="120" w:line="300" w:lineRule="atLeast"/>
        <w:rPr>
          <w:rFonts w:cstheme="minorHAnsi"/>
        </w:rPr>
      </w:pPr>
      <w:r w:rsidRPr="00003AE8">
        <w:rPr>
          <w:rFonts w:cstheme="minorHAnsi"/>
        </w:rPr>
        <w:t>Mit Blick auf das europäische Arzneimittelrecht hat die EU-Kommission am 26. April 2023 das Pharmap</w:t>
      </w:r>
      <w:r w:rsidR="00003AE8">
        <w:rPr>
          <w:rFonts w:cstheme="minorHAnsi"/>
        </w:rPr>
        <w:softHyphen/>
      </w:r>
      <w:r w:rsidRPr="00003AE8">
        <w:rPr>
          <w:rFonts w:cstheme="minorHAnsi"/>
        </w:rPr>
        <w:t xml:space="preserve">aket zur Überarbeitung des EU-Arzneimittelrechts vorgelegt. </w:t>
      </w:r>
      <w:r w:rsidR="00683D1C" w:rsidRPr="00003AE8">
        <w:rPr>
          <w:rFonts w:cstheme="minorHAnsi"/>
        </w:rPr>
        <w:t>Die Revision der Arzneimittelvorschriften soll zu einem nachhaltigen, widerstandsfähigen, fairen und wettbewerbsfähigen Arzneimittelsektor führen, der sich dem digitalen Wandel und neuen Technologien anpasst. Es soll sichergestellt werden, dass alle Patientinnen und Patienten einen zeit</w:t>
      </w:r>
      <w:r w:rsidR="00683D1C">
        <w:rPr>
          <w:rFonts w:cstheme="minorHAnsi"/>
        </w:rPr>
        <w:softHyphen/>
      </w:r>
      <w:r w:rsidR="00683D1C" w:rsidRPr="00003AE8">
        <w:rPr>
          <w:rFonts w:cstheme="minorHAnsi"/>
        </w:rPr>
        <w:t>nahen und gerechten Zugang zu erschwinglichen Arzneimitteln haben und Europa ein attraktives und wettbewerbsfähiges Innovationsumfeld für Forschung, Entwicklung und Herstellung von Arznei</w:t>
      </w:r>
      <w:r w:rsidR="00683D1C">
        <w:rPr>
          <w:rFonts w:cstheme="minorHAnsi"/>
        </w:rPr>
        <w:softHyphen/>
      </w:r>
      <w:r w:rsidR="00683D1C" w:rsidRPr="00003AE8">
        <w:rPr>
          <w:rFonts w:cstheme="minorHAnsi"/>
        </w:rPr>
        <w:t>mitteln bietet. Schließlich sollen Arzneimittel umweltverträglicher werden, um den Zielen des Europäischen Grünen Deals gerecht zu werden.</w:t>
      </w:r>
      <w:r w:rsidR="00683D1C">
        <w:rPr>
          <w:rFonts w:cstheme="minorHAnsi"/>
        </w:rPr>
        <w:t xml:space="preserve"> </w:t>
      </w:r>
      <w:r w:rsidR="00683D1C" w:rsidRPr="00D10611">
        <w:rPr>
          <w:rFonts w:cstheme="minorHAnsi"/>
          <w:b/>
          <w:bCs/>
        </w:rPr>
        <w:t>Die derzeitige Revision des EU-Arzneimittelrechts ist ein Meilenstein, welche den Rechts</w:t>
      </w:r>
      <w:r w:rsidR="00683D1C" w:rsidRPr="00D10611">
        <w:rPr>
          <w:rFonts w:cstheme="minorHAnsi"/>
          <w:b/>
          <w:bCs/>
        </w:rPr>
        <w:softHyphen/>
        <w:t>rahmen für die kommenden Jahrzehnte gestalten wird</w:t>
      </w:r>
      <w:r w:rsidR="00683D1C" w:rsidRPr="00003AE8">
        <w:rPr>
          <w:rFonts w:cstheme="minorHAnsi"/>
        </w:rPr>
        <w:t xml:space="preserve">. </w:t>
      </w:r>
      <w:r w:rsidRPr="00003AE8">
        <w:rPr>
          <w:rFonts w:cstheme="minorHAnsi"/>
        </w:rPr>
        <w:t>Innerhalb des Vorschlags der EU-Kommission werden auch regulatorische Vereinfachungen (z.B. keine zeitliche Beschränkung der Erstzulassung mehr, d.h.</w:t>
      </w:r>
      <w:r w:rsidR="00F227B6" w:rsidRPr="00003AE8">
        <w:rPr>
          <w:rFonts w:cstheme="minorHAnsi"/>
        </w:rPr>
        <w:t xml:space="preserve"> </w:t>
      </w:r>
      <w:r w:rsidRPr="00003AE8">
        <w:rPr>
          <w:rFonts w:cstheme="minorHAnsi"/>
        </w:rPr>
        <w:t>Wegfall der Verlängerung); Reduzierung der Zahl wissenschaftlicher Ausschüsse von sieben auf zwei</w:t>
      </w:r>
      <w:r w:rsidR="00003AE8">
        <w:rPr>
          <w:rFonts w:cstheme="minorHAnsi"/>
        </w:rPr>
        <w:t>) vorgeschlagen.</w:t>
      </w:r>
    </w:p>
    <w:p w14:paraId="0BDC63B8" w14:textId="49257A2E" w:rsidR="00F227B6" w:rsidRPr="00003AE8" w:rsidRDefault="005E119D" w:rsidP="002279FC">
      <w:pPr>
        <w:spacing w:line="300" w:lineRule="atLeast"/>
        <w:rPr>
          <w:rFonts w:cstheme="minorHAnsi"/>
        </w:rPr>
      </w:pPr>
      <w:r w:rsidRPr="00D10611">
        <w:rPr>
          <w:rFonts w:cstheme="minorHAnsi"/>
          <w:b/>
          <w:bCs/>
        </w:rPr>
        <w:lastRenderedPageBreak/>
        <w:t>National sind die europäischen Vorschriften im Arzneimittelgesetz</w:t>
      </w:r>
      <w:r w:rsidRPr="00003AE8">
        <w:rPr>
          <w:rFonts w:cstheme="minorHAnsi"/>
        </w:rPr>
        <w:t xml:space="preserve"> umgesetzt. In Deutschland sind das Bundesinstitut für Arzneimittel und Medizinprodukte (BfArM) sowie das Paul-Ehrlich-Institut (PEI) die beiden für das Zulassungsverfahren zuständigen Bundesoberbehörden. Die auf bestimmte Arzneimittel speziali</w:t>
      </w:r>
      <w:r>
        <w:rPr>
          <w:rFonts w:cstheme="minorHAnsi"/>
        </w:rPr>
        <w:softHyphen/>
      </w:r>
      <w:r w:rsidRPr="00003AE8">
        <w:rPr>
          <w:rFonts w:cstheme="minorHAnsi"/>
        </w:rPr>
        <w:t>sierten Bundesoberbehörden übernehmen mit ihrer Expertise im europäischen Netzwerk der Arznei</w:t>
      </w:r>
      <w:r>
        <w:rPr>
          <w:rFonts w:cstheme="minorHAnsi"/>
        </w:rPr>
        <w:softHyphen/>
      </w:r>
      <w:r w:rsidRPr="00003AE8">
        <w:rPr>
          <w:rFonts w:cstheme="minorHAnsi"/>
        </w:rPr>
        <w:t>mittelzulassung eine bedeutsame Position sowie bei Zulassungsverfahren einen herausragenden Anteil der Berichterstatter- sowie Ko-</w:t>
      </w:r>
      <w:proofErr w:type="spellStart"/>
      <w:r w:rsidRPr="00003AE8">
        <w:rPr>
          <w:rFonts w:cstheme="minorHAnsi"/>
        </w:rPr>
        <w:t>Berichterstatterfunktionen</w:t>
      </w:r>
      <w:proofErr w:type="spellEnd"/>
      <w:r w:rsidRPr="00003AE8">
        <w:rPr>
          <w:rFonts w:cstheme="minorHAnsi"/>
        </w:rPr>
        <w:t xml:space="preserve">. </w:t>
      </w:r>
      <w:r w:rsidRPr="00D10611">
        <w:rPr>
          <w:rFonts w:cstheme="minorHAnsi"/>
          <w:b/>
          <w:bCs/>
        </w:rPr>
        <w:t>Die Expertise in den beiden Bundes</w:t>
      </w:r>
      <w:r w:rsidRPr="00D10611">
        <w:rPr>
          <w:rFonts w:cstheme="minorHAnsi"/>
          <w:b/>
          <w:bCs/>
        </w:rPr>
        <w:softHyphen/>
        <w:t>oberbehörden stellt für pharmazeutische Unternehmer in Deutschland sicher, dass sowohl wissen</w:t>
      </w:r>
      <w:r w:rsidRPr="00D10611">
        <w:rPr>
          <w:rFonts w:cstheme="minorHAnsi"/>
          <w:b/>
          <w:bCs/>
        </w:rPr>
        <w:softHyphen/>
        <w:t>schaftliche Beratungen, Verfahren zu klinischen Prüfungen als auch Zulassungs</w:t>
      </w:r>
      <w:r w:rsidRPr="00D10611">
        <w:rPr>
          <w:rFonts w:cstheme="minorHAnsi"/>
          <w:b/>
          <w:bCs/>
        </w:rPr>
        <w:softHyphen/>
        <w:t>verfahren zügig und kompetent bearbeitet werden.</w:t>
      </w:r>
      <w:r w:rsidR="00BB431F">
        <w:rPr>
          <w:rFonts w:cstheme="minorHAnsi"/>
        </w:rPr>
        <w:t xml:space="preserve"> </w:t>
      </w:r>
      <w:r w:rsidR="00683D1C">
        <w:rPr>
          <w:rFonts w:cstheme="minorHAnsi"/>
        </w:rPr>
        <w:t>Zudem</w:t>
      </w:r>
      <w:r w:rsidR="00683D1C" w:rsidRPr="00003AE8">
        <w:rPr>
          <w:rFonts w:cstheme="minorHAnsi"/>
        </w:rPr>
        <w:t xml:space="preserve"> </w:t>
      </w:r>
      <w:r w:rsidR="00F227B6" w:rsidRPr="00003AE8">
        <w:rPr>
          <w:rFonts w:cstheme="minorHAnsi"/>
        </w:rPr>
        <w:t>w</w:t>
      </w:r>
      <w:r w:rsidR="003803DB">
        <w:rPr>
          <w:rFonts w:cstheme="minorHAnsi"/>
        </w:rPr>
        <w:t xml:space="preserve">erden wir uns </w:t>
      </w:r>
      <w:r w:rsidR="00F227B6" w:rsidRPr="00003AE8">
        <w:rPr>
          <w:rFonts w:cstheme="minorHAnsi"/>
        </w:rPr>
        <w:t>dafür einsetzen, dass wichtige Wettbewerbselemente, die die Wettbewerbs</w:t>
      </w:r>
      <w:r w:rsidR="00003AE8">
        <w:rPr>
          <w:rFonts w:cstheme="minorHAnsi"/>
        </w:rPr>
        <w:softHyphen/>
      </w:r>
      <w:r w:rsidR="00F227B6" w:rsidRPr="00003AE8">
        <w:rPr>
          <w:rFonts w:cstheme="minorHAnsi"/>
        </w:rPr>
        <w:t>fähigkeit der pharmazeutischen Industrie – auch im geopolitischen Kontext – betreffen, gestärkt werden.</w:t>
      </w:r>
    </w:p>
    <w:p w14:paraId="56059B89" w14:textId="77777777" w:rsidR="000D254F" w:rsidRPr="007E5063" w:rsidRDefault="00683D1C" w:rsidP="000D254F">
      <w:pPr>
        <w:spacing w:after="120" w:line="300" w:lineRule="atLeast"/>
        <w:rPr>
          <w:rFonts w:cstheme="minorHAnsi"/>
          <w:b/>
          <w:highlight w:val="yellow"/>
        </w:rPr>
      </w:pPr>
      <w:r>
        <w:rPr>
          <w:rFonts w:cstheme="minorHAnsi"/>
          <w:b/>
        </w:rPr>
        <w:t>Umsetzung</w:t>
      </w:r>
      <w:r w:rsidR="000D254F" w:rsidRPr="00431DF5">
        <w:rPr>
          <w:rFonts w:cstheme="minorHAnsi"/>
          <w:b/>
        </w:rPr>
        <w:t>:</w:t>
      </w:r>
    </w:p>
    <w:p w14:paraId="68C2A219" w14:textId="7E880853" w:rsidR="00BB431F" w:rsidRDefault="00DD6BBD" w:rsidP="00B375CD">
      <w:pPr>
        <w:pStyle w:val="Listenabsatz"/>
        <w:spacing w:line="300" w:lineRule="atLeast"/>
        <w:rPr>
          <w:rFonts w:cstheme="minorHAnsi"/>
        </w:rPr>
      </w:pPr>
      <w:r>
        <w:rPr>
          <w:rFonts w:cstheme="minorHAnsi"/>
        </w:rPr>
        <w:t>Deutschland</w:t>
      </w:r>
      <w:r w:rsidR="00683D1C">
        <w:rPr>
          <w:rFonts w:cstheme="minorHAnsi"/>
        </w:rPr>
        <w:t xml:space="preserve"> setzt sich in den EU-Verhandlungen für die regulatorische Vereinfachung der Zulassungsverfahren und eine starke Wettbewerbsfähigkeit der regulatorischen Rahmenbedingungen ein (FF BMG). </w:t>
      </w:r>
    </w:p>
    <w:p w14:paraId="0AD6691B" w14:textId="77777777" w:rsidR="003803DB" w:rsidRDefault="003803DB" w:rsidP="00B375CD">
      <w:pPr>
        <w:pStyle w:val="Listenabsatz"/>
        <w:spacing w:line="300" w:lineRule="atLeast"/>
        <w:rPr>
          <w:rFonts w:asciiTheme="minorHAnsi" w:hAnsiTheme="minorHAnsi"/>
          <w:b/>
        </w:rPr>
      </w:pPr>
    </w:p>
    <w:p w14:paraId="5E8AFA76" w14:textId="10271730" w:rsidR="00F00A95" w:rsidRPr="00003AE8" w:rsidRDefault="00003AE8" w:rsidP="002279FC">
      <w:pPr>
        <w:pStyle w:val="berschrift2"/>
        <w:numPr>
          <w:ilvl w:val="0"/>
          <w:numId w:val="0"/>
        </w:numPr>
        <w:spacing w:line="300" w:lineRule="atLeast"/>
        <w:rPr>
          <w:rFonts w:asciiTheme="minorHAnsi" w:hAnsiTheme="minorHAnsi" w:cstheme="minorHAnsi"/>
          <w:b/>
          <w:color w:val="auto"/>
          <w:sz w:val="22"/>
          <w:szCs w:val="22"/>
        </w:rPr>
      </w:pPr>
      <w:r w:rsidRPr="00003AE8">
        <w:rPr>
          <w:rFonts w:asciiTheme="minorHAnsi" w:hAnsiTheme="minorHAnsi" w:cstheme="minorHAnsi"/>
          <w:b/>
          <w:color w:val="auto"/>
          <w:sz w:val="22"/>
          <w:szCs w:val="22"/>
        </w:rPr>
        <w:t>(</w:t>
      </w:r>
      <w:r w:rsidR="00A656FB">
        <w:rPr>
          <w:rFonts w:asciiTheme="minorHAnsi" w:hAnsiTheme="minorHAnsi" w:cstheme="minorHAnsi"/>
          <w:b/>
          <w:color w:val="auto"/>
          <w:sz w:val="22"/>
          <w:szCs w:val="22"/>
        </w:rPr>
        <w:t>6</w:t>
      </w:r>
      <w:r w:rsidRPr="00003AE8">
        <w:rPr>
          <w:rFonts w:asciiTheme="minorHAnsi" w:hAnsiTheme="minorHAnsi" w:cstheme="minorHAnsi"/>
          <w:b/>
          <w:color w:val="auto"/>
          <w:sz w:val="22"/>
          <w:szCs w:val="22"/>
        </w:rPr>
        <w:t xml:space="preserve">) </w:t>
      </w:r>
      <w:r w:rsidR="00F00A95" w:rsidRPr="00003AE8">
        <w:rPr>
          <w:rFonts w:asciiTheme="minorHAnsi" w:hAnsiTheme="minorHAnsi" w:cstheme="minorHAnsi"/>
          <w:b/>
          <w:color w:val="auto"/>
          <w:sz w:val="22"/>
          <w:szCs w:val="22"/>
        </w:rPr>
        <w:t>Schutz geistigen Eigentums erhalten</w:t>
      </w:r>
    </w:p>
    <w:p w14:paraId="5D7CF796" w14:textId="48E937D0" w:rsidR="006F4960" w:rsidRDefault="006F4960" w:rsidP="006F4960">
      <w:pPr>
        <w:spacing w:line="300" w:lineRule="atLeast"/>
        <w:rPr>
          <w:rFonts w:cstheme="minorHAnsi"/>
          <w:lang w:eastAsia="de-DE"/>
        </w:rPr>
      </w:pPr>
      <w:bookmarkStart w:id="1" w:name="_Hlk130304754"/>
      <w:r w:rsidRPr="00A31FFB">
        <w:rPr>
          <w:rFonts w:cstheme="minorHAnsi"/>
          <w:lang w:eastAsia="de-DE"/>
        </w:rPr>
        <w:t>Geistige Eigentumsrechte sind Grundlage und Voraussetzung nachhaltiger Investitionen in Forschung und Entwicklung. Weiterhin werden wir die Änderungs</w:t>
      </w:r>
      <w:r w:rsidRPr="00A31FFB">
        <w:rPr>
          <w:rFonts w:cstheme="minorHAnsi"/>
          <w:lang w:eastAsia="de-DE"/>
        </w:rPr>
        <w:softHyphen/>
        <w:t>vorschläge im EU Pharmapaket bzgl. der derzeit geltenden Schutzfristen kritisch prüfen. Diese spielen eine zentrale Rolle, die Wettbewerbs</w:t>
      </w:r>
      <w:r w:rsidRPr="00A31FFB">
        <w:rPr>
          <w:rFonts w:cstheme="minorHAnsi"/>
          <w:lang w:eastAsia="de-DE"/>
        </w:rPr>
        <w:softHyphen/>
        <w:t>position der EU für pharma</w:t>
      </w:r>
      <w:r w:rsidRPr="00A31FFB">
        <w:rPr>
          <w:rFonts w:cstheme="minorHAnsi"/>
          <w:lang w:eastAsia="de-DE"/>
        </w:rPr>
        <w:softHyphen/>
        <w:t>zeutische Forschung und Entwicklung zu erhalten und den Zugang zu neuen Arzneimitteln zu gewährleisten. Deutschland wird die Europäische Kommission darin unter</w:t>
      </w:r>
      <w:r w:rsidRPr="00A31FFB">
        <w:rPr>
          <w:rFonts w:cstheme="minorHAnsi"/>
          <w:lang w:eastAsia="de-DE"/>
        </w:rPr>
        <w:softHyphen/>
        <w:t>stützen, den völkerrechtlichen Mindestschutz geistiger Eigentumsrechte im TRIPS-Abkommen zu erhalten. Gleiches gilt für den Erhalt geistigen Eigentum in den laufenden Verhandlungen zu einem internationalen Pandemieabkommen in Genf. Daneben unterstützten wir die EU Kommission auch bei der wirk</w:t>
      </w:r>
      <w:r w:rsidRPr="00A31FFB">
        <w:rPr>
          <w:rFonts w:cstheme="minorHAnsi"/>
          <w:lang w:eastAsia="de-DE"/>
        </w:rPr>
        <w:softHyphen/>
        <w:t>samen Durchsetzung bestehender Verpflich</w:t>
      </w:r>
      <w:r w:rsidRPr="00A31FFB">
        <w:rPr>
          <w:rFonts w:cstheme="minorHAnsi"/>
          <w:lang w:eastAsia="de-DE"/>
        </w:rPr>
        <w:softHyphen/>
        <w:t>tungen.</w:t>
      </w:r>
    </w:p>
    <w:p w14:paraId="360EF191" w14:textId="23335C09" w:rsidR="00BB431F" w:rsidRPr="00B375CD" w:rsidRDefault="00BB431F" w:rsidP="006F4960">
      <w:pPr>
        <w:spacing w:line="300" w:lineRule="atLeast"/>
        <w:rPr>
          <w:rFonts w:cstheme="minorHAnsi"/>
          <w:b/>
          <w:lang w:eastAsia="de-DE"/>
        </w:rPr>
      </w:pPr>
      <w:r>
        <w:rPr>
          <w:rFonts w:cstheme="minorHAnsi"/>
          <w:b/>
          <w:lang w:eastAsia="de-DE"/>
        </w:rPr>
        <w:t>Umsetzung:</w:t>
      </w:r>
    </w:p>
    <w:p w14:paraId="4C7244E5" w14:textId="1E332596" w:rsidR="00A656FB" w:rsidRDefault="006F4960" w:rsidP="00B375CD">
      <w:pPr>
        <w:pStyle w:val="Listenabsatz"/>
        <w:numPr>
          <w:ilvl w:val="0"/>
          <w:numId w:val="15"/>
        </w:numPr>
        <w:spacing w:line="300" w:lineRule="atLeast"/>
        <w:rPr>
          <w:rFonts w:cstheme="minorHAnsi"/>
          <w:b/>
        </w:rPr>
      </w:pPr>
      <w:r>
        <w:rPr>
          <w:rFonts w:cstheme="minorHAnsi"/>
          <w:lang w:eastAsia="de-DE"/>
        </w:rPr>
        <w:t>Deutschland setzt sich in den Verhandlungen auf europäischer und internationaler Ebene für den Schutz geistigen Eigentums ein (FF BMJ, BMWK, BMG)</w:t>
      </w:r>
      <w:r w:rsidR="0015410E">
        <w:rPr>
          <w:rFonts w:cstheme="minorHAnsi"/>
          <w:lang w:eastAsia="de-DE"/>
        </w:rPr>
        <w:br/>
      </w:r>
    </w:p>
    <w:p w14:paraId="56C9D118" w14:textId="472A0778" w:rsidR="002279FC" w:rsidRPr="00B375CD" w:rsidRDefault="002279FC" w:rsidP="00A656FB">
      <w:pPr>
        <w:spacing w:line="300" w:lineRule="atLeast"/>
        <w:rPr>
          <w:rFonts w:cstheme="minorHAnsi"/>
          <w:b/>
        </w:rPr>
      </w:pPr>
      <w:r w:rsidRPr="00B375CD">
        <w:rPr>
          <w:rFonts w:cstheme="minorHAnsi"/>
          <w:b/>
        </w:rPr>
        <w:t>(</w:t>
      </w:r>
      <w:r w:rsidR="00A656FB" w:rsidRPr="00B375CD">
        <w:rPr>
          <w:rFonts w:cstheme="minorHAnsi"/>
          <w:b/>
        </w:rPr>
        <w:t>7</w:t>
      </w:r>
      <w:r w:rsidRPr="00B375CD">
        <w:rPr>
          <w:rFonts w:cstheme="minorHAnsi"/>
          <w:b/>
        </w:rPr>
        <w:t xml:space="preserve">) Datenzugang </w:t>
      </w:r>
      <w:r w:rsidR="006F4960">
        <w:rPr>
          <w:rFonts w:cstheme="minorHAnsi"/>
          <w:b/>
        </w:rPr>
        <w:t xml:space="preserve">erleichtern </w:t>
      </w:r>
      <w:r w:rsidRPr="00B375CD">
        <w:rPr>
          <w:rFonts w:cstheme="minorHAnsi"/>
          <w:b/>
        </w:rPr>
        <w:t>und Datenschutz</w:t>
      </w:r>
      <w:r w:rsidR="004F4457" w:rsidRPr="00B375CD">
        <w:rPr>
          <w:rFonts w:cstheme="minorHAnsi"/>
          <w:b/>
        </w:rPr>
        <w:t xml:space="preserve"> </w:t>
      </w:r>
      <w:r w:rsidR="006F4960">
        <w:rPr>
          <w:rFonts w:cstheme="minorHAnsi"/>
          <w:b/>
        </w:rPr>
        <w:t>harmonisieren</w:t>
      </w:r>
      <w:r w:rsidR="00457AFE">
        <w:rPr>
          <w:rFonts w:cstheme="minorHAnsi"/>
          <w:b/>
        </w:rPr>
        <w:t>, Digitalisierung in der Gesundheitsversorgung weiter vorantreiben</w:t>
      </w:r>
    </w:p>
    <w:p w14:paraId="799A7235" w14:textId="4B92089A" w:rsidR="008600BF" w:rsidRDefault="00DD6BBD" w:rsidP="002279FC">
      <w:pPr>
        <w:spacing w:line="300" w:lineRule="atLeast"/>
        <w:rPr>
          <w:rFonts w:cstheme="minorHAnsi"/>
        </w:rPr>
      </w:pPr>
      <w:r>
        <w:rPr>
          <w:rFonts w:cstheme="minorHAnsi"/>
        </w:rPr>
        <w:t>Die Gesundheitsversorgung wird sukzessive</w:t>
      </w:r>
      <w:r w:rsidRPr="002279FC">
        <w:rPr>
          <w:rFonts w:cstheme="minorHAnsi"/>
        </w:rPr>
        <w:t xml:space="preserve"> mittels Digitalisierung verbessert. Dazu gehören standardi</w:t>
      </w:r>
      <w:r>
        <w:rPr>
          <w:rFonts w:cstheme="minorHAnsi"/>
        </w:rPr>
        <w:softHyphen/>
      </w:r>
      <w:r w:rsidRPr="002279FC">
        <w:rPr>
          <w:rFonts w:cstheme="minorHAnsi"/>
        </w:rPr>
        <w:t xml:space="preserve">sierte Prozesse, leistungsfähige Infrastruktur und der Einsatz personalisierter Medizin. Bei letzterem bieten sich große Chancen in der Nutzung von Gesundheitsdaten oder dem Einsatz von </w:t>
      </w:r>
      <w:r w:rsidR="00F2526C">
        <w:rPr>
          <w:rFonts w:cstheme="minorHAnsi"/>
        </w:rPr>
        <w:t>K</w:t>
      </w:r>
      <w:r w:rsidRPr="002279FC">
        <w:rPr>
          <w:rFonts w:cstheme="minorHAnsi"/>
        </w:rPr>
        <w:t>ünstlicher Intelligenz</w:t>
      </w:r>
      <w:r w:rsidR="00BB431F">
        <w:rPr>
          <w:rFonts w:cstheme="minorHAnsi"/>
        </w:rPr>
        <w:t xml:space="preserve"> (KI)</w:t>
      </w:r>
      <w:r w:rsidRPr="002279FC">
        <w:rPr>
          <w:rFonts w:cstheme="minorHAnsi"/>
        </w:rPr>
        <w:t>.</w:t>
      </w:r>
      <w:r w:rsidR="00BB431F">
        <w:rPr>
          <w:rFonts w:cstheme="minorHAnsi"/>
        </w:rPr>
        <w:t xml:space="preserve"> </w:t>
      </w:r>
      <w:r w:rsidR="002279FC" w:rsidRPr="002279FC">
        <w:rPr>
          <w:rFonts w:cstheme="minorHAnsi"/>
        </w:rPr>
        <w:t xml:space="preserve">Für innovative Forschung </w:t>
      </w:r>
      <w:r w:rsidR="00F2526C">
        <w:rPr>
          <w:rFonts w:cstheme="minorHAnsi"/>
        </w:rPr>
        <w:t>und auch für das Testen und Trainieren von KI im Gesundheitswesen</w:t>
      </w:r>
      <w:r w:rsidR="00F2526C" w:rsidRPr="002279FC">
        <w:rPr>
          <w:rFonts w:cstheme="minorHAnsi"/>
        </w:rPr>
        <w:t xml:space="preserve"> </w:t>
      </w:r>
      <w:r w:rsidR="002279FC" w:rsidRPr="002279FC">
        <w:rPr>
          <w:rFonts w:cstheme="minorHAnsi"/>
        </w:rPr>
        <w:t xml:space="preserve">ist der Zugang zu </w:t>
      </w:r>
      <w:r w:rsidR="008600BF">
        <w:rPr>
          <w:rFonts w:cstheme="minorHAnsi"/>
        </w:rPr>
        <w:t xml:space="preserve">hochqualitativen </w:t>
      </w:r>
      <w:r w:rsidR="002279FC" w:rsidRPr="002279FC">
        <w:rPr>
          <w:rFonts w:cstheme="minorHAnsi"/>
        </w:rPr>
        <w:t>Versorgungsdaten</w:t>
      </w:r>
      <w:r w:rsidR="008600BF">
        <w:rPr>
          <w:rFonts w:cstheme="minorHAnsi"/>
        </w:rPr>
        <w:t xml:space="preserve"> </w:t>
      </w:r>
      <w:r w:rsidR="002279FC" w:rsidRPr="00003AE8">
        <w:rPr>
          <w:rFonts w:cstheme="minorHAnsi"/>
        </w:rPr>
        <w:t xml:space="preserve">nötig. Deshalb soll mit dem Gesundheitsdatennutzungsgesetz (GDNG) </w:t>
      </w:r>
      <w:r w:rsidR="008600BF">
        <w:rPr>
          <w:rFonts w:cstheme="minorHAnsi"/>
        </w:rPr>
        <w:t>der Zugang und die Nutzbarkeit von Gesundheitsdaten verbessert werden</w:t>
      </w:r>
      <w:r w:rsidR="008600BF" w:rsidRPr="00D10611">
        <w:rPr>
          <w:rFonts w:cstheme="minorHAnsi"/>
        </w:rPr>
        <w:t xml:space="preserve">. Dies gilt insbesondere für </w:t>
      </w:r>
      <w:r w:rsidR="00CE55F3" w:rsidRPr="00D10611">
        <w:rPr>
          <w:rFonts w:cstheme="minorHAnsi"/>
        </w:rPr>
        <w:t xml:space="preserve">Routine- und </w:t>
      </w:r>
      <w:r w:rsidR="008600BF" w:rsidRPr="00D10611">
        <w:rPr>
          <w:rFonts w:cstheme="minorHAnsi"/>
        </w:rPr>
        <w:t xml:space="preserve">Abrechnungsdaten der gesetzlichen Krankenkassen. Hierzu soll künftig </w:t>
      </w:r>
      <w:r w:rsidR="002279FC" w:rsidRPr="00D10611">
        <w:rPr>
          <w:rFonts w:cstheme="minorHAnsi"/>
        </w:rPr>
        <w:t xml:space="preserve">bei Beantragung einer Nutzung von Daten des Forschungsdatenzentrums Gesundheit </w:t>
      </w:r>
      <w:r w:rsidR="008600BF" w:rsidRPr="00D10611">
        <w:rPr>
          <w:rFonts w:cstheme="minorHAnsi"/>
        </w:rPr>
        <w:t xml:space="preserve">auf einen </w:t>
      </w:r>
      <w:proofErr w:type="spellStart"/>
      <w:r w:rsidR="008600BF" w:rsidRPr="00D10611">
        <w:rPr>
          <w:rFonts w:cstheme="minorHAnsi"/>
          <w:b/>
          <w:bCs/>
        </w:rPr>
        <w:t>Akteursbezug</w:t>
      </w:r>
      <w:proofErr w:type="spellEnd"/>
      <w:r w:rsidR="008600BF" w:rsidRPr="00D10611">
        <w:rPr>
          <w:rFonts w:cstheme="minorHAnsi"/>
        </w:rPr>
        <w:t xml:space="preserve"> verzichtet werden. Stattdessen soll der angestrebte Zweck für einen Datenzugang maßgeblich sein (</w:t>
      </w:r>
      <w:r w:rsidR="002279FC" w:rsidRPr="00D10611">
        <w:rPr>
          <w:rFonts w:cstheme="minorHAnsi"/>
        </w:rPr>
        <w:t>Zweckbezug</w:t>
      </w:r>
      <w:r w:rsidR="008600BF" w:rsidRPr="00D10611">
        <w:rPr>
          <w:rFonts w:cstheme="minorHAnsi"/>
        </w:rPr>
        <w:t>)</w:t>
      </w:r>
      <w:r w:rsidR="002279FC" w:rsidRPr="00D10611">
        <w:rPr>
          <w:rFonts w:cstheme="minorHAnsi"/>
        </w:rPr>
        <w:t>. So sollen Forschende</w:t>
      </w:r>
      <w:r w:rsidR="002279FC" w:rsidRPr="00003AE8">
        <w:rPr>
          <w:rFonts w:cstheme="minorHAnsi"/>
        </w:rPr>
        <w:t xml:space="preserve"> </w:t>
      </w:r>
      <w:r w:rsidR="002279FC" w:rsidRPr="00003AE8">
        <w:rPr>
          <w:rFonts w:cstheme="minorHAnsi"/>
        </w:rPr>
        <w:lastRenderedPageBreak/>
        <w:t>unabhängig von der Zugehörigkeit zu einer bestimmten Institution auf Antrag beim Vorliegen entsprechender Nutzungs</w:t>
      </w:r>
      <w:r w:rsidR="003803DB">
        <w:rPr>
          <w:rFonts w:cstheme="minorHAnsi"/>
        </w:rPr>
        <w:softHyphen/>
      </w:r>
      <w:r w:rsidR="002279FC" w:rsidRPr="00003AE8">
        <w:rPr>
          <w:rFonts w:cstheme="minorHAnsi"/>
        </w:rPr>
        <w:t xml:space="preserve">zwecke Zugang zu den Versorgungsdaten erhalten. </w:t>
      </w:r>
    </w:p>
    <w:p w14:paraId="73CCA27D" w14:textId="02184EFA" w:rsidR="002279FC" w:rsidRPr="00003AE8" w:rsidRDefault="002279FC" w:rsidP="002279FC">
      <w:pPr>
        <w:spacing w:line="300" w:lineRule="atLeast"/>
        <w:rPr>
          <w:rFonts w:cstheme="minorHAnsi"/>
        </w:rPr>
      </w:pPr>
      <w:r w:rsidRPr="00003AE8">
        <w:rPr>
          <w:rFonts w:cstheme="minorHAnsi"/>
        </w:rPr>
        <w:t xml:space="preserve">Die Bundesregierung unterstützt zudem die von der EU-Kommission angestrebte Schaffung eines europäischen Gesundheitsdatenraums (EHDS), der auch der forschenden Industrie einen deutlich erweiterten Zugang zu Gesundheitsdaten aus ganz Europa für Forschungs- und Entwicklungsprojekte ermöglichen soll. Für BMG sind hier sowohl die Schaffung von Rechtssicherheit hinsichtlich des Datenzugangs, z.B. durch eine Schaffung von klaren, </w:t>
      </w:r>
      <w:proofErr w:type="spellStart"/>
      <w:r w:rsidRPr="00003AE8">
        <w:rPr>
          <w:rFonts w:cstheme="minorHAnsi"/>
        </w:rPr>
        <w:t>akteursunabhängigen</w:t>
      </w:r>
      <w:proofErr w:type="spellEnd"/>
      <w:r w:rsidRPr="00003AE8">
        <w:rPr>
          <w:rFonts w:cstheme="minorHAnsi"/>
        </w:rPr>
        <w:t xml:space="preserve"> Erlaubnistatbeständen, als auch der angemessene Schutz von Rechten des geistigen Eigentums und Geschäftsgeheimnissen zentrale Punkte. </w:t>
      </w:r>
    </w:p>
    <w:p w14:paraId="0C82910C" w14:textId="2E9F57F9" w:rsidR="00DD6BBD" w:rsidRPr="002279FC" w:rsidRDefault="00DD6BBD" w:rsidP="00DD6BBD">
      <w:pPr>
        <w:spacing w:after="120" w:line="300" w:lineRule="atLeast"/>
        <w:rPr>
          <w:rFonts w:cstheme="minorHAnsi"/>
        </w:rPr>
      </w:pPr>
      <w:r w:rsidRPr="002279FC">
        <w:rPr>
          <w:rFonts w:cstheme="minorHAnsi"/>
        </w:rPr>
        <w:t>Die Digitalisierungsstrategie für das Gesundheitswesen und die Pflege soll zügig umgesetzt und kontinuierlich unter Einbindung der betroffenen Akteure weiterent</w:t>
      </w:r>
      <w:r w:rsidRPr="002279FC">
        <w:rPr>
          <w:rFonts w:cstheme="minorHAnsi"/>
        </w:rPr>
        <w:softHyphen/>
        <w:t xml:space="preserve">wickelt werden. </w:t>
      </w:r>
    </w:p>
    <w:p w14:paraId="080321C0" w14:textId="31FEBEA1" w:rsidR="002279FC" w:rsidRPr="00003AE8" w:rsidRDefault="002279FC" w:rsidP="002279FC">
      <w:pPr>
        <w:spacing w:line="300" w:lineRule="atLeast"/>
        <w:rPr>
          <w:rFonts w:cstheme="minorHAnsi"/>
        </w:rPr>
      </w:pPr>
      <w:r w:rsidRPr="00003AE8">
        <w:rPr>
          <w:rFonts w:cstheme="minorHAnsi"/>
        </w:rPr>
        <w:t xml:space="preserve">Zudem streben wir, wie in der Digitalisierungsstrategie für das Gesundheitswesen und die Pflege angekündigt, die Weiterentwicklung des Konzepts einer federführenden Datenschutzaufsicht für länderübergreifende Forschungsvorhaben im Gesundheitsbereich an. </w:t>
      </w:r>
    </w:p>
    <w:p w14:paraId="7B32728D" w14:textId="4ADF6B74" w:rsidR="009F0A56" w:rsidRDefault="002279FC" w:rsidP="002279FC">
      <w:pPr>
        <w:spacing w:after="120" w:line="300" w:lineRule="atLeast"/>
        <w:rPr>
          <w:rFonts w:cstheme="minorHAnsi"/>
        </w:rPr>
      </w:pPr>
      <w:r w:rsidRPr="00003AE8">
        <w:rPr>
          <w:rFonts w:cstheme="minorHAnsi"/>
        </w:rPr>
        <w:t>Im Sinne der Patientinnen und Patienten soll über das Modellvorhaben nach § 64e SGB V ein sicherer und zweckgebundener Zugang zu genomischen und klinischen Daten im Bereich seltener und onko</w:t>
      </w:r>
      <w:r>
        <w:rPr>
          <w:rFonts w:cstheme="minorHAnsi"/>
        </w:rPr>
        <w:softHyphen/>
      </w:r>
      <w:r w:rsidRPr="00003AE8">
        <w:rPr>
          <w:rFonts w:cstheme="minorHAnsi"/>
        </w:rPr>
        <w:t>logischer Erkrankungen für Versorgung und Forschung ermöglicht werden. Mit entsprechender Einwilligung der Patientinnen und Patienten soll auch ein Datenzugang über die im Aufbau befind</w:t>
      </w:r>
      <w:r>
        <w:rPr>
          <w:rFonts w:cstheme="minorHAnsi"/>
        </w:rPr>
        <w:softHyphen/>
      </w:r>
      <w:r w:rsidRPr="00003AE8">
        <w:rPr>
          <w:rFonts w:cstheme="minorHAnsi"/>
        </w:rPr>
        <w:t>liche europäische Genomdateninfrastruktur (GDI) und innerhalb des europäischen Gesundheits</w:t>
      </w:r>
      <w:r>
        <w:rPr>
          <w:rFonts w:cstheme="minorHAnsi"/>
        </w:rPr>
        <w:softHyphen/>
      </w:r>
      <w:r w:rsidRPr="00003AE8">
        <w:rPr>
          <w:rFonts w:cstheme="minorHAnsi"/>
        </w:rPr>
        <w:t>daten</w:t>
      </w:r>
      <w:r>
        <w:rPr>
          <w:rFonts w:cstheme="minorHAnsi"/>
        </w:rPr>
        <w:softHyphen/>
      </w:r>
      <w:r w:rsidRPr="00003AE8">
        <w:rPr>
          <w:rFonts w:cstheme="minorHAnsi"/>
        </w:rPr>
        <w:t>raums realisiert werden.</w:t>
      </w:r>
    </w:p>
    <w:p w14:paraId="59618714" w14:textId="14E3F1CB" w:rsidR="009F0A56" w:rsidRPr="00AF5BBB" w:rsidRDefault="00BB431F" w:rsidP="009F0A56">
      <w:pPr>
        <w:spacing w:after="120" w:line="300" w:lineRule="atLeast"/>
        <w:rPr>
          <w:rFonts w:cstheme="minorHAnsi"/>
          <w:lang w:eastAsia="de-DE"/>
        </w:rPr>
      </w:pPr>
      <w:r>
        <w:rPr>
          <w:rFonts w:cstheme="minorHAnsi"/>
        </w:rPr>
        <w:t>Darüber hinaus</w:t>
      </w:r>
      <w:r w:rsidR="009F0A56" w:rsidRPr="00AF5BBB">
        <w:rPr>
          <w:rFonts w:cstheme="minorHAnsi"/>
          <w:lang w:eastAsia="de-DE"/>
        </w:rPr>
        <w:t xml:space="preserve"> </w:t>
      </w:r>
      <w:r w:rsidR="004C415B">
        <w:rPr>
          <w:rFonts w:cstheme="minorHAnsi"/>
          <w:lang w:eastAsia="de-DE"/>
        </w:rPr>
        <w:t xml:space="preserve">wird </w:t>
      </w:r>
      <w:r w:rsidR="009F0A56" w:rsidRPr="00AF5BBB">
        <w:rPr>
          <w:rFonts w:cstheme="minorHAnsi"/>
          <w:lang w:eastAsia="de-DE"/>
        </w:rPr>
        <w:t xml:space="preserve">die Weiterentwicklung </w:t>
      </w:r>
      <w:r w:rsidR="004C415B">
        <w:rPr>
          <w:rFonts w:cstheme="minorHAnsi"/>
          <w:lang w:eastAsia="de-DE"/>
        </w:rPr>
        <w:t xml:space="preserve">und Verbindlichkeit von </w:t>
      </w:r>
      <w:r w:rsidR="009F0A56" w:rsidRPr="00AF5BBB">
        <w:rPr>
          <w:rFonts w:cstheme="minorHAnsi"/>
          <w:lang w:eastAsia="de-DE"/>
        </w:rPr>
        <w:t>Standards für Daten</w:t>
      </w:r>
      <w:r w:rsidR="004C415B">
        <w:rPr>
          <w:rFonts w:cstheme="minorHAnsi"/>
          <w:lang w:eastAsia="de-DE"/>
        </w:rPr>
        <w:t>,</w:t>
      </w:r>
      <w:r w:rsidR="009F0A56" w:rsidRPr="00AF5BBB">
        <w:rPr>
          <w:rFonts w:cstheme="minorHAnsi"/>
          <w:lang w:eastAsia="de-DE"/>
        </w:rPr>
        <w:t xml:space="preserve"> z.B. hinsichtlich Interoperabilität, Qualität und Form den Datenaustausch zwischen den Akteuren </w:t>
      </w:r>
      <w:r w:rsidR="004C415B">
        <w:rPr>
          <w:rFonts w:cstheme="minorHAnsi"/>
          <w:lang w:eastAsia="de-DE"/>
        </w:rPr>
        <w:t xml:space="preserve">weiter </w:t>
      </w:r>
      <w:r w:rsidR="009F0A56" w:rsidRPr="00AF5BBB">
        <w:rPr>
          <w:rFonts w:cstheme="minorHAnsi"/>
          <w:lang w:eastAsia="de-DE"/>
        </w:rPr>
        <w:t>unterstützen</w:t>
      </w:r>
      <w:r w:rsidR="004C415B">
        <w:rPr>
          <w:rFonts w:cstheme="minorHAnsi"/>
          <w:lang w:eastAsia="de-DE"/>
        </w:rPr>
        <w:t xml:space="preserve"> und somit </w:t>
      </w:r>
      <w:r w:rsidR="004C415B" w:rsidRPr="000D0838">
        <w:rPr>
          <w:rFonts w:cstheme="minorHAnsi"/>
          <w:lang w:eastAsia="de-DE"/>
        </w:rPr>
        <w:t>zu ei</w:t>
      </w:r>
      <w:r w:rsidR="004C415B">
        <w:rPr>
          <w:rFonts w:cstheme="minorHAnsi"/>
          <w:lang w:eastAsia="de-DE"/>
        </w:rPr>
        <w:t xml:space="preserve">ner höheren Datenverfügbarkeit und </w:t>
      </w:r>
      <w:r w:rsidR="004C415B" w:rsidRPr="000D0838">
        <w:rPr>
          <w:rFonts w:cstheme="minorHAnsi"/>
          <w:lang w:eastAsia="de-DE"/>
        </w:rPr>
        <w:t>einer gesteigerten Behandlungsqualität</w:t>
      </w:r>
      <w:r w:rsidR="004C415B">
        <w:rPr>
          <w:rFonts w:cstheme="minorHAnsi"/>
          <w:lang w:eastAsia="de-DE"/>
        </w:rPr>
        <w:t xml:space="preserve"> führen</w:t>
      </w:r>
      <w:r w:rsidR="009F0A56" w:rsidRPr="00AF5BBB">
        <w:rPr>
          <w:rFonts w:cstheme="minorHAnsi"/>
          <w:lang w:eastAsia="de-DE"/>
        </w:rPr>
        <w:t xml:space="preserve">. Solchen Harmonisierungsprozessen und einem entsprechenden Infrastrukturaufbau für eine bessere Nutzbarkeit von Gesundheitsdaten für die Forschung widmet sich u.a. die vom BMBF geförderte Medizininformatik-Initiative (MII). Im Rahmen dieser Initiative werden innovative IT-Lösungen entwickelt, um Gesundheitsdaten besser für die Forschung nutzbar zu machen. Gemeinsam mit dem NUM werden an den Universitätskliniken dezentrale, vernetzte Datenintegrationszentren aufgebaut, in denen </w:t>
      </w:r>
      <w:r w:rsidR="00F2526C">
        <w:rPr>
          <w:rFonts w:cstheme="minorHAnsi"/>
          <w:lang w:eastAsia="de-DE"/>
        </w:rPr>
        <w:t xml:space="preserve">die </w:t>
      </w:r>
      <w:r w:rsidR="009F0A56" w:rsidRPr="00AF5BBB">
        <w:rPr>
          <w:rFonts w:cstheme="minorHAnsi"/>
          <w:lang w:eastAsia="de-DE"/>
        </w:rPr>
        <w:t xml:space="preserve">Versorgungs- und Forschungsdaten </w:t>
      </w:r>
      <w:r w:rsidR="00F2526C">
        <w:rPr>
          <w:rFonts w:cstheme="minorHAnsi"/>
          <w:lang w:eastAsia="de-DE"/>
        </w:rPr>
        <w:t xml:space="preserve">der Universitätskliniken </w:t>
      </w:r>
      <w:r w:rsidR="009F0A56" w:rsidRPr="00AF5BBB">
        <w:rPr>
          <w:rFonts w:cstheme="minorHAnsi"/>
          <w:lang w:eastAsia="de-DE"/>
        </w:rPr>
        <w:t xml:space="preserve">erfasst, zusammengeführt und für den Austausch aufbereitet werden. Beispielsweise hat die MII einen bundesweit abgestimmten Mustertext einer Patienteneinwilligung etabliert, der eine zukünftige breite Datennutzung innerhalb der medizinischen Forschung ermöglicht („Broad </w:t>
      </w:r>
      <w:proofErr w:type="spellStart"/>
      <w:r w:rsidR="009F0A56" w:rsidRPr="00AF5BBB">
        <w:rPr>
          <w:rFonts w:cstheme="minorHAnsi"/>
          <w:lang w:eastAsia="de-DE"/>
        </w:rPr>
        <w:t>Consent</w:t>
      </w:r>
      <w:proofErr w:type="spellEnd"/>
      <w:r w:rsidR="009F0A56" w:rsidRPr="00AF5BBB">
        <w:rPr>
          <w:rFonts w:cstheme="minorHAnsi"/>
          <w:lang w:eastAsia="de-DE"/>
        </w:rPr>
        <w:t xml:space="preserve">“). Dies geschah in enger Abstimmung mit den Datenschutzbehörden der Länder und des Bundes sowie unter Einbindung von Patientenvertretungen. </w:t>
      </w:r>
    </w:p>
    <w:p w14:paraId="0D87EDD9" w14:textId="793729B0" w:rsidR="009F0A56" w:rsidRPr="00AF5BBB" w:rsidRDefault="009F0A56" w:rsidP="009F0A56">
      <w:pPr>
        <w:spacing w:after="120" w:line="300" w:lineRule="atLeast"/>
        <w:rPr>
          <w:rFonts w:cstheme="minorHAnsi"/>
          <w:lang w:eastAsia="de-DE"/>
        </w:rPr>
      </w:pPr>
      <w:r w:rsidRPr="00AF5BBB">
        <w:rPr>
          <w:rFonts w:cstheme="minorHAnsi"/>
          <w:lang w:eastAsia="de-DE"/>
        </w:rPr>
        <w:t xml:space="preserve">Ein Baustein dieser Dateninfrastruktur ist das Forschungsdatenportal Gesundheit (FDPG) der MII. </w:t>
      </w:r>
      <w:r w:rsidR="00F2526C">
        <w:rPr>
          <w:rFonts w:cstheme="minorHAnsi"/>
          <w:lang w:eastAsia="de-DE"/>
        </w:rPr>
        <w:t xml:space="preserve">Für die </w:t>
      </w:r>
      <w:r w:rsidR="00F2526C" w:rsidRPr="00AF5BBB">
        <w:rPr>
          <w:rFonts w:cstheme="minorHAnsi"/>
          <w:lang w:eastAsia="de-DE"/>
        </w:rPr>
        <w:t>Daten und Bi</w:t>
      </w:r>
      <w:r w:rsidR="00F2526C">
        <w:rPr>
          <w:rFonts w:cstheme="minorHAnsi"/>
          <w:lang w:eastAsia="de-DE"/>
        </w:rPr>
        <w:t xml:space="preserve">oproben der Universitätsmedizin </w:t>
      </w:r>
      <w:r w:rsidRPr="00AF5BBB">
        <w:rPr>
          <w:rFonts w:cstheme="minorHAnsi"/>
          <w:lang w:eastAsia="de-DE"/>
        </w:rPr>
        <w:t xml:space="preserve">dient </w:t>
      </w:r>
      <w:r w:rsidR="00F2526C">
        <w:rPr>
          <w:rFonts w:cstheme="minorHAnsi"/>
          <w:lang w:eastAsia="de-DE"/>
        </w:rPr>
        <w:t>es</w:t>
      </w:r>
      <w:r w:rsidRPr="00AF5BBB">
        <w:rPr>
          <w:rFonts w:cstheme="minorHAnsi"/>
          <w:lang w:eastAsia="de-DE"/>
        </w:rPr>
        <w:t xml:space="preserve"> Forschenden als zentrale Anlaufstelle. Zugleich richtet sich das FDPG an Bürgerinnen und Bürger, indem es Transparenz schafft, welche Projekte mit über den Broad </w:t>
      </w:r>
      <w:proofErr w:type="spellStart"/>
      <w:r w:rsidRPr="00AF5BBB">
        <w:rPr>
          <w:rFonts w:cstheme="minorHAnsi"/>
          <w:lang w:eastAsia="de-DE"/>
        </w:rPr>
        <w:t>Consent</w:t>
      </w:r>
      <w:proofErr w:type="spellEnd"/>
      <w:r w:rsidRPr="00AF5BBB">
        <w:rPr>
          <w:rFonts w:cstheme="minorHAnsi"/>
          <w:lang w:eastAsia="de-DE"/>
        </w:rPr>
        <w:t xml:space="preserve"> freigegebenen Patientendaten forschen und welche Ergebnisse dabei erzielt wurden.</w:t>
      </w:r>
    </w:p>
    <w:p w14:paraId="32BC60AB" w14:textId="77777777" w:rsidR="00A656FB" w:rsidRDefault="00A656FB" w:rsidP="002279FC">
      <w:pPr>
        <w:spacing w:after="120" w:line="300" w:lineRule="atLeast"/>
        <w:rPr>
          <w:rFonts w:cstheme="minorHAnsi"/>
          <w:b/>
        </w:rPr>
      </w:pPr>
      <w:r>
        <w:rPr>
          <w:rFonts w:cstheme="minorHAnsi"/>
          <w:b/>
        </w:rPr>
        <w:t>Umsetzung:</w:t>
      </w:r>
    </w:p>
    <w:p w14:paraId="1CCA8414" w14:textId="54473EEB" w:rsidR="00726119" w:rsidRPr="00D10611" w:rsidRDefault="00A656FB" w:rsidP="00B375CD">
      <w:pPr>
        <w:pStyle w:val="Listenabsatz"/>
        <w:numPr>
          <w:ilvl w:val="0"/>
          <w:numId w:val="16"/>
        </w:numPr>
        <w:spacing w:after="120" w:line="300" w:lineRule="atLeast"/>
        <w:rPr>
          <w:rFonts w:cstheme="minorHAnsi"/>
          <w:lang w:eastAsia="de-DE"/>
        </w:rPr>
      </w:pPr>
      <w:r w:rsidRPr="00B375CD">
        <w:rPr>
          <w:rFonts w:cstheme="minorHAnsi"/>
          <w:lang w:eastAsia="de-DE"/>
        </w:rPr>
        <w:t xml:space="preserve"> </w:t>
      </w:r>
      <w:r w:rsidR="00726119" w:rsidRPr="00D10611">
        <w:rPr>
          <w:rFonts w:cstheme="minorHAnsi"/>
          <w:lang w:eastAsia="de-DE"/>
        </w:rPr>
        <w:t>Prüfung einer Weiterentwicklung des Forschungsdatenzentrums Gesundheit beim BfArM und Öffnung für forschende Industrie (FF BMG)</w:t>
      </w:r>
    </w:p>
    <w:p w14:paraId="4F99C3DC" w14:textId="4FCF0873" w:rsidR="00F00A95" w:rsidRPr="00D10611" w:rsidRDefault="00457AFE" w:rsidP="00B375CD">
      <w:pPr>
        <w:pStyle w:val="Listenabsatz"/>
        <w:numPr>
          <w:ilvl w:val="0"/>
          <w:numId w:val="16"/>
        </w:numPr>
        <w:spacing w:after="120" w:line="300" w:lineRule="atLeast"/>
        <w:rPr>
          <w:rFonts w:cstheme="minorHAnsi"/>
          <w:b/>
        </w:rPr>
      </w:pPr>
      <w:r w:rsidRPr="00D10611">
        <w:rPr>
          <w:rFonts w:cstheme="minorHAnsi"/>
        </w:rPr>
        <w:lastRenderedPageBreak/>
        <w:t xml:space="preserve">Prüfung einer Weiterentwicklung </w:t>
      </w:r>
      <w:r w:rsidR="00FC7328" w:rsidRPr="00D10611">
        <w:rPr>
          <w:rFonts w:cstheme="minorHAnsi"/>
        </w:rPr>
        <w:t xml:space="preserve">des Konzepts einer federführenden Datenschutzaufsicht für länderübergreifende Forschungsvorhaben im Gesundheitsbereich in </w:t>
      </w:r>
      <w:r w:rsidRPr="00D10611">
        <w:rPr>
          <w:rFonts w:cstheme="minorHAnsi"/>
        </w:rPr>
        <w:t>§ 287a SGB V sowie von Vorschlägen zur Konzen</w:t>
      </w:r>
      <w:r w:rsidRPr="00D10611">
        <w:rPr>
          <w:rFonts w:cstheme="minorHAnsi"/>
        </w:rPr>
        <w:softHyphen/>
        <w:t>tration und Vereinfachung der Datenschutzaufsicht bei klinischen Prüfungen im Rahmen der Erarbeitung des GDNG (FF BMG)</w:t>
      </w:r>
      <w:r w:rsidR="002279FC" w:rsidRPr="00D10611">
        <w:rPr>
          <w:rFonts w:cstheme="minorHAnsi"/>
        </w:rPr>
        <w:br/>
      </w:r>
    </w:p>
    <w:p w14:paraId="58FBAF94" w14:textId="5483F419" w:rsidR="003803DB" w:rsidRPr="00D10611" w:rsidRDefault="003803DB" w:rsidP="003803DB">
      <w:pPr>
        <w:pStyle w:val="berschrift2"/>
        <w:numPr>
          <w:ilvl w:val="0"/>
          <w:numId w:val="0"/>
        </w:numPr>
        <w:spacing w:line="300" w:lineRule="atLeast"/>
        <w:rPr>
          <w:rFonts w:asciiTheme="minorHAnsi" w:hAnsiTheme="minorHAnsi" w:cstheme="minorHAnsi"/>
          <w:b/>
          <w:color w:val="auto"/>
          <w:sz w:val="22"/>
          <w:szCs w:val="22"/>
        </w:rPr>
      </w:pPr>
      <w:bookmarkStart w:id="2" w:name="_Hlk132374184"/>
      <w:bookmarkEnd w:id="1"/>
      <w:r w:rsidRPr="00D10611">
        <w:rPr>
          <w:rFonts w:asciiTheme="minorHAnsi" w:hAnsiTheme="minorHAnsi" w:cstheme="minorHAnsi"/>
          <w:b/>
          <w:color w:val="auto"/>
          <w:sz w:val="22"/>
          <w:szCs w:val="22"/>
        </w:rPr>
        <w:t>(</w:t>
      </w:r>
      <w:r w:rsidR="00DD6BBD" w:rsidRPr="00D10611">
        <w:rPr>
          <w:rFonts w:asciiTheme="minorHAnsi" w:hAnsiTheme="minorHAnsi" w:cstheme="minorHAnsi"/>
          <w:b/>
          <w:color w:val="auto"/>
          <w:sz w:val="22"/>
          <w:szCs w:val="22"/>
        </w:rPr>
        <w:t>8</w:t>
      </w:r>
      <w:r w:rsidRPr="00D10611">
        <w:rPr>
          <w:rFonts w:asciiTheme="minorHAnsi" w:hAnsiTheme="minorHAnsi" w:cstheme="minorHAnsi"/>
          <w:b/>
          <w:color w:val="auto"/>
          <w:sz w:val="22"/>
          <w:szCs w:val="22"/>
        </w:rPr>
        <w:t>) Innovation und Forschung stärken</w:t>
      </w:r>
    </w:p>
    <w:p w14:paraId="58A997FC" w14:textId="77777777" w:rsidR="00BB431F" w:rsidRDefault="009F0A56" w:rsidP="00B375CD">
      <w:pPr>
        <w:spacing w:after="120" w:line="300" w:lineRule="atLeast"/>
        <w:rPr>
          <w:lang w:eastAsia="de-DE"/>
        </w:rPr>
      </w:pPr>
      <w:r w:rsidRPr="00D10611">
        <w:rPr>
          <w:lang w:eastAsia="de-DE"/>
        </w:rPr>
        <w:t>Die strategische Verbindung von Forschungs-, Gesundheits- und Innovationspolitik mit der Industriepolitik sowie das Denken in Missionen sind ein Ansatz, den die Bundesregierung in der Umsetzung ihrer „Zukunftsstrategie Forschung und Innovation“ über sogenannte Missionsteams vorantreiben wird. Diese Teams dienen dem interministeriellen Austausch und sollen eine</w:t>
      </w:r>
      <w:r w:rsidRPr="00AF5BBB">
        <w:rPr>
          <w:lang w:eastAsia="de-DE"/>
        </w:rPr>
        <w:t xml:space="preserve"> einvernehmliche, kohärente Gestaltung gewährleisten. Sie begleiten die fachliche Umsetzung der Missionsziele in den einzelnen Ressorts sowie das Monitoring der Zielerreichung. Neue Formate, die über die aktuelle Legislaturperiode hinaus die interministerielle Zusammenarbeit in den Bereichen Forschung, Entwicklung und Innovation verbessern, können zudem </w:t>
      </w:r>
      <w:proofErr w:type="spellStart"/>
      <w:r w:rsidRPr="00AF5BBB">
        <w:rPr>
          <w:lang w:eastAsia="de-DE"/>
        </w:rPr>
        <w:t>pilotisiert</w:t>
      </w:r>
      <w:proofErr w:type="spellEnd"/>
      <w:r w:rsidRPr="00AF5BBB">
        <w:rPr>
          <w:lang w:eastAsia="de-DE"/>
        </w:rPr>
        <w:t xml:space="preserve"> werden</w:t>
      </w:r>
      <w:r w:rsidR="00BB431F">
        <w:rPr>
          <w:lang w:eastAsia="de-DE"/>
        </w:rPr>
        <w:t>.</w:t>
      </w:r>
    </w:p>
    <w:p w14:paraId="23BC197A" w14:textId="7C783DE4" w:rsidR="003803DB" w:rsidRDefault="003803DB" w:rsidP="00B375CD">
      <w:pPr>
        <w:spacing w:after="120" w:line="300" w:lineRule="atLeast"/>
      </w:pPr>
      <w:r w:rsidRPr="003803DB">
        <w:t xml:space="preserve">Die steuerliche Forschungsförderung sowie die gezielte Förderung von Forschung und Entwicklung, Innovationen und Gründungen soll weiterentwickelt werden. </w:t>
      </w:r>
    </w:p>
    <w:p w14:paraId="022A2E06" w14:textId="77777777" w:rsidR="00457AFE" w:rsidRPr="00B375CD" w:rsidRDefault="00457AFE" w:rsidP="009F0A56">
      <w:pPr>
        <w:rPr>
          <w:b/>
          <w:lang w:eastAsia="de-DE"/>
        </w:rPr>
      </w:pPr>
      <w:r w:rsidRPr="00B375CD">
        <w:rPr>
          <w:b/>
          <w:lang w:eastAsia="de-DE"/>
        </w:rPr>
        <w:t>Umsetzung:</w:t>
      </w:r>
    </w:p>
    <w:p w14:paraId="27344159" w14:textId="77777777" w:rsidR="00457AFE" w:rsidRDefault="00457AFE" w:rsidP="00B375CD">
      <w:pPr>
        <w:pStyle w:val="Listenabsatz"/>
        <w:numPr>
          <w:ilvl w:val="0"/>
          <w:numId w:val="17"/>
        </w:numPr>
        <w:rPr>
          <w:lang w:eastAsia="de-DE"/>
        </w:rPr>
      </w:pPr>
      <w:r>
        <w:rPr>
          <w:rFonts w:asciiTheme="minorHAnsi" w:hAnsiTheme="minorHAnsi" w:cstheme="minorHAnsi"/>
        </w:rPr>
        <w:t xml:space="preserve">Prüfung von </w:t>
      </w:r>
      <w:r w:rsidRPr="003803DB">
        <w:rPr>
          <w:rFonts w:asciiTheme="minorHAnsi" w:hAnsiTheme="minorHAnsi" w:cstheme="minorHAnsi"/>
        </w:rPr>
        <w:t>weitere</w:t>
      </w:r>
      <w:r>
        <w:rPr>
          <w:rFonts w:asciiTheme="minorHAnsi" w:hAnsiTheme="minorHAnsi" w:cstheme="minorHAnsi"/>
        </w:rPr>
        <w:t>m</w:t>
      </w:r>
      <w:r w:rsidRPr="003803DB">
        <w:rPr>
          <w:rFonts w:asciiTheme="minorHAnsi" w:hAnsiTheme="minorHAnsi" w:cstheme="minorHAnsi"/>
        </w:rPr>
        <w:t xml:space="preserve"> Änderungs</w:t>
      </w:r>
      <w:r w:rsidRPr="003803DB">
        <w:rPr>
          <w:rFonts w:asciiTheme="minorHAnsi" w:hAnsiTheme="minorHAnsi" w:cstheme="minorHAnsi"/>
        </w:rPr>
        <w:softHyphen/>
        <w:t xml:space="preserve">bedarf am Forschungszulagengesetz </w:t>
      </w:r>
      <w:r>
        <w:rPr>
          <w:rFonts w:asciiTheme="minorHAnsi" w:hAnsiTheme="minorHAnsi" w:cstheme="minorHAnsi"/>
        </w:rPr>
        <w:t>(Jahreswirtschaftsbericht 2023) (FF BMBF).</w:t>
      </w:r>
    </w:p>
    <w:p w14:paraId="1ABBAA69" w14:textId="7C8AF984" w:rsidR="009F0A56" w:rsidRDefault="00457AFE" w:rsidP="00B375CD">
      <w:pPr>
        <w:pStyle w:val="Listenabsatz"/>
        <w:numPr>
          <w:ilvl w:val="0"/>
          <w:numId w:val="17"/>
        </w:numPr>
        <w:rPr>
          <w:lang w:eastAsia="de-DE"/>
        </w:rPr>
      </w:pPr>
      <w:r w:rsidRPr="00F2526C">
        <w:rPr>
          <w:lang w:eastAsia="de-DE"/>
        </w:rPr>
        <w:t>Prüfung</w:t>
      </w:r>
      <w:r w:rsidR="009F0A56" w:rsidRPr="00F2526C">
        <w:rPr>
          <w:lang w:eastAsia="de-DE"/>
        </w:rPr>
        <w:t>, wie administrative Hürden bei der Beantragung und Verwaltung von Fördermitteln weiter reduziert werden können, um die Projektförderung zu dynamisieren</w:t>
      </w:r>
      <w:r w:rsidRPr="00B375CD">
        <w:rPr>
          <w:lang w:eastAsia="de-DE"/>
        </w:rPr>
        <w:t xml:space="preserve"> (FF BMBF)</w:t>
      </w:r>
      <w:r w:rsidR="009F0A56" w:rsidRPr="00F2526C">
        <w:rPr>
          <w:lang w:eastAsia="de-DE"/>
        </w:rPr>
        <w:t>.</w:t>
      </w:r>
    </w:p>
    <w:p w14:paraId="7E9225EB" w14:textId="77777777" w:rsidR="007A2F2E" w:rsidRPr="00F2526C" w:rsidRDefault="007A2F2E" w:rsidP="00B375CD">
      <w:pPr>
        <w:pStyle w:val="Listenabsatz"/>
        <w:rPr>
          <w:lang w:eastAsia="de-DE"/>
        </w:rPr>
      </w:pPr>
    </w:p>
    <w:bookmarkEnd w:id="2"/>
    <w:p w14:paraId="43BFC627" w14:textId="2989CC7E" w:rsidR="007B4921" w:rsidRPr="00003AE8" w:rsidRDefault="00003AE8" w:rsidP="002279FC">
      <w:pPr>
        <w:pStyle w:val="berschrift2"/>
        <w:numPr>
          <w:ilvl w:val="0"/>
          <w:numId w:val="0"/>
        </w:numPr>
        <w:spacing w:line="300" w:lineRule="atLeast"/>
        <w:rPr>
          <w:rFonts w:asciiTheme="minorHAnsi" w:hAnsiTheme="minorHAnsi" w:cstheme="minorHAnsi"/>
          <w:b/>
          <w:color w:val="auto"/>
          <w:sz w:val="22"/>
          <w:szCs w:val="22"/>
        </w:rPr>
      </w:pPr>
      <w:r w:rsidRPr="00003AE8">
        <w:rPr>
          <w:rFonts w:asciiTheme="minorHAnsi" w:hAnsiTheme="minorHAnsi" w:cstheme="minorHAnsi"/>
          <w:b/>
          <w:color w:val="auto"/>
          <w:sz w:val="22"/>
          <w:szCs w:val="22"/>
        </w:rPr>
        <w:t>(</w:t>
      </w:r>
      <w:r w:rsidR="00DD6BBD">
        <w:rPr>
          <w:rFonts w:asciiTheme="minorHAnsi" w:hAnsiTheme="minorHAnsi" w:cstheme="minorHAnsi"/>
          <w:b/>
          <w:color w:val="auto"/>
          <w:sz w:val="22"/>
          <w:szCs w:val="22"/>
        </w:rPr>
        <w:t>9</w:t>
      </w:r>
      <w:r w:rsidRPr="00003AE8">
        <w:rPr>
          <w:rFonts w:asciiTheme="minorHAnsi" w:hAnsiTheme="minorHAnsi" w:cstheme="minorHAnsi"/>
          <w:b/>
          <w:color w:val="auto"/>
          <w:sz w:val="22"/>
          <w:szCs w:val="22"/>
        </w:rPr>
        <w:t xml:space="preserve">) </w:t>
      </w:r>
      <w:r w:rsidR="007B4921" w:rsidRPr="00003AE8">
        <w:rPr>
          <w:rFonts w:asciiTheme="minorHAnsi" w:hAnsiTheme="minorHAnsi" w:cstheme="minorHAnsi"/>
          <w:b/>
          <w:color w:val="auto"/>
          <w:sz w:val="22"/>
          <w:szCs w:val="22"/>
        </w:rPr>
        <w:t xml:space="preserve">Ökosystem für </w:t>
      </w:r>
      <w:r w:rsidR="007B4921" w:rsidRPr="00003AE8">
        <w:rPr>
          <w:rFonts w:asciiTheme="minorHAnsi" w:hAnsiTheme="minorHAnsi" w:cstheme="minorHAnsi"/>
          <w:b/>
          <w:bCs/>
          <w:color w:val="auto"/>
          <w:sz w:val="22"/>
          <w:szCs w:val="22"/>
        </w:rPr>
        <w:t>Start-ups</w:t>
      </w:r>
      <w:r w:rsidR="007B4921" w:rsidRPr="00003AE8">
        <w:rPr>
          <w:rFonts w:asciiTheme="minorHAnsi" w:hAnsiTheme="minorHAnsi" w:cstheme="minorHAnsi"/>
          <w:b/>
          <w:color w:val="auto"/>
          <w:sz w:val="22"/>
          <w:szCs w:val="22"/>
        </w:rPr>
        <w:t xml:space="preserve"> verbessern </w:t>
      </w:r>
    </w:p>
    <w:p w14:paraId="2F21991D" w14:textId="77777777" w:rsidR="007B4921" w:rsidRPr="00003AE8" w:rsidRDefault="007B4921" w:rsidP="002279FC">
      <w:pPr>
        <w:pStyle w:val="Listenabsatz"/>
        <w:spacing w:line="300" w:lineRule="atLeast"/>
        <w:ind w:left="0"/>
        <w:rPr>
          <w:rFonts w:asciiTheme="minorHAnsi" w:hAnsiTheme="minorHAnsi" w:cstheme="minorHAnsi"/>
        </w:rPr>
      </w:pPr>
      <w:r w:rsidRPr="00003AE8">
        <w:rPr>
          <w:rFonts w:asciiTheme="minorHAnsi" w:hAnsiTheme="minorHAnsi" w:cstheme="minorHAnsi"/>
        </w:rPr>
        <w:t xml:space="preserve">Auch Start-ups im Bereich der Pharmabranche profitieren von der </w:t>
      </w:r>
      <w:r w:rsidRPr="00003AE8">
        <w:rPr>
          <w:rFonts w:asciiTheme="minorHAnsi" w:hAnsiTheme="minorHAnsi" w:cstheme="minorHAnsi"/>
          <w:bCs/>
        </w:rPr>
        <w:t>Start-up Strategie der Bundes</w:t>
      </w:r>
      <w:r w:rsidR="00003AE8">
        <w:rPr>
          <w:rFonts w:asciiTheme="minorHAnsi" w:hAnsiTheme="minorHAnsi" w:cstheme="minorHAnsi"/>
          <w:bCs/>
        </w:rPr>
        <w:softHyphen/>
      </w:r>
      <w:r w:rsidRPr="00003AE8">
        <w:rPr>
          <w:rFonts w:asciiTheme="minorHAnsi" w:hAnsiTheme="minorHAnsi" w:cstheme="minorHAnsi"/>
          <w:bCs/>
        </w:rPr>
        <w:t>regierung</w:t>
      </w:r>
      <w:r w:rsidRPr="00003AE8">
        <w:rPr>
          <w:rFonts w:asciiTheme="minorHAnsi" w:hAnsiTheme="minorHAnsi" w:cstheme="minorHAnsi"/>
        </w:rPr>
        <w:t xml:space="preserve">. Speziell für die Pharmabranche unterstützt die </w:t>
      </w:r>
      <w:r w:rsidRPr="00003AE8">
        <w:rPr>
          <w:rFonts w:asciiTheme="minorHAnsi" w:hAnsiTheme="minorHAnsi" w:cstheme="minorHAnsi"/>
          <w:bCs/>
        </w:rPr>
        <w:t>Digital Hub Initiative</w:t>
      </w:r>
      <w:r w:rsidRPr="00003AE8">
        <w:rPr>
          <w:rFonts w:asciiTheme="minorHAnsi" w:hAnsiTheme="minorHAnsi" w:cstheme="minorHAnsi"/>
        </w:rPr>
        <w:t xml:space="preserve"> des BMWK am Stand</w:t>
      </w:r>
      <w:r w:rsidR="0015410E">
        <w:rPr>
          <w:rFonts w:asciiTheme="minorHAnsi" w:hAnsiTheme="minorHAnsi" w:cstheme="minorHAnsi"/>
        </w:rPr>
        <w:softHyphen/>
      </w:r>
      <w:r w:rsidRPr="00003AE8">
        <w:rPr>
          <w:rFonts w:asciiTheme="minorHAnsi" w:hAnsiTheme="minorHAnsi" w:cstheme="minorHAnsi"/>
        </w:rPr>
        <w:t xml:space="preserve">ort Mannheim/Ludwigshafen Kooperationen zwischen Start-ups und etablierten Unternehmen (KMU, Großunternehmen) aus den Bereichen Chemie- und Gesundheit. </w:t>
      </w:r>
    </w:p>
    <w:p w14:paraId="36FBCA4C" w14:textId="77777777" w:rsidR="007B4921" w:rsidRDefault="007B4921" w:rsidP="002279FC">
      <w:pPr>
        <w:spacing w:line="300" w:lineRule="atLeast"/>
        <w:rPr>
          <w:rFonts w:cstheme="minorHAnsi"/>
        </w:rPr>
      </w:pPr>
      <w:r w:rsidRPr="00003AE8">
        <w:rPr>
          <w:rFonts w:cstheme="minorHAnsi"/>
        </w:rPr>
        <w:t xml:space="preserve">Junge Pharmaunternehmen profitieren von den branchenoffen ausgestalteten </w:t>
      </w:r>
      <w:r w:rsidRPr="00003AE8">
        <w:rPr>
          <w:rFonts w:cstheme="minorHAnsi"/>
          <w:bCs/>
        </w:rPr>
        <w:t>Finanzierungs</w:t>
      </w:r>
      <w:r w:rsidR="00003AE8">
        <w:rPr>
          <w:rFonts w:cstheme="minorHAnsi"/>
          <w:bCs/>
        </w:rPr>
        <w:softHyphen/>
      </w:r>
      <w:r w:rsidRPr="00003AE8">
        <w:rPr>
          <w:rFonts w:cstheme="minorHAnsi"/>
          <w:bCs/>
        </w:rPr>
        <w:t>instrumenten</w:t>
      </w:r>
      <w:r w:rsidRPr="00003AE8">
        <w:rPr>
          <w:rFonts w:cstheme="minorHAnsi"/>
        </w:rPr>
        <w:t xml:space="preserve"> für Start-ups und KMU der Bundesregierung. Über den </w:t>
      </w:r>
      <w:r w:rsidRPr="00003AE8">
        <w:rPr>
          <w:rFonts w:cstheme="minorHAnsi"/>
          <w:bCs/>
        </w:rPr>
        <w:t>Zukunftsfonds</w:t>
      </w:r>
      <w:r w:rsidRPr="00003AE8">
        <w:rPr>
          <w:rFonts w:cstheme="minorHAnsi"/>
        </w:rPr>
        <w:t xml:space="preserve"> fließen zusätzlich zu den bestehenden Finanzierungsprogrammen zehn Milliarden Euro bis ins Jahr 2030 in die Finanzierung von Start-ups und Venture-Capital Fonds – auch in der Bioökonomie und Medizin. </w:t>
      </w:r>
    </w:p>
    <w:p w14:paraId="748C9A80" w14:textId="77777777" w:rsidR="00DD6BBD" w:rsidRPr="00B375CD" w:rsidRDefault="00DD6BBD" w:rsidP="002279FC">
      <w:pPr>
        <w:spacing w:line="300" w:lineRule="atLeast"/>
        <w:rPr>
          <w:rFonts w:cstheme="minorHAnsi"/>
          <w:b/>
        </w:rPr>
      </w:pPr>
      <w:r>
        <w:rPr>
          <w:rFonts w:cstheme="minorHAnsi"/>
          <w:b/>
        </w:rPr>
        <w:t>Umsetzung:</w:t>
      </w:r>
    </w:p>
    <w:p w14:paraId="511018FC" w14:textId="330A6F75" w:rsidR="007B4921" w:rsidRPr="00003AE8" w:rsidRDefault="00DD6BBD" w:rsidP="002279FC">
      <w:pPr>
        <w:pStyle w:val="Listenabsatz"/>
        <w:numPr>
          <w:ilvl w:val="0"/>
          <w:numId w:val="8"/>
        </w:numPr>
        <w:spacing w:line="300" w:lineRule="atLeast"/>
        <w:rPr>
          <w:rFonts w:asciiTheme="minorHAnsi" w:hAnsiTheme="minorHAnsi" w:cstheme="minorHAnsi"/>
          <w:iCs/>
        </w:rPr>
      </w:pPr>
      <w:r>
        <w:rPr>
          <w:rFonts w:asciiTheme="minorHAnsi" w:hAnsiTheme="minorHAnsi" w:cstheme="minorHAnsi"/>
        </w:rPr>
        <w:t>D</w:t>
      </w:r>
      <w:r w:rsidR="007B4921" w:rsidRPr="00003AE8">
        <w:rPr>
          <w:rFonts w:asciiTheme="minorHAnsi" w:hAnsiTheme="minorHAnsi" w:cstheme="minorHAnsi"/>
        </w:rPr>
        <w:t xml:space="preserve">as Finanzierungsinstrumentarium </w:t>
      </w:r>
      <w:r>
        <w:rPr>
          <w:rFonts w:asciiTheme="minorHAnsi" w:hAnsiTheme="minorHAnsi" w:cstheme="minorHAnsi"/>
        </w:rPr>
        <w:t xml:space="preserve">wird </w:t>
      </w:r>
      <w:r w:rsidR="007B4921" w:rsidRPr="00003AE8">
        <w:rPr>
          <w:rFonts w:asciiTheme="minorHAnsi" w:hAnsiTheme="minorHAnsi" w:cstheme="minorHAnsi"/>
        </w:rPr>
        <w:t>kontinuierlich weiterentwickel</w:t>
      </w:r>
      <w:r>
        <w:rPr>
          <w:rFonts w:asciiTheme="minorHAnsi" w:hAnsiTheme="minorHAnsi" w:cstheme="minorHAnsi"/>
        </w:rPr>
        <w:t>t</w:t>
      </w:r>
      <w:r w:rsidR="007B4921" w:rsidRPr="00003AE8">
        <w:rPr>
          <w:rFonts w:asciiTheme="minorHAnsi" w:hAnsiTheme="minorHAnsi" w:cstheme="minorHAnsi"/>
        </w:rPr>
        <w:t xml:space="preserve"> (bspw. High-Tech Gründerfonds IV)</w:t>
      </w:r>
      <w:r>
        <w:rPr>
          <w:rFonts w:asciiTheme="minorHAnsi" w:hAnsiTheme="minorHAnsi" w:cstheme="minorHAnsi"/>
        </w:rPr>
        <w:t xml:space="preserve"> (FF BMWK)</w:t>
      </w:r>
      <w:r w:rsidR="007B4921" w:rsidRPr="00003AE8">
        <w:rPr>
          <w:rFonts w:asciiTheme="minorHAnsi" w:hAnsiTheme="minorHAnsi" w:cstheme="minorHAnsi"/>
        </w:rPr>
        <w:t xml:space="preserve">. </w:t>
      </w:r>
    </w:p>
    <w:p w14:paraId="719B5861" w14:textId="0DA05BFE" w:rsidR="007B4921" w:rsidRDefault="007B4921" w:rsidP="002279FC">
      <w:pPr>
        <w:pStyle w:val="Listenabsatz"/>
        <w:numPr>
          <w:ilvl w:val="0"/>
          <w:numId w:val="8"/>
        </w:numPr>
        <w:spacing w:after="120" w:line="300" w:lineRule="atLeast"/>
        <w:rPr>
          <w:rFonts w:asciiTheme="minorHAnsi" w:hAnsiTheme="minorHAnsi" w:cstheme="minorHAnsi"/>
        </w:rPr>
      </w:pPr>
      <w:r w:rsidRPr="00003AE8">
        <w:rPr>
          <w:rFonts w:asciiTheme="minorHAnsi" w:hAnsiTheme="minorHAnsi" w:cstheme="minorHAnsi"/>
        </w:rPr>
        <w:t>Mittels eines Gutachtens zu Bedarfen im Bereich der Wagniskapitalfinan</w:t>
      </w:r>
      <w:r w:rsidRPr="00003AE8">
        <w:rPr>
          <w:rFonts w:asciiTheme="minorHAnsi" w:hAnsiTheme="minorHAnsi" w:cstheme="minorHAnsi"/>
        </w:rPr>
        <w:softHyphen/>
        <w:t xml:space="preserve">zierung </w:t>
      </w:r>
      <w:r w:rsidR="00DD6BBD">
        <w:rPr>
          <w:rFonts w:asciiTheme="minorHAnsi" w:hAnsiTheme="minorHAnsi" w:cstheme="minorHAnsi"/>
        </w:rPr>
        <w:t>wird ge</w:t>
      </w:r>
      <w:r w:rsidRPr="00003AE8">
        <w:rPr>
          <w:rFonts w:asciiTheme="minorHAnsi" w:hAnsiTheme="minorHAnsi" w:cstheme="minorHAnsi"/>
        </w:rPr>
        <w:t>klär</w:t>
      </w:r>
      <w:r w:rsidR="00DD6BBD">
        <w:rPr>
          <w:rFonts w:asciiTheme="minorHAnsi" w:hAnsiTheme="minorHAnsi" w:cstheme="minorHAnsi"/>
        </w:rPr>
        <w:t>t</w:t>
      </w:r>
      <w:r w:rsidRPr="00003AE8">
        <w:rPr>
          <w:rFonts w:asciiTheme="minorHAnsi" w:hAnsiTheme="minorHAnsi" w:cstheme="minorHAnsi"/>
        </w:rPr>
        <w:t>, ob und wo die bestehenden und bereits geplanten branchenoffenen Angebote zur Wachstumsfinanzierung verbessert werden können</w:t>
      </w:r>
      <w:r w:rsidR="00DD6BBD">
        <w:rPr>
          <w:rFonts w:asciiTheme="minorHAnsi" w:hAnsiTheme="minorHAnsi" w:cstheme="minorHAnsi"/>
        </w:rPr>
        <w:t xml:space="preserve"> (FF BMWK)</w:t>
      </w:r>
      <w:r w:rsidRPr="00003AE8">
        <w:rPr>
          <w:rFonts w:asciiTheme="minorHAnsi" w:hAnsiTheme="minorHAnsi" w:cstheme="minorHAnsi"/>
        </w:rPr>
        <w:t>.</w:t>
      </w:r>
    </w:p>
    <w:p w14:paraId="6F9A8376" w14:textId="77777777" w:rsidR="00003AE8" w:rsidRPr="00003AE8" w:rsidRDefault="00003AE8" w:rsidP="002279FC">
      <w:pPr>
        <w:spacing w:after="120" w:line="300" w:lineRule="atLeast"/>
        <w:rPr>
          <w:rFonts w:cstheme="minorHAnsi"/>
        </w:rPr>
      </w:pPr>
    </w:p>
    <w:p w14:paraId="15B23A62" w14:textId="26A4B71D" w:rsidR="0015410E" w:rsidRPr="003D6978" w:rsidRDefault="0015410E" w:rsidP="002279FC">
      <w:pPr>
        <w:spacing w:line="300" w:lineRule="atLeast"/>
        <w:rPr>
          <w:rFonts w:cstheme="minorHAnsi"/>
          <w:b/>
        </w:rPr>
      </w:pPr>
      <w:r w:rsidRPr="003D6978">
        <w:rPr>
          <w:rFonts w:cstheme="minorHAnsi"/>
          <w:b/>
        </w:rPr>
        <w:t>(</w:t>
      </w:r>
      <w:r w:rsidR="00DD6BBD" w:rsidRPr="003D6978">
        <w:rPr>
          <w:rFonts w:cstheme="minorHAnsi"/>
          <w:b/>
        </w:rPr>
        <w:t>1</w:t>
      </w:r>
      <w:r w:rsidR="00DD6BBD">
        <w:rPr>
          <w:rFonts w:cstheme="minorHAnsi"/>
          <w:b/>
        </w:rPr>
        <w:t>0</w:t>
      </w:r>
      <w:r w:rsidRPr="003D6978">
        <w:rPr>
          <w:rFonts w:cstheme="minorHAnsi"/>
          <w:b/>
        </w:rPr>
        <w:t>) Weitere Finanzierungsoptionen</w:t>
      </w:r>
      <w:r w:rsidR="005917CC">
        <w:rPr>
          <w:rFonts w:cstheme="minorHAnsi"/>
          <w:b/>
        </w:rPr>
        <w:t xml:space="preserve"> prüfen</w:t>
      </w:r>
      <w:r w:rsidR="00352E15">
        <w:rPr>
          <w:rFonts w:cstheme="minorHAnsi"/>
          <w:b/>
        </w:rPr>
        <w:t xml:space="preserve"> für pharmazeutische Innovationen, Translation und Versorgungssicherheit</w:t>
      </w:r>
    </w:p>
    <w:p w14:paraId="71768675" w14:textId="0FCA485B" w:rsidR="00DD6BBD" w:rsidRDefault="0015410E" w:rsidP="002279FC">
      <w:pPr>
        <w:spacing w:line="300" w:lineRule="atLeast"/>
        <w:rPr>
          <w:rFonts w:cstheme="minorHAnsi"/>
        </w:rPr>
      </w:pPr>
      <w:r w:rsidRPr="00003AE8">
        <w:rPr>
          <w:rFonts w:cstheme="minorHAnsi"/>
        </w:rPr>
        <w:lastRenderedPageBreak/>
        <w:t xml:space="preserve">Der Blick nach Frankreich zeigt, dass weitere Finanzierungsoptionen </w:t>
      </w:r>
      <w:r>
        <w:rPr>
          <w:rFonts w:cstheme="minorHAnsi"/>
        </w:rPr>
        <w:t xml:space="preserve">einschließlich eines neuen Fonds </w:t>
      </w:r>
      <w:r w:rsidR="00A97E65">
        <w:rPr>
          <w:rFonts w:cstheme="minorHAnsi"/>
        </w:rPr>
        <w:t>in Höhe von</w:t>
      </w:r>
      <w:r w:rsidR="003803DB">
        <w:rPr>
          <w:rFonts w:cstheme="minorHAnsi"/>
        </w:rPr>
        <w:t xml:space="preserve"> bis zu </w:t>
      </w:r>
      <w:r w:rsidR="00A97E65">
        <w:rPr>
          <w:rFonts w:cstheme="minorHAnsi"/>
        </w:rPr>
        <w:t xml:space="preserve">10 Mrd. Euro </w:t>
      </w:r>
      <w:r>
        <w:rPr>
          <w:rFonts w:cstheme="minorHAnsi"/>
        </w:rPr>
        <w:t>zur gezielten Förderung von Innovationen</w:t>
      </w:r>
      <w:r w:rsidR="00352E15">
        <w:rPr>
          <w:rFonts w:cstheme="minorHAnsi"/>
        </w:rPr>
        <w:t>, Translation</w:t>
      </w:r>
      <w:r>
        <w:rPr>
          <w:rFonts w:cstheme="minorHAnsi"/>
        </w:rPr>
        <w:t xml:space="preserve"> und Versorgungssicher</w:t>
      </w:r>
      <w:r w:rsidR="003803DB">
        <w:rPr>
          <w:rFonts w:cstheme="minorHAnsi"/>
        </w:rPr>
        <w:softHyphen/>
      </w:r>
      <w:r>
        <w:rPr>
          <w:rFonts w:cstheme="minorHAnsi"/>
        </w:rPr>
        <w:t xml:space="preserve">heit in Deutschland </w:t>
      </w:r>
      <w:r w:rsidRPr="00003AE8">
        <w:rPr>
          <w:rFonts w:cstheme="minorHAnsi"/>
        </w:rPr>
        <w:t>geprüft werden sollten</w:t>
      </w:r>
      <w:r>
        <w:rPr>
          <w:rFonts w:cstheme="minorHAnsi"/>
        </w:rPr>
        <w:t>. Denn m</w:t>
      </w:r>
      <w:r w:rsidRPr="00003AE8">
        <w:rPr>
          <w:rFonts w:cstheme="minorHAnsi"/>
        </w:rPr>
        <w:t xml:space="preserve">it dem letzten Monat vorgestellten Plan „Innovation Santé 2023“ sollen </w:t>
      </w:r>
      <w:r w:rsidR="00A97E65">
        <w:rPr>
          <w:rFonts w:cstheme="minorHAnsi"/>
        </w:rPr>
        <w:t xml:space="preserve">in Frankreich </w:t>
      </w:r>
      <w:r w:rsidRPr="00003AE8">
        <w:rPr>
          <w:rFonts w:cstheme="minorHAnsi"/>
        </w:rPr>
        <w:t>7,5 Mrd. € (davon 1,7 Mrd. € für die biomedizinische Forschung) in Innovations</w:t>
      </w:r>
      <w:r w:rsidRPr="00003AE8">
        <w:rPr>
          <w:rFonts w:cstheme="minorHAnsi"/>
        </w:rPr>
        <w:softHyphen/>
        <w:t>projekte der Gesundheit fließen, u. a. in den Bereich Forschung und Entwicklung. Ver</w:t>
      </w:r>
      <w:r w:rsidR="00A97E65">
        <w:rPr>
          <w:rFonts w:cstheme="minorHAnsi"/>
        </w:rPr>
        <w:softHyphen/>
      </w:r>
      <w:r w:rsidRPr="00003AE8">
        <w:rPr>
          <w:rFonts w:cstheme="minorHAnsi"/>
        </w:rPr>
        <w:t xml:space="preserve">waltet werden die Mittel durch die neu gegründete Agence de </w:t>
      </w:r>
      <w:proofErr w:type="spellStart"/>
      <w:r w:rsidRPr="00003AE8">
        <w:rPr>
          <w:rFonts w:cstheme="minorHAnsi"/>
        </w:rPr>
        <w:t>l'innovation</w:t>
      </w:r>
      <w:proofErr w:type="spellEnd"/>
      <w:r w:rsidRPr="00003AE8">
        <w:rPr>
          <w:rFonts w:cstheme="minorHAnsi"/>
        </w:rPr>
        <w:t xml:space="preserve"> en </w:t>
      </w:r>
      <w:proofErr w:type="spellStart"/>
      <w:r w:rsidRPr="00003AE8">
        <w:rPr>
          <w:rFonts w:cstheme="minorHAnsi"/>
        </w:rPr>
        <w:t>santé</w:t>
      </w:r>
      <w:proofErr w:type="spellEnd"/>
      <w:r w:rsidRPr="00003AE8">
        <w:rPr>
          <w:rFonts w:cstheme="minorHAnsi"/>
        </w:rPr>
        <w:t xml:space="preserve"> innerhalb des Generalsekretariats für Inv</w:t>
      </w:r>
      <w:r w:rsidR="00A97E65">
        <w:rPr>
          <w:rFonts w:cstheme="minorHAnsi"/>
        </w:rPr>
        <w:t>estitionen</w:t>
      </w:r>
      <w:r w:rsidRPr="00003AE8">
        <w:rPr>
          <w:rFonts w:cstheme="minorHAnsi"/>
        </w:rPr>
        <w:t>.</w:t>
      </w:r>
    </w:p>
    <w:p w14:paraId="6B1133EE" w14:textId="77777777" w:rsidR="00DD6BBD" w:rsidRDefault="00DD6BBD" w:rsidP="002279FC">
      <w:pPr>
        <w:spacing w:line="300" w:lineRule="atLeast"/>
        <w:rPr>
          <w:rFonts w:cstheme="minorHAnsi"/>
          <w:b/>
        </w:rPr>
      </w:pPr>
      <w:r>
        <w:rPr>
          <w:rFonts w:cstheme="minorHAnsi"/>
          <w:b/>
        </w:rPr>
        <w:t>Umsetzung:</w:t>
      </w:r>
    </w:p>
    <w:p w14:paraId="0E02345D" w14:textId="2E6E0BAA" w:rsidR="0015410E" w:rsidRPr="00DD6BBD" w:rsidRDefault="00DD6BBD" w:rsidP="00B375CD">
      <w:pPr>
        <w:pStyle w:val="Listenabsatz"/>
        <w:numPr>
          <w:ilvl w:val="0"/>
          <w:numId w:val="18"/>
        </w:numPr>
        <w:spacing w:line="300" w:lineRule="atLeast"/>
        <w:rPr>
          <w:rFonts w:cstheme="minorHAnsi"/>
        </w:rPr>
      </w:pPr>
      <w:r>
        <w:rPr>
          <w:rFonts w:cstheme="minorHAnsi"/>
        </w:rPr>
        <w:t>Errichtung eines Fonds zur gezielten Förderung von Innovationen</w:t>
      </w:r>
      <w:r w:rsidR="00352E15">
        <w:rPr>
          <w:rFonts w:cstheme="minorHAnsi"/>
        </w:rPr>
        <w:t>, Translation</w:t>
      </w:r>
      <w:r>
        <w:rPr>
          <w:rFonts w:cstheme="minorHAnsi"/>
        </w:rPr>
        <w:t xml:space="preserve"> und Versorgungssicher</w:t>
      </w:r>
      <w:r>
        <w:rPr>
          <w:rFonts w:cstheme="minorHAnsi"/>
        </w:rPr>
        <w:softHyphen/>
        <w:t>heit in Deutschland (FF BMWK</w:t>
      </w:r>
      <w:r w:rsidR="001A324C">
        <w:rPr>
          <w:rFonts w:cstheme="minorHAnsi"/>
        </w:rPr>
        <w:t>, Einbindung BMF, BMG</w:t>
      </w:r>
      <w:r>
        <w:rPr>
          <w:rFonts w:cstheme="minorHAnsi"/>
        </w:rPr>
        <w:t>)</w:t>
      </w:r>
      <w:r w:rsidR="0015410E" w:rsidRPr="00DD6BBD">
        <w:rPr>
          <w:rFonts w:cstheme="minorHAnsi"/>
        </w:rPr>
        <w:br/>
      </w:r>
    </w:p>
    <w:p w14:paraId="059F93DA" w14:textId="2B6F3DD0" w:rsidR="007B4921" w:rsidRPr="003D6978" w:rsidRDefault="003803DB" w:rsidP="002279FC">
      <w:pPr>
        <w:spacing w:line="300" w:lineRule="atLeast"/>
        <w:jc w:val="both"/>
        <w:rPr>
          <w:rFonts w:cstheme="minorHAnsi"/>
          <w:b/>
        </w:rPr>
      </w:pPr>
      <w:r w:rsidRPr="003D6978">
        <w:rPr>
          <w:rFonts w:cstheme="minorHAnsi"/>
          <w:b/>
        </w:rPr>
        <w:t xml:space="preserve"> </w:t>
      </w:r>
      <w:r w:rsidR="003D6978" w:rsidRPr="003D6978">
        <w:rPr>
          <w:rFonts w:cstheme="minorHAnsi"/>
          <w:b/>
        </w:rPr>
        <w:t>(</w:t>
      </w:r>
      <w:r w:rsidR="00DD6BBD" w:rsidRPr="003D6978">
        <w:rPr>
          <w:rFonts w:cstheme="minorHAnsi"/>
          <w:b/>
        </w:rPr>
        <w:t>1</w:t>
      </w:r>
      <w:r w:rsidR="00DD6BBD">
        <w:rPr>
          <w:rFonts w:cstheme="minorHAnsi"/>
          <w:b/>
        </w:rPr>
        <w:t>1</w:t>
      </w:r>
      <w:r w:rsidR="003D6978" w:rsidRPr="003D6978">
        <w:rPr>
          <w:rFonts w:cstheme="minorHAnsi"/>
          <w:b/>
        </w:rPr>
        <w:t xml:space="preserve">) </w:t>
      </w:r>
      <w:r w:rsidR="007B4921" w:rsidRPr="003D6978">
        <w:rPr>
          <w:rFonts w:cstheme="minorHAnsi"/>
          <w:b/>
        </w:rPr>
        <w:t>Wissenschaft und Unternehmen</w:t>
      </w:r>
      <w:r w:rsidR="005917CC" w:rsidRPr="005917CC">
        <w:rPr>
          <w:rFonts w:cstheme="minorHAnsi"/>
          <w:b/>
        </w:rPr>
        <w:t xml:space="preserve"> </w:t>
      </w:r>
      <w:r w:rsidR="005917CC">
        <w:rPr>
          <w:rFonts w:cstheme="minorHAnsi"/>
          <w:b/>
        </w:rPr>
        <w:t>besser vernetzen</w:t>
      </w:r>
    </w:p>
    <w:p w14:paraId="55F7D149" w14:textId="77777777" w:rsidR="007B4921" w:rsidRPr="00003AE8" w:rsidRDefault="007B4921" w:rsidP="002279FC">
      <w:pPr>
        <w:spacing w:line="300" w:lineRule="atLeast"/>
        <w:rPr>
          <w:rFonts w:cstheme="minorHAnsi"/>
        </w:rPr>
      </w:pPr>
      <w:r w:rsidRPr="00003AE8">
        <w:rPr>
          <w:rFonts w:cstheme="minorHAnsi"/>
        </w:rPr>
        <w:t>Experimentierräume, welche die Erprobung veränderter Verfahren adressieren und im Rahmen des EU-Pharmapakets bereits diskutiert werden, könnten hierfür ein Schritt sein. In einigen Bereichen gibt es bereits gesetzliche oder untergesetzliche Maßnahmen, die eine bundeseinheitliche oder federführende regulatorische Begleitung von multizentrischen Forschungsvorhaben sowie ander</w:t>
      </w:r>
      <w:r w:rsidR="003D6978">
        <w:rPr>
          <w:rFonts w:cstheme="minorHAnsi"/>
        </w:rPr>
        <w:softHyphen/>
      </w:r>
      <w:r w:rsidRPr="00003AE8">
        <w:rPr>
          <w:rFonts w:cstheme="minorHAnsi"/>
        </w:rPr>
        <w:t>weitige Harmonisierungsbemühungen zum Gegenstand haben. Die Erfahrungen aus diesen Be</w:t>
      </w:r>
      <w:r w:rsidR="003803DB">
        <w:rPr>
          <w:rFonts w:cstheme="minorHAnsi"/>
        </w:rPr>
        <w:softHyphen/>
      </w:r>
      <w:r w:rsidRPr="00003AE8">
        <w:rPr>
          <w:rFonts w:cstheme="minorHAnsi"/>
        </w:rPr>
        <w:t>reichen sollten bei der Neugestaltung der Verfahren in anderen Bereichen eingebracht werden.</w:t>
      </w:r>
    </w:p>
    <w:p w14:paraId="1F24B51D" w14:textId="77777777" w:rsidR="007B4921" w:rsidRDefault="007B4921" w:rsidP="002279FC">
      <w:pPr>
        <w:spacing w:line="300" w:lineRule="atLeast"/>
        <w:rPr>
          <w:rFonts w:cstheme="minorHAnsi"/>
        </w:rPr>
      </w:pPr>
      <w:r w:rsidRPr="00003AE8">
        <w:rPr>
          <w:rFonts w:cstheme="minorHAnsi"/>
        </w:rPr>
        <w:t>Die Themen Translation und Vernetzung von Akteuren sind seit langem im Fokus der Forschungs</w:t>
      </w:r>
      <w:r w:rsidR="003D6978">
        <w:rPr>
          <w:rFonts w:cstheme="minorHAnsi"/>
        </w:rPr>
        <w:softHyphen/>
      </w:r>
      <w:r w:rsidRPr="00003AE8">
        <w:rPr>
          <w:rFonts w:cstheme="minorHAnsi"/>
        </w:rPr>
        <w:t>politik und könnten weiter ausgebaut werden. Beispielhaft ist hier die Nationale Wirkstoffinitiative zu nennen, in der durch eine stärkere Zusammenarbeit zwischen Wissenschaft und Unternehmen ein besserer Transfer erreicht werden soll. Weiter zu nennen sind das Netzwerk Universitätsmedizin und die Fördermaßnahmen zur Etablierung weiterer Deutscher Zentren der Gesundheits</w:t>
      </w:r>
      <w:r w:rsidR="003D6978">
        <w:rPr>
          <w:rFonts w:cstheme="minorHAnsi"/>
        </w:rPr>
        <w:softHyphen/>
      </w:r>
      <w:r w:rsidRPr="00003AE8">
        <w:rPr>
          <w:rFonts w:cstheme="minorHAnsi"/>
        </w:rPr>
        <w:t>forschung. Die „Zukunftscluster-Initiative“ zielt auf die Etablierung regionaler Innovationsnetzwerke ab, um an</w:t>
      </w:r>
      <w:r w:rsidR="003803DB">
        <w:rPr>
          <w:rFonts w:cstheme="minorHAnsi"/>
        </w:rPr>
        <w:softHyphen/>
      </w:r>
      <w:r w:rsidRPr="00003AE8">
        <w:rPr>
          <w:rFonts w:cstheme="minorHAnsi"/>
        </w:rPr>
        <w:t>knüpfend an exzellente Grundlagenforschung forschungsstarke Regionen mit neuartigen Ansätzen im Bereich des Wissens- und Technologietransfers zu schaffen. Mit den Fördermaßnahmen GO-Bio und KMU-innovativ unterstützt das BMBF jeweils die Start-up-Szene sowie kleine und mittlere Unter</w:t>
      </w:r>
      <w:r w:rsidR="00A97E65">
        <w:rPr>
          <w:rFonts w:cstheme="minorHAnsi"/>
        </w:rPr>
        <w:softHyphen/>
      </w:r>
      <w:r w:rsidRPr="00003AE8">
        <w:rPr>
          <w:rFonts w:cstheme="minorHAnsi"/>
        </w:rPr>
        <w:t>nehmen im Bereich der Gesundheitsforschung in Deutschland. Forschungsprojekte mit einer starken Ausrichtung am Bedarf von Patientinnen und Patienten könnten noch gezielter ge</w:t>
      </w:r>
      <w:r w:rsidR="003D6978">
        <w:rPr>
          <w:rFonts w:cstheme="minorHAnsi"/>
        </w:rPr>
        <w:softHyphen/>
      </w:r>
      <w:r w:rsidRPr="00003AE8">
        <w:rPr>
          <w:rFonts w:cstheme="minorHAnsi"/>
        </w:rPr>
        <w:t>fördert werden. Mehr Wagniskapital und öffentliche Förderungen zur Forschungsfinanzierung könnten helfen</w:t>
      </w:r>
      <w:r w:rsidR="003803DB">
        <w:rPr>
          <w:rFonts w:cstheme="minorHAnsi"/>
        </w:rPr>
        <w:t>,</w:t>
      </w:r>
      <w:r w:rsidRPr="00003AE8">
        <w:rPr>
          <w:rFonts w:cstheme="minorHAnsi"/>
        </w:rPr>
        <w:t xml:space="preserve"> die Translationslücke zu überwinden.</w:t>
      </w:r>
    </w:p>
    <w:p w14:paraId="5E44D9F9" w14:textId="77777777" w:rsidR="00DD6BBD" w:rsidRDefault="00DD6BBD" w:rsidP="002279FC">
      <w:pPr>
        <w:spacing w:line="300" w:lineRule="atLeast"/>
        <w:rPr>
          <w:rFonts w:cstheme="minorHAnsi"/>
          <w:b/>
        </w:rPr>
      </w:pPr>
      <w:r>
        <w:rPr>
          <w:rFonts w:cstheme="minorHAnsi"/>
          <w:b/>
        </w:rPr>
        <w:t>Umsetzung:</w:t>
      </w:r>
    </w:p>
    <w:p w14:paraId="126B0764" w14:textId="3FB97CC8" w:rsidR="00DD6BBD" w:rsidRDefault="001A324C" w:rsidP="001A324C">
      <w:pPr>
        <w:pStyle w:val="Listenabsatz"/>
        <w:numPr>
          <w:ilvl w:val="0"/>
          <w:numId w:val="18"/>
        </w:numPr>
        <w:spacing w:line="300" w:lineRule="atLeast"/>
        <w:rPr>
          <w:rFonts w:cstheme="minorHAnsi"/>
        </w:rPr>
      </w:pPr>
      <w:r>
        <w:rPr>
          <w:rFonts w:cstheme="minorHAnsi"/>
        </w:rPr>
        <w:t>Harmonisierung</w:t>
      </w:r>
      <w:r w:rsidR="00DD6BBD">
        <w:rPr>
          <w:rFonts w:cstheme="minorHAnsi"/>
        </w:rPr>
        <w:t xml:space="preserve"> von multizentrischen Forschungsvorhaben in der Pharmaindustrie (FF BMBF)</w:t>
      </w:r>
    </w:p>
    <w:p w14:paraId="01430EEA" w14:textId="5064D2B1" w:rsidR="001A324C" w:rsidRDefault="00DD6BBD" w:rsidP="006E3B96">
      <w:pPr>
        <w:pStyle w:val="Listenabsatz"/>
        <w:numPr>
          <w:ilvl w:val="0"/>
          <w:numId w:val="18"/>
        </w:numPr>
        <w:spacing w:line="300" w:lineRule="atLeast"/>
        <w:rPr>
          <w:rFonts w:cstheme="minorHAnsi"/>
        </w:rPr>
      </w:pPr>
      <w:r>
        <w:rPr>
          <w:rFonts w:cstheme="minorHAnsi"/>
        </w:rPr>
        <w:t xml:space="preserve">Förderung von Forschungsprojekten am Bedarf von Patientinnen und Patienten </w:t>
      </w:r>
      <w:r w:rsidR="00BB431F">
        <w:rPr>
          <w:rFonts w:cstheme="minorHAnsi"/>
        </w:rPr>
        <w:t>(FF BMBF)</w:t>
      </w:r>
    </w:p>
    <w:p w14:paraId="2F074A51" w14:textId="46F39D8D" w:rsidR="00DD6BBD" w:rsidRPr="00DD6BBD" w:rsidRDefault="006E3B96" w:rsidP="00B375CD">
      <w:pPr>
        <w:pStyle w:val="Listenabsatz"/>
        <w:numPr>
          <w:ilvl w:val="0"/>
          <w:numId w:val="18"/>
        </w:numPr>
        <w:spacing w:line="300" w:lineRule="atLeast"/>
        <w:rPr>
          <w:rFonts w:cstheme="minorHAnsi"/>
        </w:rPr>
      </w:pPr>
      <w:r>
        <w:rPr>
          <w:rFonts w:cstheme="minorHAnsi"/>
        </w:rPr>
        <w:t xml:space="preserve">Erarbeitung von </w:t>
      </w:r>
      <w:r w:rsidR="00DD6BBD">
        <w:rPr>
          <w:rFonts w:cstheme="minorHAnsi"/>
        </w:rPr>
        <w:t>Maßnahmen zur Überwindung der Translationslücke (FF BMBF)</w:t>
      </w:r>
    </w:p>
    <w:p w14:paraId="45BAC7BD" w14:textId="77777777" w:rsidR="003803DB" w:rsidRPr="00003AE8" w:rsidRDefault="003803DB" w:rsidP="002279FC">
      <w:pPr>
        <w:spacing w:line="300" w:lineRule="atLeast"/>
        <w:rPr>
          <w:rFonts w:cstheme="minorHAnsi"/>
        </w:rPr>
      </w:pPr>
    </w:p>
    <w:p w14:paraId="298D6DFC" w14:textId="36683982" w:rsidR="003803DB" w:rsidRPr="00003AE8" w:rsidRDefault="003803DB" w:rsidP="003803DB">
      <w:pPr>
        <w:pStyle w:val="berschrift2"/>
        <w:numPr>
          <w:ilvl w:val="0"/>
          <w:numId w:val="0"/>
        </w:numPr>
        <w:spacing w:line="300" w:lineRule="atLeast"/>
        <w:rPr>
          <w:rFonts w:asciiTheme="minorHAnsi" w:hAnsiTheme="minorHAnsi" w:cstheme="minorHAnsi"/>
          <w:b/>
          <w:color w:val="auto"/>
          <w:sz w:val="22"/>
          <w:szCs w:val="22"/>
        </w:rPr>
      </w:pPr>
      <w:r w:rsidRPr="00003AE8">
        <w:rPr>
          <w:rFonts w:asciiTheme="minorHAnsi" w:hAnsiTheme="minorHAnsi" w:cstheme="minorHAnsi"/>
          <w:b/>
          <w:color w:val="auto"/>
          <w:sz w:val="22"/>
          <w:szCs w:val="22"/>
        </w:rPr>
        <w:t>(</w:t>
      </w:r>
      <w:r w:rsidR="00F47542" w:rsidRPr="00003AE8">
        <w:rPr>
          <w:rFonts w:asciiTheme="minorHAnsi" w:hAnsiTheme="minorHAnsi" w:cstheme="minorHAnsi"/>
          <w:b/>
          <w:color w:val="auto"/>
          <w:sz w:val="22"/>
          <w:szCs w:val="22"/>
        </w:rPr>
        <w:t>1</w:t>
      </w:r>
      <w:r w:rsidR="00F47542">
        <w:rPr>
          <w:rFonts w:asciiTheme="minorHAnsi" w:hAnsiTheme="minorHAnsi" w:cstheme="minorHAnsi"/>
          <w:b/>
          <w:color w:val="auto"/>
          <w:sz w:val="22"/>
          <w:szCs w:val="22"/>
        </w:rPr>
        <w:t>2</w:t>
      </w:r>
      <w:r w:rsidRPr="00003AE8">
        <w:rPr>
          <w:rFonts w:asciiTheme="minorHAnsi" w:hAnsiTheme="minorHAnsi" w:cstheme="minorHAnsi"/>
          <w:b/>
          <w:color w:val="auto"/>
          <w:sz w:val="22"/>
          <w:szCs w:val="22"/>
        </w:rPr>
        <w:t>) Akademische Forschung und unternehmerische Tätigkeit verzahnen</w:t>
      </w:r>
    </w:p>
    <w:p w14:paraId="31C12B99" w14:textId="77777777" w:rsidR="00F47542" w:rsidRDefault="003803DB" w:rsidP="002279FC">
      <w:pPr>
        <w:spacing w:after="120" w:line="300" w:lineRule="atLeast"/>
        <w:rPr>
          <w:rFonts w:cstheme="minorHAnsi"/>
          <w:lang w:eastAsia="de-DE"/>
        </w:rPr>
      </w:pPr>
      <w:r w:rsidRPr="00003AE8">
        <w:rPr>
          <w:rFonts w:cstheme="minorHAnsi"/>
          <w:lang w:eastAsia="de-DE"/>
        </w:rPr>
        <w:t>Inkubatoren und Technologietransfereinrichtungen sollen unterstützt werden. Dafür steht flankierend u. a. das Programm EXIST – Existenzgründungen aus der Wissen</w:t>
      </w:r>
      <w:r w:rsidRPr="00003AE8">
        <w:rPr>
          <w:rFonts w:cstheme="minorHAnsi"/>
          <w:lang w:eastAsia="de-DE"/>
        </w:rPr>
        <w:softHyphen/>
        <w:t xml:space="preserve">schaft – auch für den Pharmabereich zur Verfügung. </w:t>
      </w:r>
    </w:p>
    <w:p w14:paraId="5AB25842" w14:textId="77777777" w:rsidR="00F47542" w:rsidRPr="00B375CD" w:rsidRDefault="00F47542" w:rsidP="002279FC">
      <w:pPr>
        <w:spacing w:after="120" w:line="300" w:lineRule="atLeast"/>
        <w:rPr>
          <w:rFonts w:cstheme="minorHAnsi"/>
          <w:b/>
          <w:lang w:eastAsia="de-DE"/>
        </w:rPr>
      </w:pPr>
      <w:r>
        <w:rPr>
          <w:rFonts w:cstheme="minorHAnsi"/>
          <w:b/>
          <w:lang w:eastAsia="de-DE"/>
        </w:rPr>
        <w:lastRenderedPageBreak/>
        <w:t>Umsetzung:</w:t>
      </w:r>
    </w:p>
    <w:p w14:paraId="06F0C75A" w14:textId="73A95C18" w:rsidR="00F47542" w:rsidRPr="00F47542" w:rsidRDefault="00F47542" w:rsidP="00B375CD">
      <w:pPr>
        <w:pStyle w:val="Listenabsatz"/>
        <w:numPr>
          <w:ilvl w:val="0"/>
          <w:numId w:val="19"/>
        </w:numPr>
        <w:spacing w:after="120" w:line="300" w:lineRule="atLeast"/>
        <w:rPr>
          <w:rFonts w:cstheme="minorHAnsi"/>
          <w:lang w:eastAsia="de-DE"/>
        </w:rPr>
      </w:pPr>
      <w:r>
        <w:rPr>
          <w:rFonts w:cstheme="minorHAnsi"/>
          <w:lang w:eastAsia="de-DE"/>
        </w:rPr>
        <w:t>Mit</w:t>
      </w:r>
      <w:r w:rsidR="003803DB" w:rsidRPr="00F47542">
        <w:rPr>
          <w:rFonts w:cstheme="minorHAnsi"/>
          <w:lang w:eastAsia="de-DE"/>
        </w:rPr>
        <w:t xml:space="preserve"> der ab 2023 neu aufgelegten Förderrichtlinie „EXIST Forschungstransfer“ </w:t>
      </w:r>
      <w:r>
        <w:rPr>
          <w:rFonts w:cstheme="minorHAnsi"/>
          <w:lang w:eastAsia="de-DE"/>
        </w:rPr>
        <w:t xml:space="preserve">wird </w:t>
      </w:r>
      <w:r w:rsidR="003803DB" w:rsidRPr="00F47542">
        <w:rPr>
          <w:rFonts w:cstheme="minorHAnsi"/>
          <w:lang w:eastAsia="de-DE"/>
        </w:rPr>
        <w:t>die industrielle Verwertung von wissenschaftlichen Pharmaentwicklungen erleichter</w:t>
      </w:r>
      <w:r>
        <w:rPr>
          <w:rFonts w:cstheme="minorHAnsi"/>
          <w:lang w:eastAsia="de-DE"/>
        </w:rPr>
        <w:t>t</w:t>
      </w:r>
      <w:r w:rsidR="003803DB" w:rsidRPr="00F47542">
        <w:rPr>
          <w:rFonts w:cstheme="minorHAnsi"/>
          <w:lang w:eastAsia="de-DE"/>
        </w:rPr>
        <w:t>. Den höheren Finanzierungsbedürfnissen von Pharma-Startups wird durch die Flexibi</w:t>
      </w:r>
      <w:r w:rsidR="003803DB" w:rsidRPr="00F47542">
        <w:rPr>
          <w:rFonts w:cstheme="minorHAnsi"/>
          <w:lang w:eastAsia="de-DE"/>
        </w:rPr>
        <w:softHyphen/>
        <w:t>lisierung bei den Projekt</w:t>
      </w:r>
      <w:r w:rsidR="003803DB" w:rsidRPr="00F47542">
        <w:rPr>
          <w:rFonts w:cstheme="minorHAnsi"/>
          <w:lang w:eastAsia="de-DE"/>
        </w:rPr>
        <w:softHyphen/>
        <w:t>lauf</w:t>
      </w:r>
      <w:r w:rsidR="003803DB" w:rsidRPr="00F47542">
        <w:rPr>
          <w:rFonts w:cstheme="minorHAnsi"/>
          <w:lang w:eastAsia="de-DE"/>
        </w:rPr>
        <w:softHyphen/>
        <w:t>zeiten und Sachmittelausgaben Rechnung getragen</w:t>
      </w:r>
      <w:r>
        <w:rPr>
          <w:rFonts w:cstheme="minorHAnsi"/>
          <w:lang w:eastAsia="de-DE"/>
        </w:rPr>
        <w:t xml:space="preserve"> (FF BMWK, BMBF)</w:t>
      </w:r>
      <w:r w:rsidR="003803DB" w:rsidRPr="00F47542">
        <w:rPr>
          <w:rFonts w:cstheme="minorHAnsi"/>
          <w:lang w:eastAsia="de-DE"/>
        </w:rPr>
        <w:t>.</w:t>
      </w:r>
    </w:p>
    <w:p w14:paraId="5E1C8655" w14:textId="77777777" w:rsidR="007B4921" w:rsidRPr="00003AE8" w:rsidRDefault="003803DB" w:rsidP="002279FC">
      <w:pPr>
        <w:spacing w:after="120" w:line="300" w:lineRule="atLeast"/>
        <w:rPr>
          <w:rFonts w:cstheme="minorHAnsi"/>
          <w:lang w:eastAsia="de-DE"/>
        </w:rPr>
      </w:pPr>
      <w:r>
        <w:rPr>
          <w:rFonts w:cstheme="minorHAnsi"/>
          <w:lang w:eastAsia="de-DE"/>
        </w:rPr>
        <w:br/>
      </w:r>
    </w:p>
    <w:p w14:paraId="075A6564" w14:textId="433F000D" w:rsidR="00F00A95" w:rsidRPr="003D6978" w:rsidRDefault="003D6978" w:rsidP="002279FC">
      <w:pPr>
        <w:pStyle w:val="berschrift2"/>
        <w:numPr>
          <w:ilvl w:val="0"/>
          <w:numId w:val="0"/>
        </w:numPr>
        <w:spacing w:line="300" w:lineRule="atLeast"/>
        <w:rPr>
          <w:rFonts w:asciiTheme="minorHAnsi" w:hAnsiTheme="minorHAnsi" w:cstheme="minorHAnsi"/>
          <w:b/>
          <w:color w:val="auto"/>
          <w:sz w:val="22"/>
          <w:szCs w:val="22"/>
        </w:rPr>
      </w:pPr>
      <w:r w:rsidRPr="003D6978">
        <w:rPr>
          <w:rFonts w:asciiTheme="minorHAnsi" w:hAnsiTheme="minorHAnsi" w:cstheme="minorHAnsi"/>
          <w:b/>
          <w:color w:val="auto"/>
          <w:sz w:val="22"/>
          <w:szCs w:val="22"/>
        </w:rPr>
        <w:t>(</w:t>
      </w:r>
      <w:r w:rsidR="00F47542" w:rsidRPr="003D6978">
        <w:rPr>
          <w:rFonts w:asciiTheme="minorHAnsi" w:hAnsiTheme="minorHAnsi" w:cstheme="minorHAnsi"/>
          <w:b/>
          <w:color w:val="auto"/>
          <w:sz w:val="22"/>
          <w:szCs w:val="22"/>
        </w:rPr>
        <w:t>1</w:t>
      </w:r>
      <w:r w:rsidR="00F47542">
        <w:rPr>
          <w:rFonts w:asciiTheme="minorHAnsi" w:hAnsiTheme="minorHAnsi" w:cstheme="minorHAnsi"/>
          <w:b/>
          <w:color w:val="auto"/>
          <w:sz w:val="22"/>
          <w:szCs w:val="22"/>
        </w:rPr>
        <w:t>3</w:t>
      </w:r>
      <w:r w:rsidRPr="003D6978">
        <w:rPr>
          <w:rFonts w:asciiTheme="minorHAnsi" w:hAnsiTheme="minorHAnsi" w:cstheme="minorHAnsi"/>
          <w:b/>
          <w:color w:val="auto"/>
          <w:sz w:val="22"/>
          <w:szCs w:val="22"/>
        </w:rPr>
        <w:t>)</w:t>
      </w:r>
      <w:r w:rsidR="00707F14" w:rsidRPr="003D6978">
        <w:rPr>
          <w:rFonts w:asciiTheme="minorHAnsi" w:hAnsiTheme="minorHAnsi" w:cstheme="minorHAnsi"/>
          <w:b/>
          <w:color w:val="auto"/>
          <w:sz w:val="22"/>
          <w:szCs w:val="22"/>
        </w:rPr>
        <w:t xml:space="preserve"> </w:t>
      </w:r>
      <w:r w:rsidR="00F00A95" w:rsidRPr="003D6978">
        <w:rPr>
          <w:rFonts w:asciiTheme="minorHAnsi" w:hAnsiTheme="minorHAnsi" w:cstheme="minorHAnsi"/>
          <w:b/>
          <w:color w:val="auto"/>
          <w:sz w:val="22"/>
          <w:szCs w:val="22"/>
        </w:rPr>
        <w:t>Planungs- und Genehmigungs</w:t>
      </w:r>
      <w:r w:rsidR="00F00A95" w:rsidRPr="003D6978">
        <w:rPr>
          <w:rFonts w:asciiTheme="minorHAnsi" w:hAnsiTheme="minorHAnsi" w:cstheme="minorHAnsi"/>
          <w:b/>
          <w:color w:val="auto"/>
          <w:sz w:val="22"/>
          <w:szCs w:val="22"/>
        </w:rPr>
        <w:softHyphen/>
        <w:t xml:space="preserve">verfahren </w:t>
      </w:r>
      <w:r w:rsidR="00707F14" w:rsidRPr="003D6978">
        <w:rPr>
          <w:rFonts w:asciiTheme="minorHAnsi" w:hAnsiTheme="minorHAnsi" w:cstheme="minorHAnsi"/>
          <w:b/>
          <w:color w:val="auto"/>
          <w:sz w:val="22"/>
          <w:szCs w:val="22"/>
        </w:rPr>
        <w:t xml:space="preserve">bei Klinischen Prüfungen </w:t>
      </w:r>
      <w:r w:rsidR="00F00A95" w:rsidRPr="003D6978">
        <w:rPr>
          <w:rFonts w:asciiTheme="minorHAnsi" w:hAnsiTheme="minorHAnsi" w:cstheme="minorHAnsi"/>
          <w:b/>
          <w:color w:val="auto"/>
          <w:sz w:val="22"/>
          <w:szCs w:val="22"/>
        </w:rPr>
        <w:t xml:space="preserve">beschleunigen </w:t>
      </w:r>
    </w:p>
    <w:p w14:paraId="31F06021" w14:textId="5B573D1B" w:rsidR="00A97E65" w:rsidRDefault="00707F14" w:rsidP="002279FC">
      <w:pPr>
        <w:spacing w:line="300" w:lineRule="atLeast"/>
        <w:rPr>
          <w:rFonts w:cstheme="minorHAnsi"/>
        </w:rPr>
      </w:pPr>
      <w:r w:rsidRPr="00003AE8">
        <w:rPr>
          <w:rFonts w:cstheme="minorHAnsi"/>
        </w:rPr>
        <w:t>Das Verfahren zur Genehmigung von Anträgen auf Durchführung klinischer Prüfungen mit Human</w:t>
      </w:r>
      <w:r w:rsidR="00A97E65">
        <w:rPr>
          <w:rFonts w:cstheme="minorHAnsi"/>
        </w:rPr>
        <w:softHyphen/>
      </w:r>
      <w:r w:rsidRPr="00003AE8">
        <w:rPr>
          <w:rFonts w:cstheme="minorHAnsi"/>
        </w:rPr>
        <w:t>arzneimitteln ist europarechtlich durch die Verordnung (EU) Nr. 536/2014 harmonisiert. Die Ver</w:t>
      </w:r>
      <w:r w:rsidR="00A97E65">
        <w:rPr>
          <w:rFonts w:cstheme="minorHAnsi"/>
        </w:rPr>
        <w:softHyphen/>
      </w:r>
      <w:r w:rsidRPr="00003AE8">
        <w:rPr>
          <w:rFonts w:cstheme="minorHAnsi"/>
        </w:rPr>
        <w:t xml:space="preserve">ordnung ist seit dem 31. Januar 2023 verpflichtend anzuwenden. </w:t>
      </w:r>
    </w:p>
    <w:p w14:paraId="6DA4B1AB" w14:textId="77777777" w:rsidR="00584098" w:rsidRPr="00003AE8" w:rsidRDefault="00707F14" w:rsidP="002279FC">
      <w:pPr>
        <w:spacing w:line="300" w:lineRule="atLeast"/>
        <w:rPr>
          <w:rFonts w:cstheme="minorHAnsi"/>
        </w:rPr>
      </w:pPr>
      <w:r w:rsidRPr="00003AE8">
        <w:rPr>
          <w:rFonts w:cstheme="minorHAnsi"/>
        </w:rPr>
        <w:t>Auf Basis der Erfahrungen und Rückmeldungen der Rechtsanwenderinnen und -anwender werden sowohl legislative als auch nicht-legislative Maßnahmen geprüft und vorgenommen. Ziel ist es, das Genehmigungsverfahren klinischer Prüfungen ohne Einbußen für die Sicherheit der Prüfungsteil</w:t>
      </w:r>
      <w:r w:rsidR="00A97E65">
        <w:rPr>
          <w:rFonts w:cstheme="minorHAnsi"/>
        </w:rPr>
        <w:softHyphen/>
      </w:r>
      <w:r w:rsidRPr="00003AE8">
        <w:rPr>
          <w:rFonts w:cstheme="minorHAnsi"/>
        </w:rPr>
        <w:t>nehmerinnen und -teilnehmer zu optimieren. In diesen Prozess werden auch die Vor</w:t>
      </w:r>
      <w:r w:rsidR="00A97E65">
        <w:rPr>
          <w:rFonts w:cstheme="minorHAnsi"/>
        </w:rPr>
        <w:softHyphen/>
      </w:r>
      <w:r w:rsidRPr="00003AE8">
        <w:rPr>
          <w:rFonts w:cstheme="minorHAnsi"/>
        </w:rPr>
        <w:t>schläge der Ver</w:t>
      </w:r>
      <w:r w:rsidR="00A97E65">
        <w:rPr>
          <w:rFonts w:cstheme="minorHAnsi"/>
        </w:rPr>
        <w:softHyphen/>
      </w:r>
      <w:r w:rsidRPr="00003AE8">
        <w:rPr>
          <w:rFonts w:cstheme="minorHAnsi"/>
        </w:rPr>
        <w:t>bände der pharmazeutischen Industrie einbezogen sowie weitere Gespräche mit den betroffenen Akteuren durchgeführt.</w:t>
      </w:r>
      <w:r w:rsidR="00584098" w:rsidRPr="00003AE8">
        <w:rPr>
          <w:rFonts w:cstheme="minorHAnsi"/>
        </w:rPr>
        <w:t xml:space="preserve"> </w:t>
      </w:r>
    </w:p>
    <w:p w14:paraId="6240EB99" w14:textId="18BCDAB7" w:rsidR="00F47542" w:rsidRDefault="00584098" w:rsidP="002279FC">
      <w:pPr>
        <w:spacing w:line="300" w:lineRule="atLeast"/>
        <w:rPr>
          <w:rFonts w:cstheme="minorHAnsi"/>
        </w:rPr>
      </w:pPr>
      <w:r w:rsidRPr="00003AE8">
        <w:rPr>
          <w:rFonts w:cstheme="minorHAnsi"/>
        </w:rPr>
        <w:t xml:space="preserve">Die praktische Ausgestaltung und die Durchführung klinischer Prüfungen befinden sich vor dem Hintergrund der Digitalisierung und Dezentralisierung derzeit im Umbruch. </w:t>
      </w:r>
    </w:p>
    <w:p w14:paraId="6F9B3DCC" w14:textId="77777777" w:rsidR="00F47542" w:rsidRPr="00B375CD" w:rsidRDefault="00F47542" w:rsidP="002279FC">
      <w:pPr>
        <w:spacing w:line="300" w:lineRule="atLeast"/>
        <w:rPr>
          <w:rFonts w:cstheme="minorHAnsi"/>
          <w:b/>
        </w:rPr>
      </w:pPr>
      <w:r>
        <w:rPr>
          <w:rFonts w:cstheme="minorHAnsi"/>
          <w:b/>
        </w:rPr>
        <w:t>Umsetzung:</w:t>
      </w:r>
    </w:p>
    <w:p w14:paraId="319EA68F" w14:textId="77777777" w:rsidR="00AB1C4D" w:rsidRDefault="00AB1C4D" w:rsidP="00B375CD">
      <w:pPr>
        <w:pStyle w:val="Listenabsatz"/>
        <w:numPr>
          <w:ilvl w:val="0"/>
          <w:numId w:val="19"/>
        </w:numPr>
        <w:spacing w:line="300" w:lineRule="atLeast"/>
        <w:rPr>
          <w:rFonts w:cstheme="minorHAnsi"/>
        </w:rPr>
      </w:pPr>
      <w:r>
        <w:rPr>
          <w:rFonts w:cstheme="minorHAnsi"/>
        </w:rPr>
        <w:t xml:space="preserve">Prüfung von </w:t>
      </w:r>
      <w:r w:rsidRPr="00003AE8">
        <w:rPr>
          <w:rFonts w:cstheme="minorHAnsi"/>
        </w:rPr>
        <w:t>Maßnahmen zur Ermöglichung der Durchführung dezentraler klinischer Prüfungen (</w:t>
      </w:r>
      <w:proofErr w:type="spellStart"/>
      <w:r w:rsidRPr="00003AE8">
        <w:rPr>
          <w:rFonts w:cstheme="minorHAnsi"/>
        </w:rPr>
        <w:t>Decentralised</w:t>
      </w:r>
      <w:proofErr w:type="spellEnd"/>
      <w:r w:rsidRPr="00003AE8">
        <w:rPr>
          <w:rFonts w:cstheme="minorHAnsi"/>
        </w:rPr>
        <w:t xml:space="preserve"> Clinical Trials)</w:t>
      </w:r>
      <w:r>
        <w:rPr>
          <w:rFonts w:cstheme="minorHAnsi"/>
        </w:rPr>
        <w:t xml:space="preserve"> (FF BMG)</w:t>
      </w:r>
    </w:p>
    <w:p w14:paraId="0AFC3BEE" w14:textId="023B7001" w:rsidR="00BB431F" w:rsidRDefault="00584098" w:rsidP="00B375CD">
      <w:pPr>
        <w:pStyle w:val="Listenabsatz"/>
        <w:numPr>
          <w:ilvl w:val="0"/>
          <w:numId w:val="19"/>
        </w:numPr>
        <w:spacing w:line="300" w:lineRule="atLeast"/>
        <w:rPr>
          <w:rFonts w:cstheme="minorHAnsi"/>
        </w:rPr>
      </w:pPr>
      <w:r w:rsidRPr="006E3B96">
        <w:rPr>
          <w:rFonts w:cstheme="minorHAnsi"/>
        </w:rPr>
        <w:t>Vereinfachungen bei der Kennzeichnung von Prüf- und Hilfspräparaten in englischer Sprache</w:t>
      </w:r>
      <w:r w:rsidR="00F47542" w:rsidRPr="008600BF">
        <w:rPr>
          <w:rFonts w:cstheme="minorHAnsi"/>
        </w:rPr>
        <w:t xml:space="preserve"> (FF BMG)</w:t>
      </w:r>
      <w:r w:rsidR="006E3B96">
        <w:rPr>
          <w:rFonts w:cstheme="minorHAnsi"/>
        </w:rPr>
        <w:t xml:space="preserve"> </w:t>
      </w:r>
    </w:p>
    <w:p w14:paraId="7A44DAB6" w14:textId="0298C8D8" w:rsidR="009F0A56" w:rsidRDefault="006E3B96" w:rsidP="00B375CD">
      <w:pPr>
        <w:pStyle w:val="Listenabsatz"/>
        <w:numPr>
          <w:ilvl w:val="0"/>
          <w:numId w:val="19"/>
        </w:numPr>
        <w:spacing w:line="300" w:lineRule="atLeast"/>
        <w:rPr>
          <w:rFonts w:cstheme="minorHAnsi"/>
        </w:rPr>
      </w:pPr>
      <w:r>
        <w:rPr>
          <w:rFonts w:cstheme="minorHAnsi"/>
        </w:rPr>
        <w:t xml:space="preserve">Bündelung und </w:t>
      </w:r>
      <w:proofErr w:type="gramStart"/>
      <w:r>
        <w:rPr>
          <w:rFonts w:cstheme="minorHAnsi"/>
        </w:rPr>
        <w:t xml:space="preserve">Vereinfachung </w:t>
      </w:r>
      <w:r w:rsidR="009F0A56" w:rsidRPr="00AB1C4D">
        <w:rPr>
          <w:rFonts w:cstheme="minorHAnsi"/>
        </w:rPr>
        <w:t xml:space="preserve"> </w:t>
      </w:r>
      <w:r>
        <w:rPr>
          <w:rFonts w:cstheme="minorHAnsi"/>
        </w:rPr>
        <w:t>der</w:t>
      </w:r>
      <w:proofErr w:type="gramEnd"/>
      <w:r>
        <w:rPr>
          <w:rFonts w:cstheme="minorHAnsi"/>
        </w:rPr>
        <w:t xml:space="preserve"> </w:t>
      </w:r>
      <w:r w:rsidR="009F0A56" w:rsidRPr="00AB1C4D">
        <w:rPr>
          <w:rFonts w:cstheme="minorHAnsi"/>
        </w:rPr>
        <w:t>ethischen Bewertungs- und fachlichen Genehmigungsverfahren in der präklinischen Entwicklung, um die Forschung administrativ zu entlasten und die Verfahren zu beschleunigen</w:t>
      </w:r>
      <w:r w:rsidR="00AB1C4D">
        <w:rPr>
          <w:rFonts w:cstheme="minorHAnsi"/>
        </w:rPr>
        <w:t xml:space="preserve"> (FF BMBF)</w:t>
      </w:r>
    </w:p>
    <w:p w14:paraId="2017360A" w14:textId="7C2342E1" w:rsidR="009E5CA0" w:rsidRPr="00F47542" w:rsidRDefault="009E5CA0" w:rsidP="00B375CD">
      <w:pPr>
        <w:pStyle w:val="Listenabsatz"/>
        <w:numPr>
          <w:ilvl w:val="0"/>
          <w:numId w:val="19"/>
        </w:numPr>
        <w:spacing w:line="300" w:lineRule="atLeast"/>
        <w:rPr>
          <w:rFonts w:cstheme="minorHAnsi"/>
        </w:rPr>
      </w:pPr>
      <w:r w:rsidRPr="000D0C4A">
        <w:rPr>
          <w:rFonts w:cstheme="minorHAnsi"/>
        </w:rPr>
        <w:t xml:space="preserve">Weitere konkrete Maßnahmen </w:t>
      </w:r>
      <w:r w:rsidR="00352E15">
        <w:rPr>
          <w:rFonts w:cstheme="minorHAnsi"/>
        </w:rPr>
        <w:t xml:space="preserve">zur Beschleunigung und Entbürokratisierung </w:t>
      </w:r>
      <w:r w:rsidRPr="000D0C4A">
        <w:rPr>
          <w:rFonts w:cstheme="minorHAnsi"/>
        </w:rPr>
        <w:t>sind in den Punkten 15 bis 18 dargestellt.</w:t>
      </w:r>
    </w:p>
    <w:p w14:paraId="6CD80247" w14:textId="77777777" w:rsidR="00A97E65" w:rsidRPr="00003AE8" w:rsidRDefault="00A97E65" w:rsidP="002279FC">
      <w:pPr>
        <w:spacing w:line="300" w:lineRule="atLeast"/>
        <w:rPr>
          <w:rFonts w:cstheme="minorHAnsi"/>
        </w:rPr>
      </w:pPr>
    </w:p>
    <w:p w14:paraId="35DC4798" w14:textId="3A5DA9E9" w:rsidR="00707F14" w:rsidRPr="002279FC" w:rsidRDefault="003D6978" w:rsidP="002279FC">
      <w:pPr>
        <w:spacing w:line="300" w:lineRule="atLeast"/>
        <w:rPr>
          <w:rFonts w:cstheme="minorHAnsi"/>
          <w:b/>
        </w:rPr>
      </w:pPr>
      <w:r w:rsidRPr="002279FC">
        <w:rPr>
          <w:rFonts w:cstheme="minorHAnsi"/>
          <w:b/>
        </w:rPr>
        <w:t>(</w:t>
      </w:r>
      <w:r w:rsidR="00AB1C4D" w:rsidRPr="002279FC">
        <w:rPr>
          <w:rFonts w:cstheme="minorHAnsi"/>
          <w:b/>
        </w:rPr>
        <w:t>1</w:t>
      </w:r>
      <w:r w:rsidR="00AB1C4D">
        <w:rPr>
          <w:rFonts w:cstheme="minorHAnsi"/>
          <w:b/>
        </w:rPr>
        <w:t>4</w:t>
      </w:r>
      <w:r w:rsidRPr="002279FC">
        <w:rPr>
          <w:rFonts w:cstheme="minorHAnsi"/>
          <w:b/>
        </w:rPr>
        <w:t xml:space="preserve">) </w:t>
      </w:r>
      <w:r w:rsidR="00707F14" w:rsidRPr="002279FC">
        <w:rPr>
          <w:rFonts w:cstheme="minorHAnsi"/>
          <w:b/>
        </w:rPr>
        <w:t xml:space="preserve">Clinical Trials Information System </w:t>
      </w:r>
      <w:r w:rsidR="009B59E7" w:rsidRPr="002279FC">
        <w:rPr>
          <w:rFonts w:cstheme="minorHAnsi"/>
          <w:b/>
        </w:rPr>
        <w:t>fortschreiben</w:t>
      </w:r>
    </w:p>
    <w:p w14:paraId="5EB357FA" w14:textId="77777777" w:rsidR="00707F14" w:rsidRPr="00003AE8" w:rsidRDefault="00707F14" w:rsidP="002279FC">
      <w:pPr>
        <w:spacing w:line="300" w:lineRule="atLeast"/>
        <w:jc w:val="both"/>
        <w:rPr>
          <w:rFonts w:cstheme="minorHAnsi"/>
        </w:rPr>
      </w:pPr>
      <w:r w:rsidRPr="00003AE8">
        <w:rPr>
          <w:rFonts w:cstheme="minorHAnsi"/>
        </w:rPr>
        <w:t>Klinische Prüfungen mit Arzneimitteln sind von großer Bedeutung für die Versorgung von Patientinnen und Patienten. Ziel ist es daher, gute Rahmenbedingungen für klinische Prüfungen zu schaffen und so hochwertige klinische Prüfungen in Deutschland zu ermöglichen; dafür ist ein gut funktionierendes und benutzerfreundliches System für die Antragstellung und Genehmigung eine Grundvoraussetzung.</w:t>
      </w:r>
    </w:p>
    <w:p w14:paraId="2142EFC8" w14:textId="77777777" w:rsidR="00707F14" w:rsidRPr="00003AE8" w:rsidRDefault="00707F14" w:rsidP="002279FC">
      <w:pPr>
        <w:spacing w:line="300" w:lineRule="atLeast"/>
        <w:jc w:val="both"/>
        <w:rPr>
          <w:rFonts w:cstheme="minorHAnsi"/>
        </w:rPr>
      </w:pPr>
      <w:r w:rsidRPr="00003AE8">
        <w:rPr>
          <w:rFonts w:cstheme="minorHAnsi"/>
        </w:rPr>
        <w:t xml:space="preserve">Das europäische Portal, das Clinical Trials Information System (CTIS), bietet grundsätzlich viele Vorteile für effiziente Genehmigungsverfahren für klinische Prüfungen in der EU. Das BMG hat die Europäische Kommission aufgefordert, unverzüglich alle erforderlichen Maßnahmen zu ergreifen, um schnellstmöglich die volle Funktionsfähigkeit von CTIS sicherzustellen. Die Europäische </w:t>
      </w:r>
      <w:r w:rsidRPr="00003AE8">
        <w:rPr>
          <w:rFonts w:cstheme="minorHAnsi"/>
        </w:rPr>
        <w:lastRenderedPageBreak/>
        <w:t xml:space="preserve">Arzneimittelagentur (EMA) hat daraufhin ihre finanziellen und personellen Ressourcen noch einmal deutlich aufgestockt und intensiv an der Fehlerbehebung und Stabilisierung von CTIS gearbeitet. </w:t>
      </w:r>
    </w:p>
    <w:p w14:paraId="1FF59CF5" w14:textId="77777777" w:rsidR="00AB1C4D" w:rsidRDefault="00707F14" w:rsidP="002279FC">
      <w:pPr>
        <w:spacing w:line="300" w:lineRule="atLeast"/>
        <w:jc w:val="both"/>
        <w:rPr>
          <w:rFonts w:cstheme="minorHAnsi"/>
        </w:rPr>
      </w:pPr>
      <w:r w:rsidRPr="00003AE8">
        <w:rPr>
          <w:rFonts w:cstheme="minorHAnsi"/>
        </w:rPr>
        <w:t xml:space="preserve">Seit Ablauf der einjährigen Übergangsphase und somit seit der verpflichtenden Nutzung von CTIS ab dem 31. Januar 2023 läuft das System nach Angaben der EMA stabil. In 2023 liegt der Fokus der EMA insgesamt darauf, das System weiter zu verbessern sowie neue Funktionen zur Verbesserung der Benutzerfreundlichkeit zu entwickeln. </w:t>
      </w:r>
    </w:p>
    <w:p w14:paraId="2C93198E" w14:textId="77777777" w:rsidR="00AB1C4D" w:rsidRPr="00B375CD" w:rsidRDefault="00AB1C4D" w:rsidP="002279FC">
      <w:pPr>
        <w:spacing w:line="300" w:lineRule="atLeast"/>
        <w:jc w:val="both"/>
        <w:rPr>
          <w:rFonts w:cstheme="minorHAnsi"/>
          <w:b/>
        </w:rPr>
      </w:pPr>
      <w:r>
        <w:rPr>
          <w:rFonts w:cstheme="minorHAnsi"/>
          <w:b/>
        </w:rPr>
        <w:t>Umsetzung:</w:t>
      </w:r>
    </w:p>
    <w:p w14:paraId="2248190E" w14:textId="77777777" w:rsidR="00707F14" w:rsidRPr="00AB1C4D" w:rsidRDefault="00707F14" w:rsidP="00B375CD">
      <w:pPr>
        <w:pStyle w:val="Listenabsatz"/>
        <w:numPr>
          <w:ilvl w:val="0"/>
          <w:numId w:val="20"/>
        </w:numPr>
        <w:spacing w:line="300" w:lineRule="atLeast"/>
        <w:jc w:val="both"/>
        <w:rPr>
          <w:rFonts w:cstheme="minorHAnsi"/>
        </w:rPr>
      </w:pPr>
      <w:r w:rsidRPr="00AB1C4D">
        <w:rPr>
          <w:rFonts w:cstheme="minorHAnsi"/>
        </w:rPr>
        <w:t>BfArM, PEI und Ethik-Kommissionen arbeiten intensiv und konstruktiv an der Anwendung und der Verbesserung des Systems durch die EMA mit. Die Funktionalität, Stabilität und Anwenderfreundlichkeit von CTIS wird weiterhin beobachtet. Falls erforderlich, wird BMG weitere Schritte prüfen und vornehmen</w:t>
      </w:r>
      <w:r w:rsidR="00AB1C4D">
        <w:rPr>
          <w:rFonts w:cstheme="minorHAnsi"/>
        </w:rPr>
        <w:t xml:space="preserve"> (FF BMG)</w:t>
      </w:r>
      <w:r w:rsidRPr="00AB1C4D">
        <w:rPr>
          <w:rFonts w:cstheme="minorHAnsi"/>
        </w:rPr>
        <w:t>.</w:t>
      </w:r>
    </w:p>
    <w:p w14:paraId="42F5F7F7" w14:textId="77777777" w:rsidR="00707F14" w:rsidRPr="00003AE8" w:rsidRDefault="00707F14" w:rsidP="002279FC">
      <w:pPr>
        <w:spacing w:line="300" w:lineRule="atLeast"/>
        <w:rPr>
          <w:rFonts w:cstheme="minorHAnsi"/>
          <w:b/>
        </w:rPr>
      </w:pPr>
    </w:p>
    <w:p w14:paraId="71369C50" w14:textId="364C2644" w:rsidR="00707F14" w:rsidRPr="003D6978" w:rsidRDefault="003D6978" w:rsidP="002279FC">
      <w:pPr>
        <w:spacing w:line="300" w:lineRule="atLeast"/>
        <w:rPr>
          <w:rFonts w:cstheme="minorHAnsi"/>
          <w:b/>
        </w:rPr>
      </w:pPr>
      <w:r w:rsidRPr="003D6978">
        <w:rPr>
          <w:rFonts w:cstheme="minorHAnsi"/>
          <w:b/>
        </w:rPr>
        <w:t>(</w:t>
      </w:r>
      <w:r w:rsidR="00AB1C4D" w:rsidRPr="003D6978">
        <w:rPr>
          <w:rFonts w:cstheme="minorHAnsi"/>
          <w:b/>
        </w:rPr>
        <w:t>1</w:t>
      </w:r>
      <w:r w:rsidR="00AB1C4D">
        <w:rPr>
          <w:rFonts w:cstheme="minorHAnsi"/>
          <w:b/>
        </w:rPr>
        <w:t>5</w:t>
      </w:r>
      <w:r w:rsidRPr="003D6978">
        <w:rPr>
          <w:rFonts w:cstheme="minorHAnsi"/>
          <w:b/>
        </w:rPr>
        <w:t xml:space="preserve">) </w:t>
      </w:r>
      <w:r w:rsidR="009B59E7">
        <w:rPr>
          <w:rFonts w:cstheme="minorHAnsi"/>
          <w:b/>
        </w:rPr>
        <w:t>B</w:t>
      </w:r>
      <w:r w:rsidR="009B59E7" w:rsidRPr="003D6978">
        <w:rPr>
          <w:rFonts w:cstheme="minorHAnsi"/>
          <w:b/>
        </w:rPr>
        <w:t xml:space="preserve">ei mononationalen klinischen Prüfungen </w:t>
      </w:r>
      <w:r w:rsidR="00707F14" w:rsidRPr="003D6978">
        <w:rPr>
          <w:rFonts w:cstheme="minorHAnsi"/>
          <w:b/>
        </w:rPr>
        <w:t>Frist</w:t>
      </w:r>
      <w:r w:rsidR="009B59E7">
        <w:rPr>
          <w:rFonts w:cstheme="minorHAnsi"/>
          <w:b/>
        </w:rPr>
        <w:t>en verkürzen</w:t>
      </w:r>
      <w:r w:rsidR="00707F14" w:rsidRPr="003D6978">
        <w:rPr>
          <w:rFonts w:cstheme="minorHAnsi"/>
          <w:b/>
        </w:rPr>
        <w:t xml:space="preserve"> </w:t>
      </w:r>
    </w:p>
    <w:p w14:paraId="5717A43E" w14:textId="77777777" w:rsidR="00AB1C4D" w:rsidRDefault="00707F14" w:rsidP="002279FC">
      <w:pPr>
        <w:spacing w:line="300" w:lineRule="atLeast"/>
        <w:rPr>
          <w:rFonts w:cstheme="minorHAnsi"/>
        </w:rPr>
      </w:pPr>
      <w:r w:rsidRPr="00003AE8">
        <w:rPr>
          <w:rFonts w:cstheme="minorHAnsi"/>
        </w:rPr>
        <w:t xml:space="preserve">In der Forschung spielt der Faktor Zeit eine entscheidende Rolle. BMG wird sich dafür einsetzen, dass die für die Genehmigung klinischer Prüfungen zuständigen Bundesoberbehörden BfArM und PEI sowie die registrierten Ethik-Kommissionen der Länder Anträge auf Genehmigung mononationaler klinischer Prüfungen regelmäßig schneller entscheiden als nach europäischem Recht vorgesehen. </w:t>
      </w:r>
    </w:p>
    <w:p w14:paraId="4104D00A" w14:textId="77777777" w:rsidR="00AB1C4D" w:rsidRDefault="00AB1C4D" w:rsidP="002279FC">
      <w:pPr>
        <w:spacing w:line="300" w:lineRule="atLeast"/>
        <w:rPr>
          <w:rFonts w:cstheme="minorHAnsi"/>
          <w:b/>
        </w:rPr>
      </w:pPr>
      <w:r>
        <w:rPr>
          <w:rFonts w:cstheme="minorHAnsi"/>
          <w:b/>
        </w:rPr>
        <w:t>Umsetzung:</w:t>
      </w:r>
    </w:p>
    <w:p w14:paraId="70ADF096" w14:textId="0F645A3C" w:rsidR="00707F14" w:rsidRPr="00AB1C4D" w:rsidRDefault="00AB1C4D" w:rsidP="00B375CD">
      <w:pPr>
        <w:pStyle w:val="Listenabsatz"/>
        <w:numPr>
          <w:ilvl w:val="0"/>
          <w:numId w:val="20"/>
        </w:numPr>
        <w:spacing w:line="300" w:lineRule="atLeast"/>
        <w:rPr>
          <w:rFonts w:cstheme="minorHAnsi"/>
        </w:rPr>
      </w:pPr>
      <w:r>
        <w:rPr>
          <w:rFonts w:cstheme="minorHAnsi"/>
        </w:rPr>
        <w:t xml:space="preserve">Sicherstellung, dass </w:t>
      </w:r>
      <w:r w:rsidR="00707F14" w:rsidRPr="00AB1C4D">
        <w:rPr>
          <w:rFonts w:cstheme="minorHAnsi"/>
        </w:rPr>
        <w:t>Anträge nach erfolgreicher Validierung bei mangelfreiem Antrag innerhalb von 26 Tagen bewertet und spätestens bis zum Tag 31 entschieden werden. Dies bedeutet einen Zeitgewinn von 19 Tagen</w:t>
      </w:r>
      <w:r>
        <w:rPr>
          <w:rFonts w:cstheme="minorHAnsi"/>
        </w:rPr>
        <w:t xml:space="preserve"> (FF BMG).</w:t>
      </w:r>
      <w:r w:rsidR="003D6978" w:rsidRPr="00AB1C4D">
        <w:rPr>
          <w:rFonts w:cstheme="minorHAnsi"/>
        </w:rPr>
        <w:br/>
      </w:r>
    </w:p>
    <w:p w14:paraId="5BF3AC57" w14:textId="7E331250" w:rsidR="00707F14" w:rsidRPr="003D6978" w:rsidRDefault="003D6978" w:rsidP="002279FC">
      <w:pPr>
        <w:spacing w:line="300" w:lineRule="atLeast"/>
        <w:rPr>
          <w:rFonts w:cstheme="minorHAnsi"/>
          <w:b/>
        </w:rPr>
      </w:pPr>
      <w:r w:rsidRPr="003D6978">
        <w:rPr>
          <w:rFonts w:cstheme="minorHAnsi"/>
          <w:b/>
        </w:rPr>
        <w:t>(</w:t>
      </w:r>
      <w:r w:rsidR="00AB1C4D" w:rsidRPr="003D6978">
        <w:rPr>
          <w:rFonts w:cstheme="minorHAnsi"/>
          <w:b/>
        </w:rPr>
        <w:t>1</w:t>
      </w:r>
      <w:r w:rsidR="00AB1C4D">
        <w:rPr>
          <w:rFonts w:cstheme="minorHAnsi"/>
          <w:b/>
        </w:rPr>
        <w:t>6</w:t>
      </w:r>
      <w:r w:rsidRPr="003D6978">
        <w:rPr>
          <w:rFonts w:cstheme="minorHAnsi"/>
          <w:b/>
        </w:rPr>
        <w:t>)</w:t>
      </w:r>
      <w:r w:rsidR="00707F14" w:rsidRPr="003D6978">
        <w:rPr>
          <w:rFonts w:cstheme="minorHAnsi"/>
          <w:b/>
        </w:rPr>
        <w:t xml:space="preserve"> Mustervertragsklauseln</w:t>
      </w:r>
      <w:r w:rsidR="009B59E7">
        <w:rPr>
          <w:rFonts w:cstheme="minorHAnsi"/>
          <w:b/>
        </w:rPr>
        <w:t xml:space="preserve"> nutzen</w:t>
      </w:r>
    </w:p>
    <w:p w14:paraId="2E277D91" w14:textId="77777777" w:rsidR="00AB1C4D" w:rsidRDefault="00707F14" w:rsidP="002279FC">
      <w:pPr>
        <w:spacing w:line="300" w:lineRule="atLeast"/>
        <w:rPr>
          <w:rFonts w:cstheme="minorHAnsi"/>
        </w:rPr>
      </w:pPr>
      <w:r w:rsidRPr="00003AE8">
        <w:rPr>
          <w:rFonts w:cstheme="minorHAnsi"/>
        </w:rPr>
        <w:t>Ist eine klinische Prüfung genehmigt, sollte möglichst schnell mit der Durchführung begonnen werden. BMG wird sich daher für eine breitere Nutzung von Mustervertragsklauseln für die Verträge zwischen Sponsor, Prüfzentrum, Prüfern und gegebenenfalls Dritten einsetzen. Zwar besteht grundsätzlich Vertragsfreiheit, es ist jedoch zielführend, wenn in dem stark regulierten Bereich der klinischen Prüfungen mit bereits abgestimmten Vertragsbausteinen gearbeitet wird.</w:t>
      </w:r>
    </w:p>
    <w:p w14:paraId="3C08F619" w14:textId="77777777" w:rsidR="00AB1C4D" w:rsidRPr="00B375CD" w:rsidRDefault="00AB1C4D" w:rsidP="002279FC">
      <w:pPr>
        <w:spacing w:line="300" w:lineRule="atLeast"/>
        <w:rPr>
          <w:rFonts w:cstheme="minorHAnsi"/>
          <w:b/>
        </w:rPr>
      </w:pPr>
      <w:r>
        <w:rPr>
          <w:rFonts w:cstheme="minorHAnsi"/>
          <w:b/>
        </w:rPr>
        <w:t>Umsetzung:</w:t>
      </w:r>
    </w:p>
    <w:p w14:paraId="3ED5EF6E" w14:textId="6C8F16F1" w:rsidR="00707F14" w:rsidRPr="00AB1C4D" w:rsidRDefault="009E5CA0" w:rsidP="00B375CD">
      <w:pPr>
        <w:pStyle w:val="Listenabsatz"/>
        <w:numPr>
          <w:ilvl w:val="0"/>
          <w:numId w:val="20"/>
        </w:numPr>
        <w:spacing w:line="300" w:lineRule="atLeast"/>
        <w:rPr>
          <w:rFonts w:cstheme="minorHAnsi"/>
        </w:rPr>
      </w:pPr>
      <w:r>
        <w:rPr>
          <w:rFonts w:cstheme="minorHAnsi"/>
        </w:rPr>
        <w:t>Abstimmung</w:t>
      </w:r>
      <w:r w:rsidR="00707F14" w:rsidRPr="00AB1C4D">
        <w:rPr>
          <w:rFonts w:cstheme="minorHAnsi"/>
        </w:rPr>
        <w:t xml:space="preserve"> mit den beteiligten </w:t>
      </w:r>
      <w:proofErr w:type="gramStart"/>
      <w:r w:rsidR="00707F14" w:rsidRPr="00AB1C4D">
        <w:rPr>
          <w:rFonts w:cstheme="minorHAnsi"/>
        </w:rPr>
        <w:t>Akteuren  und</w:t>
      </w:r>
      <w:proofErr w:type="gramEnd"/>
      <w:r w:rsidR="00707F14" w:rsidRPr="00AB1C4D">
        <w:rPr>
          <w:rFonts w:cstheme="minorHAnsi"/>
        </w:rPr>
        <w:t xml:space="preserve"> </w:t>
      </w:r>
      <w:r w:rsidR="00AB1C4D">
        <w:rPr>
          <w:rFonts w:cstheme="minorHAnsi"/>
        </w:rPr>
        <w:t xml:space="preserve">Veröffentlichung von </w:t>
      </w:r>
      <w:r w:rsidR="00707F14" w:rsidRPr="00AB1C4D">
        <w:rPr>
          <w:rFonts w:cstheme="minorHAnsi"/>
        </w:rPr>
        <w:t>abgestimmte</w:t>
      </w:r>
      <w:r w:rsidR="00AB1C4D">
        <w:rPr>
          <w:rFonts w:cstheme="minorHAnsi"/>
        </w:rPr>
        <w:t>n</w:t>
      </w:r>
      <w:r w:rsidR="00707F14" w:rsidRPr="00AB1C4D">
        <w:rPr>
          <w:rFonts w:cstheme="minorHAnsi"/>
        </w:rPr>
        <w:t xml:space="preserve"> Mustervertragsklauseln, um den Prozess zu beschleunigen</w:t>
      </w:r>
      <w:r w:rsidR="00AB1C4D">
        <w:rPr>
          <w:rFonts w:cstheme="minorHAnsi"/>
        </w:rPr>
        <w:t xml:space="preserve"> (FF BMG</w:t>
      </w:r>
      <w:r w:rsidR="00352E15">
        <w:rPr>
          <w:rFonts w:cstheme="minorHAnsi"/>
        </w:rPr>
        <w:t>, Einbindung BMBF</w:t>
      </w:r>
      <w:r w:rsidR="00AB1C4D">
        <w:rPr>
          <w:rFonts w:cstheme="minorHAnsi"/>
        </w:rPr>
        <w:t>)</w:t>
      </w:r>
      <w:r w:rsidR="00707F14" w:rsidRPr="00AB1C4D">
        <w:rPr>
          <w:rFonts w:cstheme="minorHAnsi"/>
        </w:rPr>
        <w:t>.</w:t>
      </w:r>
      <w:r w:rsidR="009F0A56" w:rsidRPr="00AB1C4D">
        <w:rPr>
          <w:rFonts w:cstheme="minorHAnsi"/>
        </w:rPr>
        <w:t xml:space="preserve"> </w:t>
      </w:r>
    </w:p>
    <w:p w14:paraId="304F1A57" w14:textId="77777777" w:rsidR="003D6978" w:rsidRDefault="003D6978" w:rsidP="002279FC">
      <w:pPr>
        <w:spacing w:line="300" w:lineRule="atLeast"/>
        <w:rPr>
          <w:rFonts w:cstheme="minorHAnsi"/>
          <w:color w:val="2E74B5" w:themeColor="accent1" w:themeShade="BF"/>
        </w:rPr>
      </w:pPr>
    </w:p>
    <w:p w14:paraId="65B24B1A" w14:textId="579712E7" w:rsidR="00584098" w:rsidRPr="003D6978" w:rsidRDefault="003D6978" w:rsidP="002279FC">
      <w:pPr>
        <w:spacing w:line="300" w:lineRule="atLeast"/>
        <w:rPr>
          <w:rFonts w:cstheme="minorHAnsi"/>
          <w:b/>
        </w:rPr>
      </w:pPr>
      <w:r w:rsidRPr="003D6978">
        <w:rPr>
          <w:rFonts w:cstheme="minorHAnsi"/>
          <w:b/>
        </w:rPr>
        <w:t>(</w:t>
      </w:r>
      <w:r w:rsidR="00AB1C4D" w:rsidRPr="003D6978">
        <w:rPr>
          <w:rFonts w:cstheme="minorHAnsi"/>
          <w:b/>
        </w:rPr>
        <w:t>1</w:t>
      </w:r>
      <w:r w:rsidR="00AB1C4D">
        <w:rPr>
          <w:rFonts w:cstheme="minorHAnsi"/>
          <w:b/>
        </w:rPr>
        <w:t>7</w:t>
      </w:r>
      <w:r w:rsidRPr="003D6978">
        <w:rPr>
          <w:rFonts w:cstheme="minorHAnsi"/>
          <w:b/>
        </w:rPr>
        <w:t>)</w:t>
      </w:r>
      <w:r w:rsidR="00584098" w:rsidRPr="003D6978">
        <w:rPr>
          <w:rFonts w:cstheme="minorHAnsi"/>
          <w:b/>
        </w:rPr>
        <w:t xml:space="preserve"> Verfahren und Auslegungen der Ethik-Kommissionen </w:t>
      </w:r>
      <w:r w:rsidR="009F0A56" w:rsidRPr="00AF5BBB">
        <w:rPr>
          <w:rFonts w:cstheme="minorHAnsi"/>
          <w:b/>
        </w:rPr>
        <w:t xml:space="preserve">und der Behörden </w:t>
      </w:r>
      <w:r w:rsidR="00584098" w:rsidRPr="003D6978">
        <w:rPr>
          <w:rFonts w:cstheme="minorHAnsi"/>
          <w:b/>
        </w:rPr>
        <w:t>der Länder</w:t>
      </w:r>
      <w:r w:rsidR="009B59E7" w:rsidRPr="009B59E7">
        <w:rPr>
          <w:rFonts w:cstheme="minorHAnsi"/>
          <w:b/>
        </w:rPr>
        <w:t xml:space="preserve"> </w:t>
      </w:r>
      <w:r w:rsidR="009B59E7">
        <w:rPr>
          <w:rFonts w:cstheme="minorHAnsi"/>
          <w:b/>
        </w:rPr>
        <w:t>harmonisieren</w:t>
      </w:r>
    </w:p>
    <w:p w14:paraId="03F819F0" w14:textId="42C5837A" w:rsidR="00584098" w:rsidRDefault="00584098" w:rsidP="002279FC">
      <w:pPr>
        <w:spacing w:line="300" w:lineRule="atLeast"/>
        <w:rPr>
          <w:rFonts w:cstheme="minorHAnsi"/>
        </w:rPr>
      </w:pPr>
      <w:r w:rsidRPr="00003AE8">
        <w:rPr>
          <w:rFonts w:cstheme="minorHAnsi"/>
        </w:rPr>
        <w:t xml:space="preserve">Die Verordnung (EU) Nr. 536/2014 soll den Forschungsstandort EU durch einheitliche Vorgaben und Verfahren stärken. Die Vorhersehbarkeit der Anforderungen und die Planbarkeit der Verfahren sind für die Forschenden essentiell. Dies muss auch für die Vorgaben und Verfahren der Ethik-Kommissionen der Länder gelten. </w:t>
      </w:r>
    </w:p>
    <w:p w14:paraId="6007B878" w14:textId="77777777" w:rsidR="00AB1C4D" w:rsidRDefault="00AB1C4D" w:rsidP="002279FC">
      <w:pPr>
        <w:spacing w:line="300" w:lineRule="atLeast"/>
        <w:rPr>
          <w:rFonts w:cstheme="minorHAnsi"/>
          <w:b/>
        </w:rPr>
      </w:pPr>
      <w:r>
        <w:rPr>
          <w:rFonts w:cstheme="minorHAnsi"/>
          <w:b/>
        </w:rPr>
        <w:t>Umsetzung:</w:t>
      </w:r>
    </w:p>
    <w:p w14:paraId="233CBAD9" w14:textId="52101E51" w:rsidR="00AB1C4D" w:rsidRPr="00B375CD" w:rsidRDefault="009E5CA0" w:rsidP="00B375CD">
      <w:pPr>
        <w:pStyle w:val="Listenabsatz"/>
        <w:numPr>
          <w:ilvl w:val="0"/>
          <w:numId w:val="20"/>
        </w:numPr>
        <w:spacing w:line="300" w:lineRule="atLeast"/>
        <w:rPr>
          <w:rFonts w:cstheme="minorHAnsi"/>
          <w:b/>
        </w:rPr>
      </w:pPr>
      <w:r>
        <w:rPr>
          <w:rFonts w:cstheme="minorHAnsi"/>
        </w:rPr>
        <w:lastRenderedPageBreak/>
        <w:t xml:space="preserve">Initiierung und Begleitung eines Prozesses zur </w:t>
      </w:r>
      <w:r w:rsidR="00AB1C4D" w:rsidRPr="00003AE8">
        <w:rPr>
          <w:rFonts w:cstheme="minorHAnsi"/>
        </w:rPr>
        <w:t>Harmonisierung der Anforderungen und Auslegungen der beteiligten registrierten Ethik-Kommissionen</w:t>
      </w:r>
      <w:r w:rsidR="00AB1C4D">
        <w:rPr>
          <w:rFonts w:cstheme="minorHAnsi"/>
        </w:rPr>
        <w:t xml:space="preserve"> (FF BMG)</w:t>
      </w:r>
      <w:r w:rsidR="00AB1C4D" w:rsidRPr="00AF5BBB">
        <w:rPr>
          <w:rFonts w:cstheme="minorHAnsi"/>
        </w:rPr>
        <w:t>.</w:t>
      </w:r>
    </w:p>
    <w:p w14:paraId="6BD8D5D8" w14:textId="77777777" w:rsidR="00584098" w:rsidRPr="00003AE8" w:rsidRDefault="00584098" w:rsidP="002279FC">
      <w:pPr>
        <w:spacing w:line="300" w:lineRule="atLeast"/>
        <w:rPr>
          <w:rFonts w:cstheme="minorHAnsi"/>
        </w:rPr>
      </w:pPr>
    </w:p>
    <w:p w14:paraId="7890B674" w14:textId="47104F8B" w:rsidR="00584098" w:rsidRPr="003D6978" w:rsidRDefault="003D6978" w:rsidP="002279FC">
      <w:pPr>
        <w:spacing w:line="300" w:lineRule="atLeast"/>
        <w:rPr>
          <w:rFonts w:cstheme="minorHAnsi"/>
          <w:b/>
        </w:rPr>
      </w:pPr>
      <w:r w:rsidRPr="003D6978">
        <w:rPr>
          <w:rFonts w:cstheme="minorHAnsi"/>
          <w:b/>
        </w:rPr>
        <w:t>(</w:t>
      </w:r>
      <w:r w:rsidR="00AB1C4D">
        <w:rPr>
          <w:rFonts w:cstheme="minorHAnsi"/>
          <w:b/>
        </w:rPr>
        <w:t>18</w:t>
      </w:r>
      <w:r w:rsidRPr="003D6978">
        <w:rPr>
          <w:rFonts w:cstheme="minorHAnsi"/>
          <w:b/>
        </w:rPr>
        <w:t>)</w:t>
      </w:r>
      <w:r w:rsidR="00584098" w:rsidRPr="003D6978">
        <w:rPr>
          <w:rFonts w:cstheme="minorHAnsi"/>
          <w:b/>
        </w:rPr>
        <w:t xml:space="preserve"> </w:t>
      </w:r>
      <w:r w:rsidR="005E119D">
        <w:rPr>
          <w:rFonts w:cstheme="minorHAnsi"/>
          <w:b/>
        </w:rPr>
        <w:t xml:space="preserve">Vereinfachung des Antragsverfahrens für strahlenschutzrechtliche Aspekte bei klinischen Prüfungen mit Humanarzneimitteln </w:t>
      </w:r>
    </w:p>
    <w:p w14:paraId="2B9A0181" w14:textId="63338466" w:rsidR="005E119D" w:rsidRDefault="005E119D" w:rsidP="005E119D">
      <w:r>
        <w:t xml:space="preserve">Für die Durchführung klinischer Prüfungen mit radioaktiven Stoffen oder ionisierenden Strahlen ist </w:t>
      </w:r>
      <w:r w:rsidR="00352E15">
        <w:t xml:space="preserve">in Deutschland </w:t>
      </w:r>
      <w:r>
        <w:t xml:space="preserve">neben der arzneimittelrechtlichen Genehmigung eine gesonderte strahlenschutzrechtliche Genehmigung oder Anzeige beim Bundesamt für Strahlenschutz (BfS) erforderlich. </w:t>
      </w:r>
      <w:r>
        <w:rPr>
          <w:rFonts w:cstheme="minorHAnsi"/>
        </w:rPr>
        <w:t xml:space="preserve">Derzeit müssen in solchen Fällen zwei unterschiedliche Anträge bei der jeweils zuständigen Behörde eingereicht werden. </w:t>
      </w:r>
      <w:r w:rsidRPr="005A32F1">
        <w:t>Bei der Durchführung von klinischen Prüfungen mit radioaktiven Stoffen oder ionisierender Strahlung in Deutschland wird diese Aufteilung der Zuständigkeiten zwischen zwei Behörden regelmäßig als Grund für Verzögerungen im</w:t>
      </w:r>
      <w:r>
        <w:t xml:space="preserve"> Genehmigungsverfahren genannt.</w:t>
      </w:r>
    </w:p>
    <w:p w14:paraId="62B46B10" w14:textId="52A9B131" w:rsidR="00584098" w:rsidRPr="00003AE8" w:rsidRDefault="005E119D" w:rsidP="005E119D">
      <w:pPr>
        <w:tabs>
          <w:tab w:val="left" w:pos="5182"/>
        </w:tabs>
        <w:spacing w:line="300" w:lineRule="atLeast"/>
        <w:rPr>
          <w:rFonts w:cstheme="minorHAnsi"/>
        </w:rPr>
      </w:pPr>
      <w:r>
        <w:t xml:space="preserve">Das Verfahren soll daher zukünftig vereinfacht werden, indem </w:t>
      </w:r>
      <w:r>
        <w:rPr>
          <w:rFonts w:cstheme="minorHAnsi"/>
        </w:rPr>
        <w:t>nur noch einen Genehmigungsantrag einzureichen ist</w:t>
      </w:r>
      <w:r>
        <w:t xml:space="preserve">, der sowohl die arzneimittel- als auch die strahlenschutzrechtlichen Aspekte umfasst. Die nach dem Arzneimittelrecht zuständige Bundesoberbehörde, das Bundesinstitut für Arzneimittel und Medizinprodukte oder das Paul-Ehrlich-Institut, bezieht dann im Rahmen des internen Bewertungsverfahrens das BfS für die Prüfung der strahlenschutzrechtlichen Aspekte ein. </w:t>
      </w:r>
    </w:p>
    <w:p w14:paraId="3E7C2672" w14:textId="77777777" w:rsidR="003D6978" w:rsidRPr="00B375CD" w:rsidRDefault="00AB1C4D" w:rsidP="002279FC">
      <w:pPr>
        <w:spacing w:line="300" w:lineRule="atLeast"/>
        <w:rPr>
          <w:rFonts w:cstheme="minorHAnsi"/>
          <w:b/>
        </w:rPr>
      </w:pPr>
      <w:r w:rsidRPr="00B375CD">
        <w:rPr>
          <w:rFonts w:cstheme="minorHAnsi"/>
          <w:b/>
        </w:rPr>
        <w:t>Umsetzung:</w:t>
      </w:r>
    </w:p>
    <w:p w14:paraId="3BDBB0E4" w14:textId="4642A4D9" w:rsidR="00AB1C4D" w:rsidRPr="00B375CD" w:rsidRDefault="00AB1C4D" w:rsidP="00B375CD">
      <w:pPr>
        <w:pStyle w:val="Listenabsatz"/>
        <w:numPr>
          <w:ilvl w:val="0"/>
          <w:numId w:val="20"/>
        </w:numPr>
        <w:spacing w:line="300" w:lineRule="atLeast"/>
        <w:rPr>
          <w:rFonts w:cstheme="minorHAnsi"/>
        </w:rPr>
      </w:pPr>
      <w:r w:rsidRPr="00B375CD">
        <w:rPr>
          <w:rFonts w:cstheme="minorHAnsi"/>
        </w:rPr>
        <w:t>Prüfung von Rechtsänderungen zur besseren Verzahnung der strahlenschutz- und arzneimittelrechtlichen Verfahren (FF BMU</w:t>
      </w:r>
      <w:r w:rsidR="00FC2671">
        <w:rPr>
          <w:rFonts w:cstheme="minorHAnsi"/>
        </w:rPr>
        <w:t>V</w:t>
      </w:r>
      <w:r w:rsidR="00352E15">
        <w:rPr>
          <w:rFonts w:cstheme="minorHAnsi"/>
        </w:rPr>
        <w:t>, Einbindung BMG</w:t>
      </w:r>
      <w:r w:rsidRPr="00B375CD">
        <w:rPr>
          <w:rFonts w:cstheme="minorHAnsi"/>
        </w:rPr>
        <w:t>)</w:t>
      </w:r>
    </w:p>
    <w:p w14:paraId="6642863A" w14:textId="77777777" w:rsidR="007A2F2E" w:rsidRPr="00B375CD" w:rsidRDefault="007A2F2E" w:rsidP="00B375CD">
      <w:pPr>
        <w:pStyle w:val="Listenabsatz"/>
        <w:spacing w:line="300" w:lineRule="atLeast"/>
        <w:rPr>
          <w:rFonts w:cstheme="minorHAnsi"/>
          <w:color w:val="1F4E79" w:themeColor="accent1" w:themeShade="80"/>
        </w:rPr>
      </w:pPr>
    </w:p>
    <w:p w14:paraId="761DED9F" w14:textId="6020B0EB" w:rsidR="007B4921" w:rsidRPr="003D6978" w:rsidRDefault="003D6978" w:rsidP="002279FC">
      <w:pPr>
        <w:spacing w:line="300" w:lineRule="atLeast"/>
        <w:rPr>
          <w:rFonts w:cstheme="minorHAnsi"/>
          <w:b/>
        </w:rPr>
      </w:pPr>
      <w:r w:rsidRPr="003D6978">
        <w:rPr>
          <w:rFonts w:cstheme="minorHAnsi"/>
          <w:b/>
        </w:rPr>
        <w:t>(</w:t>
      </w:r>
      <w:r w:rsidR="00AB1C4D">
        <w:rPr>
          <w:rFonts w:cstheme="minorHAnsi"/>
          <w:b/>
        </w:rPr>
        <w:t>19</w:t>
      </w:r>
      <w:r w:rsidRPr="003D6978">
        <w:rPr>
          <w:rFonts w:cstheme="minorHAnsi"/>
          <w:b/>
        </w:rPr>
        <w:t xml:space="preserve">) </w:t>
      </w:r>
      <w:r w:rsidR="00D33B68">
        <w:rPr>
          <w:rFonts w:cstheme="minorHAnsi"/>
          <w:b/>
        </w:rPr>
        <w:t>Arbeit der Zulassungsbehörden</w:t>
      </w:r>
      <w:r w:rsidR="007B4921" w:rsidRPr="003D6978">
        <w:rPr>
          <w:rFonts w:cstheme="minorHAnsi"/>
          <w:b/>
        </w:rPr>
        <w:t xml:space="preserve"> </w:t>
      </w:r>
      <w:r w:rsidR="009B59E7">
        <w:rPr>
          <w:rFonts w:cstheme="minorHAnsi"/>
          <w:b/>
        </w:rPr>
        <w:t>a</w:t>
      </w:r>
      <w:r w:rsidR="009B59E7" w:rsidRPr="003D6978">
        <w:rPr>
          <w:rFonts w:cstheme="minorHAnsi"/>
          <w:b/>
        </w:rPr>
        <w:t>dministrativ</w:t>
      </w:r>
      <w:r w:rsidR="009B59E7">
        <w:rPr>
          <w:rFonts w:cstheme="minorHAnsi"/>
          <w:b/>
        </w:rPr>
        <w:t xml:space="preserve"> stärken</w:t>
      </w:r>
      <w:r w:rsidR="00352E15">
        <w:rPr>
          <w:rFonts w:cstheme="minorHAnsi"/>
          <w:b/>
        </w:rPr>
        <w:t>, insbesondere bei Biotech-Produkten</w:t>
      </w:r>
    </w:p>
    <w:p w14:paraId="48975083" w14:textId="06EA0097" w:rsidR="000B4E43" w:rsidRDefault="007B4921" w:rsidP="000B4E43">
      <w:pPr>
        <w:spacing w:line="300" w:lineRule="atLeast"/>
        <w:ind w:left="360"/>
        <w:jc w:val="both"/>
      </w:pPr>
      <w:r w:rsidRPr="00003AE8">
        <w:rPr>
          <w:rFonts w:cstheme="minorHAnsi"/>
        </w:rPr>
        <w:t xml:space="preserve">Auf </w:t>
      </w:r>
      <w:r w:rsidR="00D33B68">
        <w:rPr>
          <w:rFonts w:cstheme="minorHAnsi"/>
        </w:rPr>
        <w:t>der Basis</w:t>
      </w:r>
      <w:r w:rsidR="00D33B68" w:rsidRPr="00003AE8">
        <w:rPr>
          <w:rFonts w:cstheme="minorHAnsi"/>
        </w:rPr>
        <w:t xml:space="preserve"> </w:t>
      </w:r>
      <w:r w:rsidRPr="00003AE8">
        <w:rPr>
          <w:rFonts w:cstheme="minorHAnsi"/>
        </w:rPr>
        <w:t xml:space="preserve">einer externen Organisationsuntersuchung des PEI durch die Firma BearingPoint, die von 2017 bis 2020 durchgeführt worden ist </w:t>
      </w:r>
      <w:r w:rsidR="00D33B68">
        <w:rPr>
          <w:rFonts w:cstheme="minorHAnsi"/>
        </w:rPr>
        <w:t>und die</w:t>
      </w:r>
      <w:r w:rsidR="00D33B68" w:rsidRPr="00003AE8">
        <w:rPr>
          <w:rFonts w:cstheme="minorHAnsi"/>
        </w:rPr>
        <w:t xml:space="preserve"> </w:t>
      </w:r>
      <w:r w:rsidRPr="00003AE8">
        <w:rPr>
          <w:rFonts w:cstheme="minorHAnsi"/>
        </w:rPr>
        <w:t xml:space="preserve">PEI verschiedene Verbesserungspotenziale identifiziert </w:t>
      </w:r>
      <w:r w:rsidR="00D33B68">
        <w:rPr>
          <w:rFonts w:cstheme="minorHAnsi"/>
        </w:rPr>
        <w:t>hat, werden bei der Zulassungsbehörde schrittweise organisatorische Änderungen vorgenommen</w:t>
      </w:r>
      <w:r w:rsidRPr="00003AE8">
        <w:rPr>
          <w:rFonts w:cstheme="minorHAnsi"/>
        </w:rPr>
        <w:t>. Ziel ist ins</w:t>
      </w:r>
      <w:r w:rsidR="003D6978">
        <w:rPr>
          <w:rFonts w:cstheme="minorHAnsi"/>
        </w:rPr>
        <w:softHyphen/>
      </w:r>
      <w:r w:rsidRPr="00003AE8">
        <w:rPr>
          <w:rFonts w:cstheme="minorHAnsi"/>
        </w:rPr>
        <w:t>besondere die regulatorische Kompetenz des PEI zu stärken</w:t>
      </w:r>
      <w:r w:rsidR="00D33B68">
        <w:rPr>
          <w:rFonts w:cstheme="minorHAnsi"/>
        </w:rPr>
        <w:t xml:space="preserve"> und </w:t>
      </w:r>
      <w:r w:rsidRPr="00003AE8">
        <w:rPr>
          <w:rFonts w:cstheme="minorHAnsi"/>
        </w:rPr>
        <w:t xml:space="preserve">die fachlich-regulatorischen Kompetenzen </w:t>
      </w:r>
      <w:r w:rsidR="00D33B68">
        <w:rPr>
          <w:rFonts w:cstheme="minorHAnsi"/>
        </w:rPr>
        <w:t xml:space="preserve">besser </w:t>
      </w:r>
      <w:r w:rsidRPr="00003AE8">
        <w:rPr>
          <w:rFonts w:cstheme="minorHAnsi"/>
        </w:rPr>
        <w:t xml:space="preserve">strukturübergreifend </w:t>
      </w:r>
      <w:r w:rsidR="00D33B68">
        <w:rPr>
          <w:rFonts w:cstheme="minorHAnsi"/>
        </w:rPr>
        <w:t xml:space="preserve">nutzen zu </w:t>
      </w:r>
      <w:r w:rsidRPr="00003AE8">
        <w:rPr>
          <w:rFonts w:cstheme="minorHAnsi"/>
        </w:rPr>
        <w:t>können.</w:t>
      </w:r>
      <w:r w:rsidR="00D33B68">
        <w:rPr>
          <w:rFonts w:cstheme="minorHAnsi"/>
        </w:rPr>
        <w:t xml:space="preserve"> </w:t>
      </w:r>
      <w:r w:rsidR="00D33B68">
        <w:t xml:space="preserve">Gleichzeitig soll </w:t>
      </w:r>
      <w:r w:rsidR="00D33B68" w:rsidRPr="000D19A4">
        <w:rPr>
          <w:rFonts w:cstheme="minorHAnsi"/>
        </w:rPr>
        <w:t xml:space="preserve">die </w:t>
      </w:r>
      <w:r w:rsidR="00D33B68" w:rsidRPr="00B375CD">
        <w:rPr>
          <w:rFonts w:cstheme="minorHAnsi"/>
        </w:rPr>
        <w:t>Produktspezifität der Abteilungen weitgehend erhalten bleiben.</w:t>
      </w:r>
      <w:r w:rsidR="000B4E43" w:rsidRPr="00B375CD">
        <w:t xml:space="preserve"> </w:t>
      </w:r>
    </w:p>
    <w:p w14:paraId="44157D62" w14:textId="5A256783" w:rsidR="000B4E43" w:rsidRDefault="000B4E43" w:rsidP="000B4E43">
      <w:pPr>
        <w:spacing w:line="300" w:lineRule="atLeast"/>
        <w:ind w:left="360"/>
        <w:jc w:val="both"/>
      </w:pPr>
      <w:r w:rsidRPr="00B375CD">
        <w:t>D</w:t>
      </w:r>
      <w:r w:rsidR="00806D37">
        <w:t xml:space="preserve">es Weiteren </w:t>
      </w:r>
      <w:r w:rsidRPr="00B375CD">
        <w:t xml:space="preserve">unterstützt </w:t>
      </w:r>
      <w:r w:rsidR="00806D37" w:rsidRPr="00B375CD">
        <w:t>das</w:t>
      </w:r>
      <w:r w:rsidR="00806D37">
        <w:t xml:space="preserve"> </w:t>
      </w:r>
      <w:r w:rsidR="00806D37" w:rsidRPr="00000116">
        <w:t xml:space="preserve">PEI </w:t>
      </w:r>
      <w:r w:rsidRPr="00B375CD">
        <w:t>die GMP-Harmonisierung zwischen den Ländern im Rahmen seiner fachlichen Mitarbeit in den entsprechenden Gremien. 2021 wurde auf Initiative des PEI für den wachsenden Innovationsbereich Arzneimittel für Therapien (ATMP) eine spezielle Arbeitsgruppe gebildet, die auch zur Harmonisierung der Auslegung von GMP Regularien beitragen soll</w:t>
      </w:r>
      <w:r>
        <w:t>.</w:t>
      </w:r>
    </w:p>
    <w:p w14:paraId="332D42F1" w14:textId="6800F171" w:rsidR="007A2F2E" w:rsidRDefault="00D71542" w:rsidP="00B375CD">
      <w:pPr>
        <w:spacing w:line="300" w:lineRule="atLeast"/>
        <w:ind w:left="357"/>
        <w:rPr>
          <w:rFonts w:ascii="Calibri" w:hAnsi="Calibri" w:cstheme="minorHAnsi"/>
        </w:rPr>
      </w:pPr>
      <w:r w:rsidRPr="000B4E43">
        <w:rPr>
          <w:rFonts w:cstheme="minorHAnsi"/>
        </w:rPr>
        <w:t>Im Zuge der COVID-19-Pandemie hat das PEI seit 2021 die gesetzliche Aufgabe erhalten, die Pandemie</w:t>
      </w:r>
      <w:r w:rsidRPr="000B4E43">
        <w:rPr>
          <w:rFonts w:cstheme="minorHAnsi"/>
        </w:rPr>
        <w:softHyphen/>
        <w:t>vorsorge und Pandemiebekämpfung mit Impfstoffen und anderen Arzneimitteln zu planen und durchzuführen. Zu dem Zweck wurde beim PEI das Zentrum für Pandemie-Impfstoffe und -Therapeutika (ZEPAI) eingerichtet. Das ZEPAI unterstützt und koordiniert zukünftig die Entwicklung und Herstellung von Impf</w:t>
      </w:r>
      <w:r w:rsidRPr="00B375CD">
        <w:rPr>
          <w:rFonts w:cstheme="minorHAnsi"/>
        </w:rPr>
        <w:t>stoffen sowie deren Distribution im Pandemiefall.</w:t>
      </w:r>
    </w:p>
    <w:p w14:paraId="144F113D" w14:textId="6EE67C16" w:rsidR="007A2F2E" w:rsidRPr="00B375CD" w:rsidRDefault="00AB1C4D" w:rsidP="00B375CD">
      <w:pPr>
        <w:rPr>
          <w:rFonts w:cstheme="minorHAnsi"/>
          <w:b/>
        </w:rPr>
      </w:pPr>
      <w:r w:rsidRPr="00B375CD">
        <w:rPr>
          <w:rFonts w:cstheme="minorHAnsi"/>
          <w:b/>
        </w:rPr>
        <w:t>Umsetzung:</w:t>
      </w:r>
    </w:p>
    <w:p w14:paraId="200DA67E" w14:textId="77777777" w:rsidR="00AB1C4D" w:rsidRPr="00AB1C4D" w:rsidRDefault="00AB1C4D" w:rsidP="00B375CD">
      <w:pPr>
        <w:pStyle w:val="Listenabsatz"/>
        <w:numPr>
          <w:ilvl w:val="0"/>
          <w:numId w:val="20"/>
        </w:numPr>
      </w:pPr>
      <w:r>
        <w:lastRenderedPageBreak/>
        <w:t>Prüfung notwendiger Änderungen zur Unterstützung und Optimierung der Zulassungsbehörden (FF BMG)</w:t>
      </w:r>
    </w:p>
    <w:p w14:paraId="7AA4B11D" w14:textId="0CE431AC" w:rsidR="000B4E43" w:rsidRPr="000D19A4" w:rsidRDefault="000B4E43" w:rsidP="000B4E43">
      <w:pPr>
        <w:pStyle w:val="Listenabsatz"/>
        <w:numPr>
          <w:ilvl w:val="0"/>
          <w:numId w:val="20"/>
        </w:numPr>
        <w:spacing w:line="300" w:lineRule="atLeast"/>
        <w:rPr>
          <w:rFonts w:cstheme="minorHAnsi"/>
        </w:rPr>
      </w:pPr>
      <w:r w:rsidRPr="000D19A4">
        <w:rPr>
          <w:rFonts w:cstheme="minorHAnsi"/>
        </w:rPr>
        <w:t>Bundesweit einheitliche Auslegung der GMP-Regularien sicherstellen</w:t>
      </w:r>
      <w:r>
        <w:rPr>
          <w:rFonts w:cstheme="minorHAnsi"/>
        </w:rPr>
        <w:t xml:space="preserve"> (FF BMG)</w:t>
      </w:r>
    </w:p>
    <w:p w14:paraId="1B2BAAFC" w14:textId="78A1C049" w:rsidR="000B4E43" w:rsidRPr="000D19A4" w:rsidRDefault="000B4E43" w:rsidP="000B4E43">
      <w:pPr>
        <w:pStyle w:val="Listenabsatz"/>
        <w:numPr>
          <w:ilvl w:val="0"/>
          <w:numId w:val="20"/>
        </w:numPr>
        <w:spacing w:line="300" w:lineRule="atLeast"/>
        <w:rPr>
          <w:rFonts w:cstheme="minorHAnsi"/>
        </w:rPr>
      </w:pPr>
      <w:r w:rsidRPr="000D19A4">
        <w:rPr>
          <w:rFonts w:cstheme="minorHAnsi"/>
        </w:rPr>
        <w:t>Synergien der GMP-Überwachungsbehörden heben</w:t>
      </w:r>
      <w:r>
        <w:rPr>
          <w:rFonts w:cstheme="minorHAnsi"/>
        </w:rPr>
        <w:t xml:space="preserve"> (FF BMG)</w:t>
      </w:r>
    </w:p>
    <w:p w14:paraId="754B4C5A" w14:textId="5E4C6837" w:rsidR="000B4E43" w:rsidRPr="004057E7" w:rsidRDefault="000B4E43" w:rsidP="000B4E43">
      <w:pPr>
        <w:pStyle w:val="Listenabsatz"/>
        <w:numPr>
          <w:ilvl w:val="0"/>
          <w:numId w:val="20"/>
        </w:numPr>
        <w:spacing w:line="300" w:lineRule="atLeast"/>
        <w:rPr>
          <w:rFonts w:cstheme="minorHAnsi"/>
        </w:rPr>
      </w:pPr>
      <w:r w:rsidRPr="006F0225">
        <w:rPr>
          <w:rFonts w:cstheme="minorHAnsi"/>
        </w:rPr>
        <w:t xml:space="preserve">Ausbildung von </w:t>
      </w:r>
      <w:proofErr w:type="spellStart"/>
      <w:r w:rsidRPr="006F0225">
        <w:rPr>
          <w:rFonts w:cstheme="minorHAnsi"/>
        </w:rPr>
        <w:t>Qualified</w:t>
      </w:r>
      <w:proofErr w:type="spellEnd"/>
      <w:r w:rsidRPr="006F0225">
        <w:rPr>
          <w:rFonts w:cstheme="minorHAnsi"/>
        </w:rPr>
        <w:t xml:space="preserve"> </w:t>
      </w:r>
      <w:proofErr w:type="spellStart"/>
      <w:r w:rsidRPr="006F0225">
        <w:rPr>
          <w:rFonts w:cstheme="minorHAnsi"/>
        </w:rPr>
        <w:t>Persons</w:t>
      </w:r>
      <w:proofErr w:type="spellEnd"/>
      <w:r w:rsidRPr="006F0225">
        <w:rPr>
          <w:rFonts w:cstheme="minorHAnsi"/>
        </w:rPr>
        <w:t xml:space="preserve"> (QPs) verbess</w:t>
      </w:r>
      <w:r w:rsidRPr="004057E7">
        <w:rPr>
          <w:rFonts w:cstheme="minorHAnsi"/>
        </w:rPr>
        <w:t>ern</w:t>
      </w:r>
      <w:r>
        <w:rPr>
          <w:rFonts w:cstheme="minorHAnsi"/>
        </w:rPr>
        <w:t xml:space="preserve"> (FF BMG)</w:t>
      </w:r>
    </w:p>
    <w:p w14:paraId="0B3E7468" w14:textId="77777777" w:rsidR="000B4E43" w:rsidRDefault="000B4E43" w:rsidP="00B375CD">
      <w:pPr>
        <w:pStyle w:val="Listenabsatz"/>
        <w:numPr>
          <w:ilvl w:val="0"/>
          <w:numId w:val="20"/>
        </w:numPr>
        <w:spacing w:line="300" w:lineRule="atLeast"/>
        <w:rPr>
          <w:rFonts w:cstheme="minorHAnsi"/>
        </w:rPr>
      </w:pPr>
      <w:r w:rsidRPr="004057E7">
        <w:rPr>
          <w:rFonts w:cstheme="minorHAnsi"/>
        </w:rPr>
        <w:t>Rechtlichen Rahmen für eine risikobasierte Nutzung von Zelltherapie-Produkten und -Prüfpräparaten schaffen</w:t>
      </w:r>
      <w:r>
        <w:rPr>
          <w:rFonts w:cstheme="minorHAnsi"/>
        </w:rPr>
        <w:t xml:space="preserve"> (FF BMG)</w:t>
      </w:r>
    </w:p>
    <w:p w14:paraId="46B8E400" w14:textId="0AE5CF2A" w:rsidR="00A97E65" w:rsidRDefault="000B4E43" w:rsidP="00B375CD">
      <w:pPr>
        <w:pStyle w:val="Listenabsatz"/>
        <w:numPr>
          <w:ilvl w:val="0"/>
          <w:numId w:val="20"/>
        </w:numPr>
        <w:spacing w:line="300" w:lineRule="atLeast"/>
        <w:rPr>
          <w:rFonts w:cstheme="minorHAnsi"/>
        </w:rPr>
      </w:pPr>
      <w:r w:rsidRPr="000B4E43">
        <w:rPr>
          <w:rFonts w:cstheme="minorHAnsi"/>
        </w:rPr>
        <w:t>Organisatorische Abstimmung zwischen BfArM und PEI verbessern im Bereich innovativer Kombinationsverfahren (FF BMG)</w:t>
      </w:r>
    </w:p>
    <w:p w14:paraId="2D49297E" w14:textId="77777777" w:rsidR="000B4E43" w:rsidRPr="000B4E43" w:rsidRDefault="000B4E43" w:rsidP="00B375CD">
      <w:pPr>
        <w:pStyle w:val="Listenabsatz"/>
        <w:spacing w:line="300" w:lineRule="atLeast"/>
        <w:rPr>
          <w:rFonts w:cstheme="minorHAnsi"/>
        </w:rPr>
      </w:pPr>
    </w:p>
    <w:p w14:paraId="3E0FB5A2" w14:textId="1B333FB2" w:rsidR="00707F14" w:rsidRPr="003D6978" w:rsidRDefault="003D6978" w:rsidP="002279FC">
      <w:pPr>
        <w:spacing w:after="120" w:line="300" w:lineRule="atLeast"/>
        <w:rPr>
          <w:rFonts w:cstheme="minorHAnsi"/>
          <w:b/>
        </w:rPr>
      </w:pPr>
      <w:r w:rsidRPr="003D6978">
        <w:rPr>
          <w:rFonts w:cstheme="minorHAnsi"/>
          <w:b/>
        </w:rPr>
        <w:t>(</w:t>
      </w:r>
      <w:r w:rsidR="00AB1C4D" w:rsidRPr="003D6978">
        <w:rPr>
          <w:rFonts w:cstheme="minorHAnsi"/>
          <w:b/>
        </w:rPr>
        <w:t>2</w:t>
      </w:r>
      <w:r w:rsidR="00AB1C4D">
        <w:rPr>
          <w:rFonts w:cstheme="minorHAnsi"/>
          <w:b/>
        </w:rPr>
        <w:t>0</w:t>
      </w:r>
      <w:r w:rsidRPr="003D6978">
        <w:rPr>
          <w:rFonts w:cstheme="minorHAnsi"/>
          <w:b/>
        </w:rPr>
        <w:t>)</w:t>
      </w:r>
      <w:r w:rsidR="00707F14" w:rsidRPr="003D6978">
        <w:rPr>
          <w:rFonts w:cstheme="minorHAnsi"/>
          <w:b/>
        </w:rPr>
        <w:t xml:space="preserve"> Weitere Entbürokratisierungen </w:t>
      </w:r>
      <w:r w:rsidR="009B59E7">
        <w:rPr>
          <w:rFonts w:cstheme="minorHAnsi"/>
          <w:b/>
        </w:rPr>
        <w:t>umsetzen</w:t>
      </w:r>
    </w:p>
    <w:p w14:paraId="7BB7D553" w14:textId="7171C274" w:rsidR="007B4921" w:rsidRDefault="00F00A95" w:rsidP="002279FC">
      <w:pPr>
        <w:spacing w:after="120" w:line="300" w:lineRule="atLeast"/>
        <w:rPr>
          <w:rFonts w:cstheme="minorHAnsi"/>
        </w:rPr>
      </w:pPr>
      <w:r w:rsidRPr="00003AE8">
        <w:rPr>
          <w:rFonts w:cstheme="minorHAnsi"/>
        </w:rPr>
        <w:t>Aktuell werden die Vorschläge der Verbändeabfrage des BMJ zum Bürokratieabbau von den jeweils zuständigen Ressorts auf Umsetzbarkeit geprüft. Der St-Ausschuss hat am 3. Mai einen Zeitplan für ein Bürokratieentlastungsgesetz IV beschlossen. Im Zuge der sich im parlamentarischen Verfahren befindlichen Novellierung des Bundes</w:t>
      </w:r>
      <w:r w:rsidR="009B59E7">
        <w:rPr>
          <w:rFonts w:cstheme="minorHAnsi"/>
        </w:rPr>
        <w:softHyphen/>
      </w:r>
      <w:r w:rsidRPr="00003AE8">
        <w:rPr>
          <w:rFonts w:cstheme="minorHAnsi"/>
        </w:rPr>
        <w:t xml:space="preserve">immissionsschutzgesetzes </w:t>
      </w:r>
      <w:r w:rsidR="00806D37">
        <w:rPr>
          <w:rFonts w:cstheme="minorHAnsi"/>
        </w:rPr>
        <w:t>wurden</w:t>
      </w:r>
      <w:r w:rsidRPr="00003AE8">
        <w:rPr>
          <w:rFonts w:cstheme="minorHAnsi"/>
        </w:rPr>
        <w:t xml:space="preserve"> weitere Verfahrenserleichte</w:t>
      </w:r>
      <w:r w:rsidRPr="00003AE8">
        <w:rPr>
          <w:rFonts w:cstheme="minorHAnsi"/>
        </w:rPr>
        <w:softHyphen/>
        <w:t>rungen für die Un</w:t>
      </w:r>
      <w:r w:rsidR="00003AE8">
        <w:rPr>
          <w:rFonts w:cstheme="minorHAnsi"/>
        </w:rPr>
        <w:t>ter</w:t>
      </w:r>
      <w:r w:rsidR="00A97E65">
        <w:rPr>
          <w:rFonts w:cstheme="minorHAnsi"/>
        </w:rPr>
        <w:softHyphen/>
      </w:r>
      <w:r w:rsidR="00003AE8">
        <w:rPr>
          <w:rFonts w:cstheme="minorHAnsi"/>
        </w:rPr>
        <w:t>nehmen auf den Weg gebracht.</w:t>
      </w:r>
    </w:p>
    <w:p w14:paraId="567FCA4F" w14:textId="77777777" w:rsidR="00AB1C4D" w:rsidRDefault="00AB1C4D" w:rsidP="002279FC">
      <w:pPr>
        <w:spacing w:after="120" w:line="300" w:lineRule="atLeast"/>
        <w:rPr>
          <w:rFonts w:cstheme="minorHAnsi"/>
          <w:b/>
        </w:rPr>
      </w:pPr>
      <w:r>
        <w:rPr>
          <w:rFonts w:cstheme="minorHAnsi"/>
          <w:b/>
        </w:rPr>
        <w:t>Umsetzung:</w:t>
      </w:r>
    </w:p>
    <w:p w14:paraId="2A694E2D" w14:textId="75F11894" w:rsidR="00806D37" w:rsidRPr="00B375CD" w:rsidRDefault="00806D37" w:rsidP="00B375CD">
      <w:pPr>
        <w:pStyle w:val="Listenabsatz"/>
        <w:numPr>
          <w:ilvl w:val="0"/>
          <w:numId w:val="20"/>
        </w:numPr>
        <w:spacing w:after="120" w:line="300" w:lineRule="atLeast"/>
        <w:rPr>
          <w:rFonts w:cstheme="minorHAnsi"/>
          <w:b/>
        </w:rPr>
      </w:pPr>
      <w:r w:rsidRPr="00003AE8">
        <w:rPr>
          <w:rFonts w:cstheme="minorHAnsi"/>
          <w:lang w:eastAsia="de-DE"/>
        </w:rPr>
        <w:t>Wir werden uns für eine verstärkte Digitalisierung der Antragsprozesse im Genehmigungsrecht einsetzen (FF BMUV</w:t>
      </w:r>
      <w:r>
        <w:rPr>
          <w:rFonts w:cstheme="minorHAnsi"/>
          <w:lang w:eastAsia="de-DE"/>
        </w:rPr>
        <w:t xml:space="preserve">, </w:t>
      </w:r>
      <w:r w:rsidRPr="00003AE8">
        <w:rPr>
          <w:rFonts w:cstheme="minorHAnsi"/>
          <w:lang w:eastAsia="de-DE"/>
        </w:rPr>
        <w:t>BMJ).</w:t>
      </w:r>
      <w:r w:rsidRPr="00003AE8">
        <w:rPr>
          <w:rFonts w:cstheme="minorHAnsi"/>
        </w:rPr>
        <w:t xml:space="preserve"> </w:t>
      </w:r>
    </w:p>
    <w:p w14:paraId="7F812DF5" w14:textId="3D48EB70" w:rsidR="00AB1C4D" w:rsidRPr="00B375CD" w:rsidRDefault="006E3B96" w:rsidP="00B375CD">
      <w:pPr>
        <w:pStyle w:val="Listenabsatz"/>
        <w:numPr>
          <w:ilvl w:val="0"/>
          <w:numId w:val="20"/>
        </w:numPr>
        <w:spacing w:after="120" w:line="300" w:lineRule="atLeast"/>
        <w:rPr>
          <w:rFonts w:cstheme="minorHAnsi"/>
          <w:b/>
        </w:rPr>
      </w:pPr>
      <w:r>
        <w:rPr>
          <w:rFonts w:cstheme="minorHAnsi"/>
        </w:rPr>
        <w:t xml:space="preserve">Vorlage eines </w:t>
      </w:r>
      <w:r w:rsidR="00AB1C4D">
        <w:rPr>
          <w:rFonts w:cstheme="minorHAnsi"/>
        </w:rPr>
        <w:t>Bürokratieentlastungsgesetz</w:t>
      </w:r>
      <w:r>
        <w:rPr>
          <w:rFonts w:cstheme="minorHAnsi"/>
        </w:rPr>
        <w:t>es</w:t>
      </w:r>
      <w:r w:rsidR="00AB1C4D">
        <w:rPr>
          <w:rFonts w:cstheme="minorHAnsi"/>
        </w:rPr>
        <w:t xml:space="preserve"> IV (FF BMJ)</w:t>
      </w:r>
    </w:p>
    <w:sectPr w:rsidR="00AB1C4D" w:rsidRPr="00B375CD">
      <w:headerReference w:type="default" r:id="rId12"/>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0DD9F68E" w14:textId="0428A6F5" w:rsidR="003E032D" w:rsidRDefault="003E032D">
      <w:pPr>
        <w:pStyle w:val="Kommentartext"/>
      </w:pPr>
      <w:r>
        <w:rPr>
          <w:rStyle w:val="Kommentarzeichen"/>
        </w:rPr>
        <w:annotationRef/>
      </w:r>
      <w:r>
        <w:rPr>
          <w:color w:val="000000"/>
        </w:rPr>
        <w:t>Ergänzend ist auch das Preisbildungs- und Erstattungssytem als eine wesentliche Determinante der Standortattraktivität zu berücksichtigen, da hier die ökonomischen Anreize für Innovation und Produktion maßgeblich mitbestimmt werden.</w:t>
      </w:r>
    </w:p>
    <w:p w14:paraId="360911B7" w14:textId="77777777" w:rsidR="003E032D" w:rsidRDefault="003E032D" w:rsidP="00C640F5">
      <w:pPr>
        <w:pStyle w:val="Kommentartext"/>
      </w:pPr>
      <w:r>
        <w:rPr>
          <w:color w:val="000000"/>
        </w:rPr>
        <w:t>Erratische Eingriffe in die Preisbildung entziehen den Unternehmen die Planungsgrundlage. Die Folge kann ein negativer Einfluss auf Standortentscheidungen sein. Und dies ist mit diesem Papier ja gerade nicht intendiert. Künftige Gesetzgebungsvorhaben im Bereich der Gesundheitspolitik sollten dies berücksichtigen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0911B7"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0911B7" w16cid:durableId="2864E3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31923" w14:textId="77777777" w:rsidR="00A268F4" w:rsidRDefault="00A268F4" w:rsidP="00FB2231">
      <w:pPr>
        <w:spacing w:after="0" w:line="240" w:lineRule="auto"/>
      </w:pPr>
      <w:r>
        <w:separator/>
      </w:r>
    </w:p>
  </w:endnote>
  <w:endnote w:type="continuationSeparator" w:id="0">
    <w:p w14:paraId="7A1D6F27" w14:textId="77777777" w:rsidR="00A268F4" w:rsidRDefault="00A268F4" w:rsidP="00FB2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0A15" w14:textId="77777777" w:rsidR="00A268F4" w:rsidRDefault="00A268F4" w:rsidP="00FB2231">
      <w:pPr>
        <w:spacing w:after="0" w:line="240" w:lineRule="auto"/>
      </w:pPr>
      <w:r>
        <w:separator/>
      </w:r>
    </w:p>
  </w:footnote>
  <w:footnote w:type="continuationSeparator" w:id="0">
    <w:p w14:paraId="1267F958" w14:textId="77777777" w:rsidR="00A268F4" w:rsidRDefault="00A268F4" w:rsidP="00FB2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549F" w14:textId="317D0353" w:rsidR="00FB2231" w:rsidRPr="002279FC" w:rsidRDefault="007A1262" w:rsidP="007A1262">
    <w:pPr>
      <w:pStyle w:val="Kopfzeile"/>
      <w:jc w:val="right"/>
      <w:rPr>
        <w:sz w:val="18"/>
        <w:szCs w:val="18"/>
      </w:rPr>
    </w:pPr>
    <w:r w:rsidRPr="002279FC">
      <w:rPr>
        <w:sz w:val="18"/>
        <w:szCs w:val="18"/>
      </w:rPr>
      <w:t xml:space="preserve">Entwurf Stand </w:t>
    </w:r>
    <w:r w:rsidR="006B334D" w:rsidRPr="002279FC">
      <w:rPr>
        <w:sz w:val="18"/>
        <w:szCs w:val="18"/>
      </w:rPr>
      <w:t>1</w:t>
    </w:r>
    <w:r w:rsidR="006B334D">
      <w:rPr>
        <w:sz w:val="18"/>
        <w:szCs w:val="18"/>
      </w:rPr>
      <w:t>8</w:t>
    </w:r>
    <w:r w:rsidRPr="002279FC">
      <w:rPr>
        <w:sz w:val="18"/>
        <w:szCs w:val="18"/>
      </w:rPr>
      <w:t>.07.2023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5A5"/>
    <w:multiLevelType w:val="hybridMultilevel"/>
    <w:tmpl w:val="5BDEA6A0"/>
    <w:lvl w:ilvl="0" w:tplc="C818E3F0">
      <w:start w:val="1"/>
      <w:numFmt w:val="decimal"/>
      <w:lvlText w:val="%1."/>
      <w:lvlJc w:val="left"/>
      <w:pPr>
        <w:ind w:left="720" w:hanging="360"/>
      </w:pPr>
    </w:lvl>
    <w:lvl w:ilvl="1" w:tplc="03FC5C18">
      <w:start w:val="1"/>
      <w:numFmt w:val="bullet"/>
      <w:lvlText w:val="o"/>
      <w:lvlJc w:val="left"/>
      <w:pPr>
        <w:ind w:left="1440" w:hanging="360"/>
      </w:pPr>
      <w:rPr>
        <w:rFonts w:ascii="Courier New" w:hAnsi="Courier New" w:cs="Times New Roman" w:hint="default"/>
      </w:rPr>
    </w:lvl>
    <w:lvl w:ilvl="2" w:tplc="A06E3CB8">
      <w:start w:val="1"/>
      <w:numFmt w:val="bullet"/>
      <w:lvlText w:val=""/>
      <w:lvlJc w:val="left"/>
      <w:pPr>
        <w:ind w:left="2160" w:hanging="360"/>
      </w:pPr>
      <w:rPr>
        <w:rFonts w:ascii="Wingdings" w:hAnsi="Wingdings" w:hint="default"/>
      </w:rPr>
    </w:lvl>
    <w:lvl w:ilvl="3" w:tplc="C586570E">
      <w:start w:val="1"/>
      <w:numFmt w:val="bullet"/>
      <w:lvlText w:val=""/>
      <w:lvlJc w:val="left"/>
      <w:pPr>
        <w:ind w:left="2880" w:hanging="360"/>
      </w:pPr>
      <w:rPr>
        <w:rFonts w:ascii="Symbol" w:hAnsi="Symbol" w:hint="default"/>
      </w:rPr>
    </w:lvl>
    <w:lvl w:ilvl="4" w:tplc="3EA46B22">
      <w:start w:val="1"/>
      <w:numFmt w:val="bullet"/>
      <w:lvlText w:val="o"/>
      <w:lvlJc w:val="left"/>
      <w:pPr>
        <w:ind w:left="3600" w:hanging="360"/>
      </w:pPr>
      <w:rPr>
        <w:rFonts w:ascii="Courier New" w:hAnsi="Courier New" w:cs="Times New Roman" w:hint="default"/>
      </w:rPr>
    </w:lvl>
    <w:lvl w:ilvl="5" w:tplc="8C4252B8">
      <w:start w:val="1"/>
      <w:numFmt w:val="bullet"/>
      <w:lvlText w:val=""/>
      <w:lvlJc w:val="left"/>
      <w:pPr>
        <w:ind w:left="4320" w:hanging="360"/>
      </w:pPr>
      <w:rPr>
        <w:rFonts w:ascii="Wingdings" w:hAnsi="Wingdings" w:hint="default"/>
      </w:rPr>
    </w:lvl>
    <w:lvl w:ilvl="6" w:tplc="BF1AE954">
      <w:start w:val="1"/>
      <w:numFmt w:val="bullet"/>
      <w:lvlText w:val=""/>
      <w:lvlJc w:val="left"/>
      <w:pPr>
        <w:ind w:left="5040" w:hanging="360"/>
      </w:pPr>
      <w:rPr>
        <w:rFonts w:ascii="Symbol" w:hAnsi="Symbol" w:hint="default"/>
      </w:rPr>
    </w:lvl>
    <w:lvl w:ilvl="7" w:tplc="EF0E8300">
      <w:start w:val="1"/>
      <w:numFmt w:val="bullet"/>
      <w:lvlText w:val="o"/>
      <w:lvlJc w:val="left"/>
      <w:pPr>
        <w:ind w:left="5760" w:hanging="360"/>
      </w:pPr>
      <w:rPr>
        <w:rFonts w:ascii="Courier New" w:hAnsi="Courier New" w:cs="Times New Roman" w:hint="default"/>
      </w:rPr>
    </w:lvl>
    <w:lvl w:ilvl="8" w:tplc="3502FCBA">
      <w:start w:val="1"/>
      <w:numFmt w:val="bullet"/>
      <w:lvlText w:val=""/>
      <w:lvlJc w:val="left"/>
      <w:pPr>
        <w:ind w:left="6480" w:hanging="360"/>
      </w:pPr>
      <w:rPr>
        <w:rFonts w:ascii="Wingdings" w:hAnsi="Wingdings" w:hint="default"/>
      </w:rPr>
    </w:lvl>
  </w:abstractNum>
  <w:abstractNum w:abstractNumId="1" w15:restartNumberingAfterBreak="0">
    <w:nsid w:val="0C7B6C2C"/>
    <w:multiLevelType w:val="hybridMultilevel"/>
    <w:tmpl w:val="10E0CD8C"/>
    <w:lvl w:ilvl="0" w:tplc="04070001">
      <w:start w:val="1"/>
      <w:numFmt w:val="bullet"/>
      <w:lvlText w:val=""/>
      <w:lvlJc w:val="left"/>
      <w:pPr>
        <w:ind w:left="720" w:hanging="360"/>
      </w:pPr>
      <w:rPr>
        <w:rFonts w:ascii="Symbol" w:hAnsi="Symbol" w:hint="default"/>
      </w:rPr>
    </w:lvl>
    <w:lvl w:ilvl="1" w:tplc="DE32E196">
      <w:start w:val="3"/>
      <w:numFmt w:val="bullet"/>
      <w:lvlText w:val="•"/>
      <w:lvlJc w:val="left"/>
      <w:pPr>
        <w:ind w:left="1790" w:hanging="710"/>
      </w:pPr>
      <w:rPr>
        <w:rFonts w:ascii="Arial" w:eastAsia="Calibri" w:hAnsi="Arial" w:cs="Aria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0E3A6A87"/>
    <w:multiLevelType w:val="hybridMultilevel"/>
    <w:tmpl w:val="C63C62F4"/>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cs="Wingdings" w:hint="default"/>
      </w:rPr>
    </w:lvl>
    <w:lvl w:ilvl="3" w:tplc="04070001">
      <w:start w:val="1"/>
      <w:numFmt w:val="bullet"/>
      <w:lvlText w:val=""/>
      <w:lvlJc w:val="left"/>
      <w:pPr>
        <w:ind w:left="3164" w:hanging="360"/>
      </w:pPr>
      <w:rPr>
        <w:rFonts w:ascii="Symbol" w:hAnsi="Symbol" w:cs="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cs="Wingdings" w:hint="default"/>
      </w:rPr>
    </w:lvl>
    <w:lvl w:ilvl="6" w:tplc="04070001">
      <w:start w:val="1"/>
      <w:numFmt w:val="bullet"/>
      <w:lvlText w:val=""/>
      <w:lvlJc w:val="left"/>
      <w:pPr>
        <w:ind w:left="5324" w:hanging="360"/>
      </w:pPr>
      <w:rPr>
        <w:rFonts w:ascii="Symbol" w:hAnsi="Symbol" w:cs="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cs="Wingdings" w:hint="default"/>
      </w:rPr>
    </w:lvl>
  </w:abstractNum>
  <w:abstractNum w:abstractNumId="3" w15:restartNumberingAfterBreak="0">
    <w:nsid w:val="18D02399"/>
    <w:multiLevelType w:val="hybridMultilevel"/>
    <w:tmpl w:val="B64AC34E"/>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abstractNum w:abstractNumId="4" w15:restartNumberingAfterBreak="0">
    <w:nsid w:val="1E084D68"/>
    <w:multiLevelType w:val="hybridMultilevel"/>
    <w:tmpl w:val="88769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AE3FE6"/>
    <w:multiLevelType w:val="hybridMultilevel"/>
    <w:tmpl w:val="2A764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114001"/>
    <w:multiLevelType w:val="hybridMultilevel"/>
    <w:tmpl w:val="13C61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8813B8"/>
    <w:multiLevelType w:val="hybridMultilevel"/>
    <w:tmpl w:val="3BB87FC8"/>
    <w:lvl w:ilvl="0" w:tplc="455061C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496B4027"/>
    <w:multiLevelType w:val="hybridMultilevel"/>
    <w:tmpl w:val="94782F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B653A2"/>
    <w:multiLevelType w:val="hybridMultilevel"/>
    <w:tmpl w:val="861EA8DE"/>
    <w:lvl w:ilvl="0" w:tplc="0407000F">
      <w:start w:val="1"/>
      <w:numFmt w:val="decimal"/>
      <w:lvlText w:val="%1."/>
      <w:lvlJc w:val="left"/>
      <w:pPr>
        <w:ind w:left="644" w:hanging="360"/>
      </w:p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10" w15:restartNumberingAfterBreak="0">
    <w:nsid w:val="6310203D"/>
    <w:multiLevelType w:val="hybridMultilevel"/>
    <w:tmpl w:val="1F046754"/>
    <w:lvl w:ilvl="0" w:tplc="7DF469B0">
      <w:start w:val="1"/>
      <w:numFmt w:val="decimal"/>
      <w:pStyle w:val="berschrift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713B3735"/>
    <w:multiLevelType w:val="hybridMultilevel"/>
    <w:tmpl w:val="822898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321159D"/>
    <w:multiLevelType w:val="hybridMultilevel"/>
    <w:tmpl w:val="C0C4BFA8"/>
    <w:lvl w:ilvl="0" w:tplc="04070001">
      <w:start w:val="1"/>
      <w:numFmt w:val="bullet"/>
      <w:lvlText w:val=""/>
      <w:lvlJc w:val="left"/>
      <w:pPr>
        <w:ind w:left="1004" w:hanging="360"/>
      </w:pPr>
      <w:rPr>
        <w:rFonts w:ascii="Symbol" w:hAnsi="Symbol" w:cs="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cs="Wingdings" w:hint="default"/>
      </w:rPr>
    </w:lvl>
    <w:lvl w:ilvl="3" w:tplc="04070001">
      <w:start w:val="1"/>
      <w:numFmt w:val="bullet"/>
      <w:lvlText w:val=""/>
      <w:lvlJc w:val="left"/>
      <w:pPr>
        <w:ind w:left="3164" w:hanging="360"/>
      </w:pPr>
      <w:rPr>
        <w:rFonts w:ascii="Symbol" w:hAnsi="Symbol" w:cs="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cs="Wingdings" w:hint="default"/>
      </w:rPr>
    </w:lvl>
    <w:lvl w:ilvl="6" w:tplc="04070001">
      <w:start w:val="1"/>
      <w:numFmt w:val="bullet"/>
      <w:lvlText w:val=""/>
      <w:lvlJc w:val="left"/>
      <w:pPr>
        <w:ind w:left="5324" w:hanging="360"/>
      </w:pPr>
      <w:rPr>
        <w:rFonts w:ascii="Symbol" w:hAnsi="Symbol" w:cs="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cs="Wingdings" w:hint="default"/>
      </w:rPr>
    </w:lvl>
  </w:abstractNum>
  <w:abstractNum w:abstractNumId="13" w15:restartNumberingAfterBreak="0">
    <w:nsid w:val="78163197"/>
    <w:multiLevelType w:val="hybridMultilevel"/>
    <w:tmpl w:val="75DAC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065570"/>
    <w:multiLevelType w:val="hybridMultilevel"/>
    <w:tmpl w:val="BDF4D082"/>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start w:val="1"/>
      <w:numFmt w:val="bullet"/>
      <w:lvlText w:val=""/>
      <w:lvlJc w:val="left"/>
      <w:pPr>
        <w:ind w:left="2444" w:hanging="360"/>
      </w:pPr>
      <w:rPr>
        <w:rFonts w:ascii="Wingdings" w:hAnsi="Wingdings" w:hint="default"/>
      </w:rPr>
    </w:lvl>
    <w:lvl w:ilvl="3" w:tplc="04070001">
      <w:start w:val="1"/>
      <w:numFmt w:val="bullet"/>
      <w:lvlText w:val=""/>
      <w:lvlJc w:val="left"/>
      <w:pPr>
        <w:ind w:left="3164" w:hanging="360"/>
      </w:pPr>
      <w:rPr>
        <w:rFonts w:ascii="Symbol" w:hAnsi="Symbol" w:hint="default"/>
      </w:rPr>
    </w:lvl>
    <w:lvl w:ilvl="4" w:tplc="04070003">
      <w:start w:val="1"/>
      <w:numFmt w:val="bullet"/>
      <w:lvlText w:val="o"/>
      <w:lvlJc w:val="left"/>
      <w:pPr>
        <w:ind w:left="3884" w:hanging="360"/>
      </w:pPr>
      <w:rPr>
        <w:rFonts w:ascii="Courier New" w:hAnsi="Courier New" w:cs="Courier New" w:hint="default"/>
      </w:rPr>
    </w:lvl>
    <w:lvl w:ilvl="5" w:tplc="04070005">
      <w:start w:val="1"/>
      <w:numFmt w:val="bullet"/>
      <w:lvlText w:val=""/>
      <w:lvlJc w:val="left"/>
      <w:pPr>
        <w:ind w:left="4604" w:hanging="360"/>
      </w:pPr>
      <w:rPr>
        <w:rFonts w:ascii="Wingdings" w:hAnsi="Wingdings" w:hint="default"/>
      </w:rPr>
    </w:lvl>
    <w:lvl w:ilvl="6" w:tplc="04070001">
      <w:start w:val="1"/>
      <w:numFmt w:val="bullet"/>
      <w:lvlText w:val=""/>
      <w:lvlJc w:val="left"/>
      <w:pPr>
        <w:ind w:left="5324" w:hanging="360"/>
      </w:pPr>
      <w:rPr>
        <w:rFonts w:ascii="Symbol" w:hAnsi="Symbol" w:hint="default"/>
      </w:rPr>
    </w:lvl>
    <w:lvl w:ilvl="7" w:tplc="04070003">
      <w:start w:val="1"/>
      <w:numFmt w:val="bullet"/>
      <w:lvlText w:val="o"/>
      <w:lvlJc w:val="left"/>
      <w:pPr>
        <w:ind w:left="6044" w:hanging="360"/>
      </w:pPr>
      <w:rPr>
        <w:rFonts w:ascii="Courier New" w:hAnsi="Courier New" w:cs="Courier New" w:hint="default"/>
      </w:rPr>
    </w:lvl>
    <w:lvl w:ilvl="8" w:tplc="04070005">
      <w:start w:val="1"/>
      <w:numFmt w:val="bullet"/>
      <w:lvlText w:val=""/>
      <w:lvlJc w:val="left"/>
      <w:pPr>
        <w:ind w:left="6764" w:hanging="360"/>
      </w:pPr>
      <w:rPr>
        <w:rFonts w:ascii="Wingdings" w:hAnsi="Wingdings" w:hint="default"/>
      </w:rPr>
    </w:lvl>
  </w:abstractNum>
  <w:num w:numId="1" w16cid:durableId="1288732202">
    <w:abstractNumId w:val="0"/>
    <w:lvlOverride w:ilvl="0">
      <w:startOverride w:val="1"/>
    </w:lvlOverride>
    <w:lvlOverride w:ilvl="1"/>
    <w:lvlOverride w:ilvl="2"/>
    <w:lvlOverride w:ilvl="3"/>
    <w:lvlOverride w:ilvl="4"/>
    <w:lvlOverride w:ilvl="5"/>
    <w:lvlOverride w:ilvl="6"/>
    <w:lvlOverride w:ilvl="7"/>
    <w:lvlOverride w:ilvl="8"/>
  </w:num>
  <w:num w:numId="2" w16cid:durableId="1868981922">
    <w:abstractNumId w:val="7"/>
  </w:num>
  <w:num w:numId="3" w16cid:durableId="116342059">
    <w:abstractNumId w:val="9"/>
    <w:lvlOverride w:ilvl="0">
      <w:startOverride w:val="1"/>
    </w:lvlOverride>
    <w:lvlOverride w:ilvl="1"/>
    <w:lvlOverride w:ilvl="2"/>
    <w:lvlOverride w:ilvl="3"/>
    <w:lvlOverride w:ilvl="4"/>
    <w:lvlOverride w:ilvl="5"/>
    <w:lvlOverride w:ilvl="6"/>
    <w:lvlOverride w:ilvl="7"/>
    <w:lvlOverride w:ilvl="8"/>
  </w:num>
  <w:num w:numId="4" w16cid:durableId="7871169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4829270">
    <w:abstractNumId w:val="3"/>
  </w:num>
  <w:num w:numId="6" w16cid:durableId="135034376">
    <w:abstractNumId w:val="14"/>
  </w:num>
  <w:num w:numId="7" w16cid:durableId="1827361589">
    <w:abstractNumId w:val="12"/>
  </w:num>
  <w:num w:numId="8" w16cid:durableId="601498427">
    <w:abstractNumId w:val="1"/>
  </w:num>
  <w:num w:numId="9" w16cid:durableId="1483039150">
    <w:abstractNumId w:val="2"/>
  </w:num>
  <w:num w:numId="10" w16cid:durableId="36052624">
    <w:abstractNumId w:val="10"/>
  </w:num>
  <w:num w:numId="11" w16cid:durableId="1443111920">
    <w:abstractNumId w:val="1"/>
  </w:num>
  <w:num w:numId="12" w16cid:durableId="1394622986">
    <w:abstractNumId w:val="9"/>
  </w:num>
  <w:num w:numId="13" w16cid:durableId="1061514751">
    <w:abstractNumId w:val="10"/>
    <w:lvlOverride w:ilvl="0">
      <w:startOverride w:val="1"/>
    </w:lvlOverride>
  </w:num>
  <w:num w:numId="14" w16cid:durableId="2003850265">
    <w:abstractNumId w:val="1"/>
  </w:num>
  <w:num w:numId="15" w16cid:durableId="952202101">
    <w:abstractNumId w:val="8"/>
  </w:num>
  <w:num w:numId="16" w16cid:durableId="240456998">
    <w:abstractNumId w:val="13"/>
  </w:num>
  <w:num w:numId="17" w16cid:durableId="417482802">
    <w:abstractNumId w:val="4"/>
  </w:num>
  <w:num w:numId="18" w16cid:durableId="1777476915">
    <w:abstractNumId w:val="5"/>
  </w:num>
  <w:num w:numId="19" w16cid:durableId="664015500">
    <w:abstractNumId w:val="6"/>
  </w:num>
  <w:num w:numId="20" w16cid:durableId="1183855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68"/>
    <w:rsid w:val="00003AE8"/>
    <w:rsid w:val="000170B7"/>
    <w:rsid w:val="00025870"/>
    <w:rsid w:val="00027E47"/>
    <w:rsid w:val="00047C53"/>
    <w:rsid w:val="0006007F"/>
    <w:rsid w:val="00073258"/>
    <w:rsid w:val="000774B5"/>
    <w:rsid w:val="00084771"/>
    <w:rsid w:val="00093CBC"/>
    <w:rsid w:val="00093F3A"/>
    <w:rsid w:val="00096F33"/>
    <w:rsid w:val="000A1558"/>
    <w:rsid w:val="000A27A0"/>
    <w:rsid w:val="000B4E43"/>
    <w:rsid w:val="000B6B7D"/>
    <w:rsid w:val="000C3573"/>
    <w:rsid w:val="000D254F"/>
    <w:rsid w:val="000D41DC"/>
    <w:rsid w:val="000E03CA"/>
    <w:rsid w:val="000F50B4"/>
    <w:rsid w:val="000F6204"/>
    <w:rsid w:val="000F75C7"/>
    <w:rsid w:val="000F7FB9"/>
    <w:rsid w:val="001019D2"/>
    <w:rsid w:val="00123C24"/>
    <w:rsid w:val="00126A42"/>
    <w:rsid w:val="001305B7"/>
    <w:rsid w:val="001307CB"/>
    <w:rsid w:val="0013418E"/>
    <w:rsid w:val="00137ED6"/>
    <w:rsid w:val="00141A2B"/>
    <w:rsid w:val="0015410E"/>
    <w:rsid w:val="00154BBB"/>
    <w:rsid w:val="00182D03"/>
    <w:rsid w:val="00197F5B"/>
    <w:rsid w:val="001A324C"/>
    <w:rsid w:val="001D4EA6"/>
    <w:rsid w:val="001D6CB7"/>
    <w:rsid w:val="001F5D17"/>
    <w:rsid w:val="00210973"/>
    <w:rsid w:val="0021640C"/>
    <w:rsid w:val="00217F23"/>
    <w:rsid w:val="002279FC"/>
    <w:rsid w:val="00232818"/>
    <w:rsid w:val="002341E5"/>
    <w:rsid w:val="002355A1"/>
    <w:rsid w:val="00272610"/>
    <w:rsid w:val="0027513B"/>
    <w:rsid w:val="002814BC"/>
    <w:rsid w:val="00294C13"/>
    <w:rsid w:val="002C4668"/>
    <w:rsid w:val="002C6669"/>
    <w:rsid w:val="002C7509"/>
    <w:rsid w:val="002C7DDF"/>
    <w:rsid w:val="002D3850"/>
    <w:rsid w:val="002D4640"/>
    <w:rsid w:val="002E5277"/>
    <w:rsid w:val="002E57F1"/>
    <w:rsid w:val="003062A0"/>
    <w:rsid w:val="00311ED1"/>
    <w:rsid w:val="00314370"/>
    <w:rsid w:val="003337CE"/>
    <w:rsid w:val="00340AED"/>
    <w:rsid w:val="003438C9"/>
    <w:rsid w:val="00344FEE"/>
    <w:rsid w:val="00352E15"/>
    <w:rsid w:val="00362189"/>
    <w:rsid w:val="0036485C"/>
    <w:rsid w:val="003803DB"/>
    <w:rsid w:val="0039696D"/>
    <w:rsid w:val="003B70B5"/>
    <w:rsid w:val="003C0C6E"/>
    <w:rsid w:val="003D2225"/>
    <w:rsid w:val="003D6978"/>
    <w:rsid w:val="003E032D"/>
    <w:rsid w:val="003F6D4C"/>
    <w:rsid w:val="003F740D"/>
    <w:rsid w:val="00424CC2"/>
    <w:rsid w:val="00427788"/>
    <w:rsid w:val="00440817"/>
    <w:rsid w:val="00442AF4"/>
    <w:rsid w:val="00457AFE"/>
    <w:rsid w:val="004601C0"/>
    <w:rsid w:val="00461115"/>
    <w:rsid w:val="0047435B"/>
    <w:rsid w:val="004760B3"/>
    <w:rsid w:val="00483F1E"/>
    <w:rsid w:val="004919BA"/>
    <w:rsid w:val="004A2477"/>
    <w:rsid w:val="004A3826"/>
    <w:rsid w:val="004A4620"/>
    <w:rsid w:val="004B39A2"/>
    <w:rsid w:val="004C0B19"/>
    <w:rsid w:val="004C2316"/>
    <w:rsid w:val="004C36EC"/>
    <w:rsid w:val="004C415B"/>
    <w:rsid w:val="004E5627"/>
    <w:rsid w:val="004F36FD"/>
    <w:rsid w:val="004F4457"/>
    <w:rsid w:val="005214FE"/>
    <w:rsid w:val="005231D1"/>
    <w:rsid w:val="00555A8B"/>
    <w:rsid w:val="00556F7A"/>
    <w:rsid w:val="00560921"/>
    <w:rsid w:val="00563A25"/>
    <w:rsid w:val="00584098"/>
    <w:rsid w:val="005917CC"/>
    <w:rsid w:val="0059371B"/>
    <w:rsid w:val="005B5AAA"/>
    <w:rsid w:val="005C3EF1"/>
    <w:rsid w:val="005C7084"/>
    <w:rsid w:val="005D1E54"/>
    <w:rsid w:val="005D299B"/>
    <w:rsid w:val="005D6677"/>
    <w:rsid w:val="005E119D"/>
    <w:rsid w:val="0061639D"/>
    <w:rsid w:val="006208EB"/>
    <w:rsid w:val="0063030E"/>
    <w:rsid w:val="006450B8"/>
    <w:rsid w:val="0065082F"/>
    <w:rsid w:val="00661966"/>
    <w:rsid w:val="00681A86"/>
    <w:rsid w:val="00683D1C"/>
    <w:rsid w:val="00697CC9"/>
    <w:rsid w:val="006A6168"/>
    <w:rsid w:val="006B334D"/>
    <w:rsid w:val="006B4CA7"/>
    <w:rsid w:val="006C2EED"/>
    <w:rsid w:val="006E18E1"/>
    <w:rsid w:val="006E3B96"/>
    <w:rsid w:val="006E4F43"/>
    <w:rsid w:val="006F06C8"/>
    <w:rsid w:val="006F30EB"/>
    <w:rsid w:val="006F4960"/>
    <w:rsid w:val="00701ABA"/>
    <w:rsid w:val="00707F14"/>
    <w:rsid w:val="00726119"/>
    <w:rsid w:val="00727055"/>
    <w:rsid w:val="00746B16"/>
    <w:rsid w:val="007632BA"/>
    <w:rsid w:val="00791E5D"/>
    <w:rsid w:val="007A1262"/>
    <w:rsid w:val="007A1739"/>
    <w:rsid w:val="007A2F2E"/>
    <w:rsid w:val="007B01E5"/>
    <w:rsid w:val="007B4921"/>
    <w:rsid w:val="007D5418"/>
    <w:rsid w:val="007E5063"/>
    <w:rsid w:val="00800671"/>
    <w:rsid w:val="008059FE"/>
    <w:rsid w:val="00806D37"/>
    <w:rsid w:val="00830D06"/>
    <w:rsid w:val="00833D90"/>
    <w:rsid w:val="00844014"/>
    <w:rsid w:val="00846B7D"/>
    <w:rsid w:val="008477BD"/>
    <w:rsid w:val="0085102C"/>
    <w:rsid w:val="008579CF"/>
    <w:rsid w:val="008600BF"/>
    <w:rsid w:val="0086663A"/>
    <w:rsid w:val="00882847"/>
    <w:rsid w:val="008B096C"/>
    <w:rsid w:val="008C0F6C"/>
    <w:rsid w:val="008E0BA5"/>
    <w:rsid w:val="008F104E"/>
    <w:rsid w:val="009114E6"/>
    <w:rsid w:val="0095229B"/>
    <w:rsid w:val="009535F2"/>
    <w:rsid w:val="0095676E"/>
    <w:rsid w:val="00971A14"/>
    <w:rsid w:val="009730AA"/>
    <w:rsid w:val="00982E9D"/>
    <w:rsid w:val="009B17F5"/>
    <w:rsid w:val="009B59E7"/>
    <w:rsid w:val="009D069C"/>
    <w:rsid w:val="009E02DD"/>
    <w:rsid w:val="009E2D1B"/>
    <w:rsid w:val="009E5CA0"/>
    <w:rsid w:val="009F0A56"/>
    <w:rsid w:val="00A153FF"/>
    <w:rsid w:val="00A15CA2"/>
    <w:rsid w:val="00A268F4"/>
    <w:rsid w:val="00A30A60"/>
    <w:rsid w:val="00A368A4"/>
    <w:rsid w:val="00A379DA"/>
    <w:rsid w:val="00A414FF"/>
    <w:rsid w:val="00A46E58"/>
    <w:rsid w:val="00A6309F"/>
    <w:rsid w:val="00A656FB"/>
    <w:rsid w:val="00A90CD9"/>
    <w:rsid w:val="00A922F1"/>
    <w:rsid w:val="00A97E65"/>
    <w:rsid w:val="00AB1618"/>
    <w:rsid w:val="00AB1BB8"/>
    <w:rsid w:val="00AB1C4D"/>
    <w:rsid w:val="00AB4507"/>
    <w:rsid w:val="00AC3C0F"/>
    <w:rsid w:val="00AC72BA"/>
    <w:rsid w:val="00AF2D33"/>
    <w:rsid w:val="00B26F01"/>
    <w:rsid w:val="00B301C7"/>
    <w:rsid w:val="00B304F2"/>
    <w:rsid w:val="00B375CD"/>
    <w:rsid w:val="00B57607"/>
    <w:rsid w:val="00B6485A"/>
    <w:rsid w:val="00B813E8"/>
    <w:rsid w:val="00B84F0A"/>
    <w:rsid w:val="00BA4AB3"/>
    <w:rsid w:val="00BA512B"/>
    <w:rsid w:val="00BA5508"/>
    <w:rsid w:val="00BA68E6"/>
    <w:rsid w:val="00BB06CB"/>
    <w:rsid w:val="00BB431F"/>
    <w:rsid w:val="00BB78BA"/>
    <w:rsid w:val="00BC3851"/>
    <w:rsid w:val="00BE7D61"/>
    <w:rsid w:val="00BF4210"/>
    <w:rsid w:val="00C048B5"/>
    <w:rsid w:val="00C050B6"/>
    <w:rsid w:val="00C17F40"/>
    <w:rsid w:val="00C30407"/>
    <w:rsid w:val="00C31E41"/>
    <w:rsid w:val="00C43E86"/>
    <w:rsid w:val="00C459AF"/>
    <w:rsid w:val="00C47211"/>
    <w:rsid w:val="00C606B6"/>
    <w:rsid w:val="00C674CC"/>
    <w:rsid w:val="00C76D20"/>
    <w:rsid w:val="00C9155F"/>
    <w:rsid w:val="00CB7E28"/>
    <w:rsid w:val="00CC51DE"/>
    <w:rsid w:val="00CC5273"/>
    <w:rsid w:val="00CD5146"/>
    <w:rsid w:val="00CD6AEF"/>
    <w:rsid w:val="00CD7084"/>
    <w:rsid w:val="00CE1A8F"/>
    <w:rsid w:val="00CE55F3"/>
    <w:rsid w:val="00CE5DFE"/>
    <w:rsid w:val="00CE69EB"/>
    <w:rsid w:val="00D0103F"/>
    <w:rsid w:val="00D10611"/>
    <w:rsid w:val="00D20484"/>
    <w:rsid w:val="00D212DD"/>
    <w:rsid w:val="00D24DE5"/>
    <w:rsid w:val="00D31C7C"/>
    <w:rsid w:val="00D33B68"/>
    <w:rsid w:val="00D3486F"/>
    <w:rsid w:val="00D40E48"/>
    <w:rsid w:val="00D410BE"/>
    <w:rsid w:val="00D44093"/>
    <w:rsid w:val="00D53A10"/>
    <w:rsid w:val="00D71542"/>
    <w:rsid w:val="00D7305D"/>
    <w:rsid w:val="00D9285D"/>
    <w:rsid w:val="00D94D67"/>
    <w:rsid w:val="00DB2E38"/>
    <w:rsid w:val="00DB552C"/>
    <w:rsid w:val="00DC117A"/>
    <w:rsid w:val="00DC5701"/>
    <w:rsid w:val="00DD6BBD"/>
    <w:rsid w:val="00E13B4B"/>
    <w:rsid w:val="00E17ED0"/>
    <w:rsid w:val="00E24D81"/>
    <w:rsid w:val="00E25F4C"/>
    <w:rsid w:val="00E41EC0"/>
    <w:rsid w:val="00E571E0"/>
    <w:rsid w:val="00E603B6"/>
    <w:rsid w:val="00E607AB"/>
    <w:rsid w:val="00E613E1"/>
    <w:rsid w:val="00E66C55"/>
    <w:rsid w:val="00E6702A"/>
    <w:rsid w:val="00E7422D"/>
    <w:rsid w:val="00E87430"/>
    <w:rsid w:val="00EA2889"/>
    <w:rsid w:val="00EC376C"/>
    <w:rsid w:val="00EC3DFB"/>
    <w:rsid w:val="00EC538C"/>
    <w:rsid w:val="00EC5CAE"/>
    <w:rsid w:val="00ED15F7"/>
    <w:rsid w:val="00ED5ABE"/>
    <w:rsid w:val="00EE2161"/>
    <w:rsid w:val="00EE5478"/>
    <w:rsid w:val="00F00A95"/>
    <w:rsid w:val="00F0147F"/>
    <w:rsid w:val="00F20C8B"/>
    <w:rsid w:val="00F227B6"/>
    <w:rsid w:val="00F2526C"/>
    <w:rsid w:val="00F26FBA"/>
    <w:rsid w:val="00F27134"/>
    <w:rsid w:val="00F32CFB"/>
    <w:rsid w:val="00F47542"/>
    <w:rsid w:val="00FA04B5"/>
    <w:rsid w:val="00FA0B33"/>
    <w:rsid w:val="00FB2231"/>
    <w:rsid w:val="00FC0EF7"/>
    <w:rsid w:val="00FC2671"/>
    <w:rsid w:val="00FC7328"/>
    <w:rsid w:val="00FD6182"/>
    <w:rsid w:val="00FF72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BA3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nhideWhenUsed/>
    <w:qFormat/>
    <w:rsid w:val="00F00A95"/>
    <w:pPr>
      <w:keepNext/>
      <w:keepLines/>
      <w:numPr>
        <w:numId w:val="4"/>
      </w:numPr>
      <w:spacing w:before="40" w:after="120" w:line="256" w:lineRule="auto"/>
      <w:outlineLvl w:val="1"/>
    </w:pPr>
    <w:rPr>
      <w:rFonts w:asciiTheme="majorHAnsi" w:eastAsiaTheme="majorEastAsia" w:hAnsiTheme="majorHAnsi" w:cstheme="majorBidi"/>
      <w:color w:val="2E74B5" w:themeColor="accent1" w:themeShade="BF"/>
      <w:sz w:val="28"/>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47211"/>
    <w:rPr>
      <w:sz w:val="16"/>
      <w:szCs w:val="16"/>
    </w:rPr>
  </w:style>
  <w:style w:type="paragraph" w:styleId="Kommentartext">
    <w:name w:val="annotation text"/>
    <w:basedOn w:val="Standard"/>
    <w:link w:val="KommentartextZchn"/>
    <w:uiPriority w:val="99"/>
    <w:unhideWhenUsed/>
    <w:rsid w:val="00C47211"/>
    <w:pPr>
      <w:spacing w:line="240" w:lineRule="auto"/>
    </w:pPr>
    <w:rPr>
      <w:sz w:val="20"/>
      <w:szCs w:val="20"/>
    </w:rPr>
  </w:style>
  <w:style w:type="character" w:customStyle="1" w:styleId="KommentartextZchn">
    <w:name w:val="Kommentartext Zchn"/>
    <w:basedOn w:val="Absatz-Standardschriftart"/>
    <w:link w:val="Kommentartext"/>
    <w:uiPriority w:val="99"/>
    <w:rsid w:val="00C47211"/>
    <w:rPr>
      <w:sz w:val="20"/>
      <w:szCs w:val="20"/>
    </w:rPr>
  </w:style>
  <w:style w:type="paragraph" w:styleId="Kommentarthema">
    <w:name w:val="annotation subject"/>
    <w:basedOn w:val="Kommentartext"/>
    <w:next w:val="Kommentartext"/>
    <w:link w:val="KommentarthemaZchn"/>
    <w:uiPriority w:val="99"/>
    <w:semiHidden/>
    <w:unhideWhenUsed/>
    <w:rsid w:val="00C47211"/>
    <w:rPr>
      <w:b/>
      <w:bCs/>
    </w:rPr>
  </w:style>
  <w:style w:type="character" w:customStyle="1" w:styleId="KommentarthemaZchn">
    <w:name w:val="Kommentarthema Zchn"/>
    <w:basedOn w:val="KommentartextZchn"/>
    <w:link w:val="Kommentarthema"/>
    <w:uiPriority w:val="99"/>
    <w:semiHidden/>
    <w:rsid w:val="00C47211"/>
    <w:rPr>
      <w:b/>
      <w:bCs/>
      <w:sz w:val="20"/>
      <w:szCs w:val="20"/>
    </w:rPr>
  </w:style>
  <w:style w:type="paragraph" w:styleId="Sprechblasentext">
    <w:name w:val="Balloon Text"/>
    <w:basedOn w:val="Standard"/>
    <w:link w:val="SprechblasentextZchn"/>
    <w:uiPriority w:val="99"/>
    <w:semiHidden/>
    <w:unhideWhenUsed/>
    <w:rsid w:val="00C472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7211"/>
    <w:rPr>
      <w:rFonts w:ascii="Segoe UI" w:hAnsi="Segoe UI" w:cs="Segoe UI"/>
      <w:sz w:val="18"/>
      <w:szCs w:val="18"/>
    </w:rPr>
  </w:style>
  <w:style w:type="paragraph" w:styleId="Kopfzeile">
    <w:name w:val="header"/>
    <w:basedOn w:val="Standard"/>
    <w:link w:val="KopfzeileZchn"/>
    <w:uiPriority w:val="99"/>
    <w:unhideWhenUsed/>
    <w:rsid w:val="00FB223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B2231"/>
  </w:style>
  <w:style w:type="paragraph" w:styleId="Fuzeile">
    <w:name w:val="footer"/>
    <w:basedOn w:val="Standard"/>
    <w:link w:val="FuzeileZchn"/>
    <w:uiPriority w:val="99"/>
    <w:unhideWhenUsed/>
    <w:rsid w:val="00FB223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B2231"/>
  </w:style>
  <w:style w:type="character" w:styleId="Hyperlink">
    <w:name w:val="Hyperlink"/>
    <w:basedOn w:val="Absatz-Standardschriftart"/>
    <w:uiPriority w:val="99"/>
    <w:semiHidden/>
    <w:unhideWhenUsed/>
    <w:rsid w:val="00362189"/>
    <w:rPr>
      <w:color w:val="0563C1" w:themeColor="hyperlink"/>
      <w:u w:val="single"/>
    </w:rPr>
  </w:style>
  <w:style w:type="paragraph" w:styleId="Funotentext">
    <w:name w:val="footnote text"/>
    <w:basedOn w:val="Standard"/>
    <w:link w:val="FunotentextZchn"/>
    <w:uiPriority w:val="99"/>
    <w:semiHidden/>
    <w:unhideWhenUsed/>
    <w:rsid w:val="00362189"/>
    <w:pPr>
      <w:spacing w:after="0" w:line="240" w:lineRule="auto"/>
    </w:pPr>
    <w:rPr>
      <w:rFonts w:ascii="Calibri" w:eastAsia="Calibri" w:hAnsi="Calibri" w:cs="Calibri"/>
      <w:sz w:val="20"/>
      <w:szCs w:val="20"/>
    </w:rPr>
  </w:style>
  <w:style w:type="character" w:customStyle="1" w:styleId="FunotentextZchn">
    <w:name w:val="Fußnotentext Zchn"/>
    <w:basedOn w:val="Absatz-Standardschriftart"/>
    <w:link w:val="Funotentext"/>
    <w:uiPriority w:val="99"/>
    <w:semiHidden/>
    <w:rsid w:val="00362189"/>
    <w:rPr>
      <w:rFonts w:ascii="Calibri" w:eastAsia="Calibri" w:hAnsi="Calibri" w:cs="Calibri"/>
      <w:sz w:val="20"/>
      <w:szCs w:val="20"/>
    </w:rPr>
  </w:style>
  <w:style w:type="character" w:customStyle="1" w:styleId="ListenabsatzZchn">
    <w:name w:val="Listenabsatz Zchn"/>
    <w:aliases w:val="Dot pt Zchn,F5 List Paragraph Zchn,List Paragraph1 Zchn,No Spacing1 Zchn,List Paragraph Char Char Char Zchn,Indicator Text Zchn,Colorful List - Accent 11 Zchn,Numbered Para 1 Zchn,Bullet Points Zchn,List Paragraph2 Zchn,Bullet Zchn"/>
    <w:basedOn w:val="Absatz-Standardschriftart"/>
    <w:link w:val="Listenabsatz"/>
    <w:uiPriority w:val="34"/>
    <w:locked/>
    <w:rsid w:val="00362189"/>
    <w:rPr>
      <w:rFonts w:ascii="Calibri" w:hAnsi="Calibri" w:cs="Calibri"/>
    </w:rPr>
  </w:style>
  <w:style w:type="paragraph" w:styleId="Listenabsatz">
    <w:name w:val="List Paragraph"/>
    <w:aliases w:val="Dot pt,F5 List Paragraph,List Paragraph1,No Spacing1,List Paragraph Char Char Char,Indicator Text,Colorful List - Accent 11,Numbered Para 1,Bullet Points,List Paragraph2,MAIN CONTENT,List Paragraph12,Normal numbered,Recommendatio,Bullet,L"/>
    <w:basedOn w:val="Standard"/>
    <w:link w:val="ListenabsatzZchn"/>
    <w:uiPriority w:val="34"/>
    <w:qFormat/>
    <w:rsid w:val="00362189"/>
    <w:pPr>
      <w:spacing w:line="256" w:lineRule="auto"/>
      <w:ind w:left="720"/>
    </w:pPr>
    <w:rPr>
      <w:rFonts w:ascii="Calibri" w:hAnsi="Calibri" w:cs="Calibri"/>
    </w:rPr>
  </w:style>
  <w:style w:type="character" w:styleId="Funotenzeichen">
    <w:name w:val="footnote reference"/>
    <w:basedOn w:val="Absatz-Standardschriftart"/>
    <w:uiPriority w:val="99"/>
    <w:semiHidden/>
    <w:unhideWhenUsed/>
    <w:rsid w:val="00362189"/>
    <w:rPr>
      <w:vertAlign w:val="superscript"/>
    </w:rPr>
  </w:style>
  <w:style w:type="character" w:customStyle="1" w:styleId="berschrift2Zchn">
    <w:name w:val="Überschrift 2 Zchn"/>
    <w:basedOn w:val="Absatz-Standardschriftart"/>
    <w:link w:val="berschrift2"/>
    <w:rsid w:val="00F00A95"/>
    <w:rPr>
      <w:rFonts w:asciiTheme="majorHAnsi" w:eastAsiaTheme="majorEastAsia" w:hAnsiTheme="majorHAnsi" w:cstheme="majorBidi"/>
      <w:color w:val="2E74B5" w:themeColor="accent1" w:themeShade="BF"/>
      <w:sz w:val="28"/>
      <w:szCs w:val="26"/>
      <w:lang w:eastAsia="de-DE"/>
    </w:rPr>
  </w:style>
  <w:style w:type="paragraph" w:styleId="berarbeitung">
    <w:name w:val="Revision"/>
    <w:hidden/>
    <w:uiPriority w:val="99"/>
    <w:semiHidden/>
    <w:rsid w:val="00833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32485">
      <w:bodyDiv w:val="1"/>
      <w:marLeft w:val="0"/>
      <w:marRight w:val="0"/>
      <w:marTop w:val="0"/>
      <w:marBottom w:val="0"/>
      <w:divBdr>
        <w:top w:val="none" w:sz="0" w:space="0" w:color="auto"/>
        <w:left w:val="none" w:sz="0" w:space="0" w:color="auto"/>
        <w:bottom w:val="none" w:sz="0" w:space="0" w:color="auto"/>
        <w:right w:val="none" w:sz="0" w:space="0" w:color="auto"/>
      </w:divBdr>
    </w:div>
    <w:div w:id="333187083">
      <w:bodyDiv w:val="1"/>
      <w:marLeft w:val="0"/>
      <w:marRight w:val="0"/>
      <w:marTop w:val="0"/>
      <w:marBottom w:val="0"/>
      <w:divBdr>
        <w:top w:val="none" w:sz="0" w:space="0" w:color="auto"/>
        <w:left w:val="none" w:sz="0" w:space="0" w:color="auto"/>
        <w:bottom w:val="none" w:sz="0" w:space="0" w:color="auto"/>
        <w:right w:val="none" w:sz="0" w:space="0" w:color="auto"/>
      </w:divBdr>
    </w:div>
    <w:div w:id="704595585">
      <w:bodyDiv w:val="1"/>
      <w:marLeft w:val="0"/>
      <w:marRight w:val="0"/>
      <w:marTop w:val="0"/>
      <w:marBottom w:val="0"/>
      <w:divBdr>
        <w:top w:val="none" w:sz="0" w:space="0" w:color="auto"/>
        <w:left w:val="none" w:sz="0" w:space="0" w:color="auto"/>
        <w:bottom w:val="none" w:sz="0" w:space="0" w:color="auto"/>
        <w:right w:val="none" w:sz="0" w:space="0" w:color="auto"/>
      </w:divBdr>
    </w:div>
    <w:div w:id="936061953">
      <w:bodyDiv w:val="1"/>
      <w:marLeft w:val="0"/>
      <w:marRight w:val="0"/>
      <w:marTop w:val="0"/>
      <w:marBottom w:val="0"/>
      <w:divBdr>
        <w:top w:val="none" w:sz="0" w:space="0" w:color="auto"/>
        <w:left w:val="none" w:sz="0" w:space="0" w:color="auto"/>
        <w:bottom w:val="none" w:sz="0" w:space="0" w:color="auto"/>
        <w:right w:val="none" w:sz="0" w:space="0" w:color="auto"/>
      </w:divBdr>
    </w:div>
    <w:div w:id="1071462085">
      <w:bodyDiv w:val="1"/>
      <w:marLeft w:val="0"/>
      <w:marRight w:val="0"/>
      <w:marTop w:val="0"/>
      <w:marBottom w:val="0"/>
      <w:divBdr>
        <w:top w:val="none" w:sz="0" w:space="0" w:color="auto"/>
        <w:left w:val="none" w:sz="0" w:space="0" w:color="auto"/>
        <w:bottom w:val="none" w:sz="0" w:space="0" w:color="auto"/>
        <w:right w:val="none" w:sz="0" w:space="0" w:color="auto"/>
      </w:divBdr>
    </w:div>
    <w:div w:id="1331832649">
      <w:bodyDiv w:val="1"/>
      <w:marLeft w:val="0"/>
      <w:marRight w:val="0"/>
      <w:marTop w:val="0"/>
      <w:marBottom w:val="0"/>
      <w:divBdr>
        <w:top w:val="none" w:sz="0" w:space="0" w:color="auto"/>
        <w:left w:val="none" w:sz="0" w:space="0" w:color="auto"/>
        <w:bottom w:val="none" w:sz="0" w:space="0" w:color="auto"/>
        <w:right w:val="none" w:sz="0" w:space="0" w:color="auto"/>
      </w:divBdr>
    </w:div>
    <w:div w:id="1510026898">
      <w:bodyDiv w:val="1"/>
      <w:marLeft w:val="0"/>
      <w:marRight w:val="0"/>
      <w:marTop w:val="0"/>
      <w:marBottom w:val="0"/>
      <w:divBdr>
        <w:top w:val="none" w:sz="0" w:space="0" w:color="auto"/>
        <w:left w:val="none" w:sz="0" w:space="0" w:color="auto"/>
        <w:bottom w:val="none" w:sz="0" w:space="0" w:color="auto"/>
        <w:right w:val="none" w:sz="0" w:space="0" w:color="auto"/>
      </w:divBdr>
    </w:div>
    <w:div w:id="176275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A32EA-143E-4203-BA5C-39EBFA01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5186</Words>
  <Characters>32674</Characters>
  <Application>Microsoft Office Word</Application>
  <DocSecurity>0</DocSecurity>
  <Lines>272</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2023-08-09T07:00:00Z</dcterms:created>
  <dcterms:modified xsi:type="dcterms:W3CDTF">2023-08-09T07:00:00Z</dcterms:modified>
</cp:coreProperties>
</file>