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8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8" w:type="dxa"/>
          <w:right w:w="48" w:type="dxa"/>
        </w:tblCellMar>
        <w:tblLook w:val="04A0" w:firstRow="1" w:lastRow="0" w:firstColumn="1" w:lastColumn="0" w:noHBand="0" w:noVBand="1"/>
      </w:tblPr>
      <w:tblGrid>
        <w:gridCol w:w="1067"/>
        <w:gridCol w:w="714"/>
        <w:gridCol w:w="1120"/>
        <w:gridCol w:w="1134"/>
        <w:gridCol w:w="952"/>
        <w:gridCol w:w="4115"/>
        <w:gridCol w:w="4255"/>
        <w:gridCol w:w="2493"/>
      </w:tblGrid>
      <w:tr w:rsidR="00F6054D" w:rsidRPr="00AF2103" w14:paraId="44C606C7" w14:textId="77777777" w:rsidTr="00925D62">
        <w:trPr>
          <w:cantSplit/>
          <w:jc w:val="center"/>
        </w:trPr>
        <w:tc>
          <w:tcPr>
            <w:tcW w:w="1067" w:type="dxa"/>
            <w:shd w:val="clear" w:color="auto" w:fill="auto"/>
            <w:vAlign w:val="center"/>
          </w:tcPr>
          <w:p w14:paraId="298F69BE" w14:textId="4D1C0CDB" w:rsidR="00F6054D" w:rsidRPr="00AF2103" w:rsidRDefault="006023AA" w:rsidP="00BE5990">
            <w:pPr>
              <w:pStyle w:val="ISOMB"/>
              <w:spacing w:before="60" w:after="60" w:line="240" w:lineRule="auto"/>
              <w:rPr>
                <w:rFonts w:ascii="Segoe UI" w:hAnsi="Segoe UI" w:cs="Segoe UI"/>
                <w:szCs w:val="18"/>
                <w:lang w:val="en-US"/>
              </w:rPr>
            </w:pPr>
            <w:r>
              <w:rPr>
                <w:rFonts w:ascii="Segoe UI" w:hAnsi="Segoe UI" w:cs="Segoe UI"/>
                <w:szCs w:val="18"/>
                <w:lang w:val="en-US"/>
              </w:rPr>
              <w:t>MTE</w:t>
            </w:r>
          </w:p>
        </w:tc>
        <w:tc>
          <w:tcPr>
            <w:tcW w:w="714" w:type="dxa"/>
            <w:shd w:val="clear" w:color="auto" w:fill="auto"/>
            <w:vAlign w:val="center"/>
          </w:tcPr>
          <w:p w14:paraId="7DD8649A" w14:textId="6343EA20" w:rsidR="00F6054D" w:rsidRPr="00AF2103" w:rsidRDefault="00EA230D" w:rsidP="00F61BBC">
            <w:pPr>
              <w:pStyle w:val="ISOClause"/>
              <w:spacing w:before="60" w:after="60" w:line="240" w:lineRule="auto"/>
              <w:rPr>
                <w:rFonts w:ascii="Segoe UI" w:hAnsi="Segoe UI" w:cs="Segoe UI"/>
                <w:szCs w:val="18"/>
                <w:lang w:val="en-US"/>
              </w:rPr>
            </w:pPr>
            <w:r>
              <w:rPr>
                <w:rFonts w:ascii="Segoe UI" w:hAnsi="Segoe UI" w:cs="Segoe UI"/>
                <w:szCs w:val="18"/>
                <w:lang w:val="en-US"/>
              </w:rPr>
              <w:t xml:space="preserve">General </w:t>
            </w:r>
          </w:p>
        </w:tc>
        <w:tc>
          <w:tcPr>
            <w:tcW w:w="1120" w:type="dxa"/>
            <w:shd w:val="clear" w:color="auto" w:fill="auto"/>
            <w:vAlign w:val="center"/>
          </w:tcPr>
          <w:p w14:paraId="71986C31" w14:textId="77777777" w:rsidR="00F6054D" w:rsidRPr="00AF2103" w:rsidRDefault="00F6054D" w:rsidP="00F61BBC">
            <w:pPr>
              <w:pStyle w:val="ISOClause"/>
              <w:spacing w:before="60" w:after="60" w:line="240" w:lineRule="auto"/>
              <w:rPr>
                <w:rFonts w:ascii="Segoe UI" w:hAnsi="Segoe UI" w:cs="Segoe UI"/>
                <w:lang w:val="en-US"/>
              </w:rPr>
            </w:pPr>
          </w:p>
        </w:tc>
        <w:tc>
          <w:tcPr>
            <w:tcW w:w="1134" w:type="dxa"/>
            <w:shd w:val="clear" w:color="auto" w:fill="auto"/>
            <w:vAlign w:val="center"/>
          </w:tcPr>
          <w:p w14:paraId="7F7B8490" w14:textId="77777777" w:rsidR="00F6054D" w:rsidRPr="00AF2103" w:rsidRDefault="00F6054D" w:rsidP="00F61BBC">
            <w:pPr>
              <w:pStyle w:val="ISOParagraph"/>
              <w:spacing w:before="60" w:after="60" w:line="240" w:lineRule="auto"/>
              <w:rPr>
                <w:rFonts w:ascii="Segoe UI" w:hAnsi="Segoe UI" w:cs="Segoe UI"/>
                <w:lang w:val="en-US"/>
              </w:rPr>
            </w:pPr>
          </w:p>
        </w:tc>
        <w:tc>
          <w:tcPr>
            <w:tcW w:w="952" w:type="dxa"/>
            <w:shd w:val="clear" w:color="auto" w:fill="auto"/>
            <w:vAlign w:val="center"/>
          </w:tcPr>
          <w:p w14:paraId="409996C0" w14:textId="77777777" w:rsidR="00F6054D" w:rsidRPr="00AF2103" w:rsidRDefault="00F6054D" w:rsidP="00F61BBC">
            <w:pPr>
              <w:pStyle w:val="ISOCommType"/>
              <w:spacing w:before="60" w:after="60" w:line="240" w:lineRule="auto"/>
              <w:rPr>
                <w:rFonts w:ascii="Segoe UI" w:hAnsi="Segoe UI" w:cs="Segoe UI"/>
                <w:lang w:val="en-US"/>
              </w:rPr>
            </w:pPr>
          </w:p>
        </w:tc>
        <w:tc>
          <w:tcPr>
            <w:tcW w:w="4115" w:type="dxa"/>
            <w:shd w:val="clear" w:color="auto" w:fill="auto"/>
            <w:vAlign w:val="center"/>
          </w:tcPr>
          <w:p w14:paraId="528BC1B5" w14:textId="77777777" w:rsidR="00EA230D" w:rsidRPr="00EA230D" w:rsidRDefault="00EA230D" w:rsidP="00EA230D">
            <w:pPr>
              <w:pStyle w:val="pf0"/>
              <w:rPr>
                <w:rFonts w:ascii="Arial" w:hAnsi="Arial" w:cs="Arial"/>
                <w:sz w:val="20"/>
                <w:szCs w:val="20"/>
                <w:lang w:val="en-US"/>
              </w:rPr>
            </w:pPr>
            <w:r w:rsidRPr="00EA230D">
              <w:rPr>
                <w:rStyle w:val="cf01"/>
                <w:lang w:val="en-US"/>
              </w:rPr>
              <w:t>General Comment: We believe the intent of this document is to demonstrate that equivalence cannot be demonstrated between</w:t>
            </w:r>
          </w:p>
          <w:p w14:paraId="56932727" w14:textId="77777777" w:rsidR="00EA230D" w:rsidRPr="00EA230D" w:rsidRDefault="00EA230D" w:rsidP="00EA230D">
            <w:pPr>
              <w:pStyle w:val="pf0"/>
              <w:rPr>
                <w:rFonts w:ascii="Arial" w:hAnsi="Arial" w:cs="Arial"/>
                <w:sz w:val="20"/>
                <w:szCs w:val="20"/>
                <w:lang w:val="en-US"/>
              </w:rPr>
            </w:pPr>
            <w:r w:rsidRPr="00EA230D">
              <w:rPr>
                <w:rStyle w:val="cf01"/>
                <w:lang w:val="en-US"/>
              </w:rPr>
              <w:t xml:space="preserve">A) a device with purely non-medical purpose and, </w:t>
            </w:r>
          </w:p>
          <w:p w14:paraId="5F392920" w14:textId="65EE2424" w:rsidR="00F6054D" w:rsidRPr="00AF2103" w:rsidRDefault="00EA230D" w:rsidP="00CF1315">
            <w:pPr>
              <w:pStyle w:val="pf0"/>
              <w:rPr>
                <w:rFonts w:ascii="Segoe UI" w:hAnsi="Segoe UI" w:cs="Segoe UI"/>
                <w:lang w:val="en-US"/>
              </w:rPr>
            </w:pPr>
            <w:r w:rsidRPr="00EA230D">
              <w:rPr>
                <w:rStyle w:val="cf01"/>
                <w:lang w:val="en-US"/>
              </w:rPr>
              <w:t xml:space="preserve">B) a device with purely medical purpose, </w:t>
            </w:r>
            <w:r w:rsidRPr="00EA230D">
              <w:rPr>
                <w:rStyle w:val="cf21"/>
                <w:lang w:val="en-US"/>
              </w:rPr>
              <w:t>where the only available results of clinical investigations relate to the non-medical purpose</w:t>
            </w:r>
            <w:r w:rsidRPr="00EA230D">
              <w:rPr>
                <w:rStyle w:val="cf01"/>
                <w:lang w:val="en-US"/>
              </w:rPr>
              <w:t>. [the bolded text is an important distinction as there may be clinical investigation data for a non-medical use of a medical device].</w:t>
            </w:r>
          </w:p>
        </w:tc>
        <w:tc>
          <w:tcPr>
            <w:tcW w:w="4255" w:type="dxa"/>
            <w:shd w:val="clear" w:color="auto" w:fill="auto"/>
            <w:vAlign w:val="center"/>
          </w:tcPr>
          <w:p w14:paraId="2EEBA79D" w14:textId="77777777" w:rsidR="00F6054D" w:rsidRPr="00AF2103" w:rsidRDefault="00F6054D" w:rsidP="00F61BBC">
            <w:pPr>
              <w:pStyle w:val="ISOChange"/>
              <w:spacing w:before="60" w:after="60" w:line="240" w:lineRule="auto"/>
              <w:rPr>
                <w:rFonts w:ascii="Segoe UI" w:hAnsi="Segoe UI" w:cs="Segoe UI"/>
                <w:szCs w:val="18"/>
                <w:lang w:val="en-US"/>
              </w:rPr>
            </w:pPr>
          </w:p>
        </w:tc>
        <w:tc>
          <w:tcPr>
            <w:tcW w:w="2493" w:type="dxa"/>
            <w:shd w:val="clear" w:color="auto" w:fill="auto"/>
            <w:vAlign w:val="center"/>
          </w:tcPr>
          <w:p w14:paraId="2189F699" w14:textId="16DAE738" w:rsidR="00F6054D" w:rsidRPr="00AF2103" w:rsidRDefault="006A6855" w:rsidP="00F61BBC">
            <w:pPr>
              <w:pStyle w:val="ISOSecretObservations"/>
              <w:spacing w:before="60" w:after="60" w:line="240" w:lineRule="auto"/>
              <w:rPr>
                <w:rFonts w:ascii="Segoe UI" w:hAnsi="Segoe UI" w:cs="Segoe UI"/>
                <w:szCs w:val="18"/>
                <w:lang w:val="en-US"/>
              </w:rPr>
            </w:pPr>
            <w:r>
              <w:rPr>
                <w:rFonts w:ascii="Segoe UI" w:hAnsi="Segoe UI" w:cs="Segoe UI"/>
                <w:szCs w:val="18"/>
                <w:lang w:val="en-US"/>
              </w:rPr>
              <w:t xml:space="preserve">The interpretation is not correct. In addition, it is </w:t>
            </w:r>
            <w:proofErr w:type="gramStart"/>
            <w:r>
              <w:rPr>
                <w:rFonts w:ascii="Segoe UI" w:hAnsi="Segoe UI" w:cs="Segoe UI"/>
                <w:szCs w:val="18"/>
                <w:lang w:val="en-US"/>
              </w:rPr>
              <w:t>really unlikely</w:t>
            </w:r>
            <w:proofErr w:type="gramEnd"/>
            <w:r>
              <w:rPr>
                <w:rFonts w:ascii="Segoe UI" w:hAnsi="Segoe UI" w:cs="Segoe UI"/>
                <w:szCs w:val="18"/>
                <w:lang w:val="en-US"/>
              </w:rPr>
              <w:t xml:space="preserve"> that a medical device has clinical investigations results on a non-medical purpose.</w:t>
            </w:r>
          </w:p>
        </w:tc>
      </w:tr>
      <w:tr w:rsidR="006023AA" w:rsidRPr="00AF2103" w14:paraId="30D44C91" w14:textId="77777777" w:rsidTr="00925D62">
        <w:trPr>
          <w:cantSplit/>
          <w:jc w:val="center"/>
        </w:trPr>
        <w:tc>
          <w:tcPr>
            <w:tcW w:w="1067" w:type="dxa"/>
            <w:shd w:val="clear" w:color="auto" w:fill="auto"/>
            <w:vAlign w:val="center"/>
          </w:tcPr>
          <w:p w14:paraId="0A92192E" w14:textId="77777777" w:rsidR="006023AA" w:rsidRDefault="006023AA" w:rsidP="006023AA">
            <w:pPr>
              <w:pStyle w:val="ISOMB"/>
              <w:spacing w:before="60" w:after="60" w:line="240" w:lineRule="auto"/>
              <w:rPr>
                <w:rFonts w:ascii="Segoe UI" w:hAnsi="Segoe UI" w:cs="Segoe UI"/>
                <w:szCs w:val="18"/>
                <w:lang w:val="en-US"/>
              </w:rPr>
            </w:pPr>
            <w:proofErr w:type="spellStart"/>
            <w:r>
              <w:rPr>
                <w:rFonts w:ascii="Segoe UI" w:hAnsi="Segoe UI" w:cs="Segoe UI"/>
                <w:szCs w:val="18"/>
                <w:lang w:val="en-US"/>
              </w:rPr>
              <w:t>Eurom</w:t>
            </w:r>
            <w:proofErr w:type="spellEnd"/>
          </w:p>
          <w:p w14:paraId="402252FC" w14:textId="21DCA7A5" w:rsidR="006023AA" w:rsidRPr="00AF2103" w:rsidRDefault="006023AA" w:rsidP="006023AA">
            <w:pPr>
              <w:pStyle w:val="ISOMB"/>
              <w:spacing w:before="60" w:after="60" w:line="240" w:lineRule="auto"/>
              <w:rPr>
                <w:rFonts w:ascii="Segoe UI" w:hAnsi="Segoe UI" w:cs="Segoe UI"/>
                <w:szCs w:val="18"/>
                <w:lang w:val="en-US"/>
              </w:rPr>
            </w:pPr>
            <w:r>
              <w:rPr>
                <w:rFonts w:ascii="Segoe UI" w:hAnsi="Segoe UI" w:cs="Segoe UI"/>
                <w:szCs w:val="18"/>
                <w:lang w:val="en-US"/>
              </w:rPr>
              <w:t>Contact</w:t>
            </w:r>
          </w:p>
        </w:tc>
        <w:tc>
          <w:tcPr>
            <w:tcW w:w="714" w:type="dxa"/>
            <w:shd w:val="clear" w:color="auto" w:fill="auto"/>
            <w:vAlign w:val="center"/>
          </w:tcPr>
          <w:p w14:paraId="7FD652B4" w14:textId="291825AE" w:rsidR="006023AA" w:rsidRDefault="006023AA" w:rsidP="006023AA">
            <w:pPr>
              <w:pStyle w:val="ISOClause"/>
              <w:spacing w:before="60" w:after="60" w:line="240" w:lineRule="auto"/>
              <w:rPr>
                <w:rFonts w:ascii="Segoe UI" w:hAnsi="Segoe UI" w:cs="Segoe UI"/>
                <w:szCs w:val="18"/>
                <w:lang w:val="en-US"/>
              </w:rPr>
            </w:pPr>
            <w:r>
              <w:rPr>
                <w:rFonts w:ascii="Segoe UI" w:hAnsi="Segoe UI" w:cs="Segoe UI"/>
                <w:szCs w:val="18"/>
                <w:lang w:val="en-US"/>
              </w:rPr>
              <w:t>general</w:t>
            </w:r>
          </w:p>
        </w:tc>
        <w:tc>
          <w:tcPr>
            <w:tcW w:w="1120" w:type="dxa"/>
            <w:shd w:val="clear" w:color="auto" w:fill="auto"/>
            <w:vAlign w:val="center"/>
          </w:tcPr>
          <w:p w14:paraId="5C2FB654" w14:textId="77777777" w:rsidR="006023AA" w:rsidRPr="00AF2103" w:rsidRDefault="006023AA" w:rsidP="006023AA">
            <w:pPr>
              <w:pStyle w:val="ISOClause"/>
              <w:spacing w:before="60" w:after="60" w:line="240" w:lineRule="auto"/>
              <w:rPr>
                <w:rFonts w:ascii="Segoe UI" w:hAnsi="Segoe UI" w:cs="Segoe UI"/>
                <w:lang w:val="en-US"/>
              </w:rPr>
            </w:pPr>
          </w:p>
        </w:tc>
        <w:tc>
          <w:tcPr>
            <w:tcW w:w="1134" w:type="dxa"/>
            <w:shd w:val="clear" w:color="auto" w:fill="auto"/>
            <w:vAlign w:val="center"/>
          </w:tcPr>
          <w:p w14:paraId="2D72A6EF" w14:textId="77777777" w:rsidR="006023AA" w:rsidRPr="00AF2103" w:rsidRDefault="006023AA" w:rsidP="006023AA">
            <w:pPr>
              <w:pStyle w:val="ISOParagraph"/>
              <w:spacing w:before="60" w:after="60" w:line="240" w:lineRule="auto"/>
              <w:rPr>
                <w:rFonts w:ascii="Segoe UI" w:hAnsi="Segoe UI" w:cs="Segoe UI"/>
                <w:lang w:val="en-US"/>
              </w:rPr>
            </w:pPr>
          </w:p>
        </w:tc>
        <w:tc>
          <w:tcPr>
            <w:tcW w:w="952" w:type="dxa"/>
            <w:shd w:val="clear" w:color="auto" w:fill="auto"/>
            <w:vAlign w:val="center"/>
          </w:tcPr>
          <w:p w14:paraId="227AE050" w14:textId="1E6A5BA8" w:rsidR="006023AA" w:rsidRPr="00AF2103" w:rsidRDefault="006023AA" w:rsidP="006023AA">
            <w:pPr>
              <w:pStyle w:val="ISOCommType"/>
              <w:spacing w:before="60" w:after="60" w:line="240" w:lineRule="auto"/>
              <w:rPr>
                <w:rFonts w:ascii="Segoe UI" w:hAnsi="Segoe UI" w:cs="Segoe UI"/>
                <w:lang w:val="en-US"/>
              </w:rPr>
            </w:pPr>
            <w:proofErr w:type="spellStart"/>
            <w:r>
              <w:rPr>
                <w:rFonts w:ascii="Segoe UI" w:hAnsi="Segoe UI" w:cs="Segoe UI"/>
                <w:lang w:val="en-US"/>
              </w:rPr>
              <w:t>ge</w:t>
            </w:r>
            <w:proofErr w:type="spellEnd"/>
          </w:p>
        </w:tc>
        <w:tc>
          <w:tcPr>
            <w:tcW w:w="4115" w:type="dxa"/>
            <w:shd w:val="clear" w:color="auto" w:fill="auto"/>
            <w:vAlign w:val="center"/>
          </w:tcPr>
          <w:p w14:paraId="5EFC2D76" w14:textId="714AEE88" w:rsidR="006023AA" w:rsidRPr="00EA230D" w:rsidRDefault="006023AA" w:rsidP="006023AA">
            <w:pPr>
              <w:pStyle w:val="pf0"/>
              <w:rPr>
                <w:rStyle w:val="cf01"/>
                <w:lang w:val="en-US"/>
              </w:rPr>
            </w:pPr>
            <w:r w:rsidRPr="006E4001">
              <w:rPr>
                <w:rFonts w:ascii="Segoe UI" w:hAnsi="Segoe UI" w:cs="Segoe UI"/>
                <w:sz w:val="18"/>
                <w:szCs w:val="20"/>
              </w:rPr>
              <w:t xml:space="preserve">It </w:t>
            </w:r>
            <w:proofErr w:type="spellStart"/>
            <w:r w:rsidRPr="006E4001">
              <w:rPr>
                <w:rFonts w:ascii="Segoe UI" w:hAnsi="Segoe UI" w:cs="Segoe UI"/>
                <w:sz w:val="18"/>
                <w:szCs w:val="20"/>
              </w:rPr>
              <w:t>should</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not</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be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required</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to</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perform</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clinical</w:t>
            </w:r>
            <w:proofErr w:type="spellEnd"/>
            <w:r>
              <w:rPr>
                <w:rFonts w:ascii="Segoe UI" w:hAnsi="Segoe UI" w:cs="Segoe UI"/>
                <w:sz w:val="18"/>
                <w:szCs w:val="20"/>
              </w:rPr>
              <w:t xml:space="preserve"> </w:t>
            </w:r>
            <w:proofErr w:type="spellStart"/>
            <w:r w:rsidRPr="006E4001">
              <w:rPr>
                <w:rFonts w:ascii="Segoe UI" w:hAnsi="Segoe UI" w:cs="Segoe UI"/>
                <w:sz w:val="18"/>
                <w:szCs w:val="20"/>
              </w:rPr>
              <w:t>investigations</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for</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all</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products</w:t>
            </w:r>
            <w:proofErr w:type="spellEnd"/>
            <w:r w:rsidRPr="006E4001">
              <w:rPr>
                <w:rFonts w:ascii="Segoe UI" w:hAnsi="Segoe UI" w:cs="Segoe UI"/>
                <w:sz w:val="18"/>
                <w:szCs w:val="20"/>
              </w:rPr>
              <w:t xml:space="preserve"> without a </w:t>
            </w:r>
            <w:proofErr w:type="spellStart"/>
            <w:r w:rsidRPr="006E4001">
              <w:rPr>
                <w:rFonts w:ascii="Segoe UI" w:hAnsi="Segoe UI" w:cs="Segoe UI"/>
                <w:sz w:val="18"/>
                <w:szCs w:val="20"/>
              </w:rPr>
              <w:t>medical</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purpose</w:t>
            </w:r>
            <w:proofErr w:type="spellEnd"/>
            <w:r w:rsidRPr="006E4001">
              <w:rPr>
                <w:rFonts w:ascii="Segoe UI" w:hAnsi="Segoe UI" w:cs="Segoe UI"/>
                <w:sz w:val="18"/>
                <w:szCs w:val="20"/>
              </w:rPr>
              <w:t xml:space="preserve">. For </w:t>
            </w:r>
            <w:proofErr w:type="spellStart"/>
            <w:r w:rsidRPr="006E4001">
              <w:rPr>
                <w:rFonts w:ascii="Segoe UI" w:hAnsi="Segoe UI" w:cs="Segoe UI"/>
                <w:sz w:val="18"/>
                <w:szCs w:val="20"/>
              </w:rPr>
              <w:t>example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if</w:t>
            </w:r>
            <w:proofErr w:type="spellEnd"/>
            <w:r w:rsidRPr="006E4001">
              <w:rPr>
                <w:rFonts w:ascii="Segoe UI" w:hAnsi="Segoe UI" w:cs="Segoe UI"/>
                <w:sz w:val="18"/>
                <w:szCs w:val="20"/>
              </w:rPr>
              <w:t xml:space="preserve"> a </w:t>
            </w:r>
            <w:proofErr w:type="spellStart"/>
            <w:r w:rsidRPr="006E4001">
              <w:rPr>
                <w:rFonts w:ascii="Segoe UI" w:hAnsi="Segoe UI" w:cs="Segoe UI"/>
                <w:sz w:val="18"/>
                <w:szCs w:val="20"/>
              </w:rPr>
              <w:t>manufacturer</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develops</w:t>
            </w:r>
            <w:proofErr w:type="spellEnd"/>
            <w:r w:rsidRPr="006E4001">
              <w:rPr>
                <w:rFonts w:ascii="Segoe UI" w:hAnsi="Segoe UI" w:cs="Segoe UI"/>
                <w:sz w:val="18"/>
                <w:szCs w:val="20"/>
              </w:rPr>
              <w:t xml:space="preserve"> a new, non-</w:t>
            </w:r>
            <w:proofErr w:type="spellStart"/>
            <w:r w:rsidRPr="006E4001">
              <w:rPr>
                <w:rFonts w:ascii="Segoe UI" w:hAnsi="Segoe UI" w:cs="Segoe UI"/>
                <w:sz w:val="18"/>
                <w:szCs w:val="20"/>
              </w:rPr>
              <w:t>corrective</w:t>
            </w:r>
            <w:proofErr w:type="spellEnd"/>
            <w:r w:rsidRPr="006E4001">
              <w:rPr>
                <w:rFonts w:ascii="Segoe UI" w:hAnsi="Segoe UI" w:cs="Segoe UI"/>
                <w:sz w:val="18"/>
                <w:szCs w:val="20"/>
              </w:rPr>
              <w:t xml:space="preserve"> </w:t>
            </w:r>
            <w:proofErr w:type="gramStart"/>
            <w:r w:rsidRPr="006E4001">
              <w:rPr>
                <w:rFonts w:ascii="Segoe UI" w:hAnsi="Segoe UI" w:cs="Segoe UI"/>
                <w:sz w:val="18"/>
                <w:szCs w:val="20"/>
              </w:rPr>
              <w:t>contact lens</w:t>
            </w:r>
            <w:proofErr w:type="gramEnd"/>
            <w:r w:rsidRPr="006E4001">
              <w:rPr>
                <w:rFonts w:ascii="Segoe UI" w:hAnsi="Segoe UI" w:cs="Segoe UI"/>
                <w:sz w:val="18"/>
                <w:szCs w:val="20"/>
              </w:rPr>
              <w:t xml:space="preserve"> (no </w:t>
            </w:r>
            <w:proofErr w:type="spellStart"/>
            <w:r w:rsidRPr="006E4001">
              <w:rPr>
                <w:rFonts w:ascii="Segoe UI" w:hAnsi="Segoe UI" w:cs="Segoe UI"/>
                <w:sz w:val="18"/>
                <w:szCs w:val="20"/>
              </w:rPr>
              <w:t>medical</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purpose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the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manufacturer</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should</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be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able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to</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demonstrate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equivalence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with</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an</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existing</w:t>
            </w:r>
            <w:proofErr w:type="spellEnd"/>
            <w:r w:rsidRPr="006E4001">
              <w:rPr>
                <w:rFonts w:ascii="Segoe UI" w:hAnsi="Segoe UI" w:cs="Segoe UI"/>
                <w:sz w:val="18"/>
                <w:szCs w:val="20"/>
              </w:rPr>
              <w:t xml:space="preserve"> non-</w:t>
            </w:r>
            <w:proofErr w:type="spellStart"/>
            <w:r w:rsidRPr="006E4001">
              <w:rPr>
                <w:rFonts w:ascii="Segoe UI" w:hAnsi="Segoe UI" w:cs="Segoe UI"/>
                <w:sz w:val="18"/>
                <w:szCs w:val="20"/>
              </w:rPr>
              <w:t>corrective</w:t>
            </w:r>
            <w:proofErr w:type="spellEnd"/>
            <w:r w:rsidRPr="006E4001">
              <w:rPr>
                <w:rFonts w:ascii="Segoe UI" w:hAnsi="Segoe UI" w:cs="Segoe UI"/>
                <w:sz w:val="18"/>
                <w:szCs w:val="20"/>
              </w:rPr>
              <w:t xml:space="preserve"> contact lens OR </w:t>
            </w:r>
            <w:proofErr w:type="spellStart"/>
            <w:r w:rsidRPr="006E4001">
              <w:rPr>
                <w:rFonts w:ascii="Segoe UI" w:hAnsi="Segoe UI" w:cs="Segoe UI"/>
                <w:sz w:val="18"/>
                <w:szCs w:val="20"/>
              </w:rPr>
              <w:t>with</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an</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existing</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corrective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medical</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purpose</w:t>
            </w:r>
            <w:proofErr w:type="spellEnd"/>
            <w:r w:rsidRPr="006E4001">
              <w:rPr>
                <w:rFonts w:ascii="Segoe UI" w:hAnsi="Segoe UI" w:cs="Segoe UI"/>
                <w:sz w:val="18"/>
                <w:szCs w:val="20"/>
              </w:rPr>
              <w:t xml:space="preserve">) contact lens. The wording </w:t>
            </w:r>
            <w:proofErr w:type="spellStart"/>
            <w:r w:rsidRPr="006E4001">
              <w:rPr>
                <w:rFonts w:ascii="Segoe UI" w:hAnsi="Segoe UI" w:cs="Segoe UI"/>
                <w:sz w:val="18"/>
                <w:szCs w:val="20"/>
              </w:rPr>
              <w:t>that</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Therefore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clinical</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investigations</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should</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be</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performed</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for</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products</w:t>
            </w:r>
            <w:proofErr w:type="spellEnd"/>
            <w:r w:rsidRPr="006E4001">
              <w:rPr>
                <w:rFonts w:ascii="Segoe UI" w:hAnsi="Segoe UI" w:cs="Segoe UI"/>
                <w:sz w:val="18"/>
                <w:szCs w:val="20"/>
              </w:rPr>
              <w:t xml:space="preserve"> without </w:t>
            </w:r>
            <w:proofErr w:type="spellStart"/>
            <w:r w:rsidRPr="006E4001">
              <w:rPr>
                <w:rFonts w:ascii="Segoe UI" w:hAnsi="Segoe UI" w:cs="Segoe UI"/>
                <w:sz w:val="18"/>
                <w:szCs w:val="20"/>
              </w:rPr>
              <w:t>an</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intended</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medical</w:t>
            </w:r>
            <w:proofErr w:type="spellEnd"/>
            <w:r w:rsidRPr="006E4001">
              <w:rPr>
                <w:rFonts w:ascii="Segoe UI" w:hAnsi="Segoe UI" w:cs="Segoe UI"/>
                <w:sz w:val="18"/>
                <w:szCs w:val="20"/>
              </w:rPr>
              <w:t xml:space="preserve"> </w:t>
            </w:r>
            <w:proofErr w:type="spellStart"/>
            <w:r w:rsidRPr="006E4001">
              <w:rPr>
                <w:rFonts w:ascii="Segoe UI" w:hAnsi="Segoe UI" w:cs="Segoe UI"/>
                <w:sz w:val="18"/>
                <w:szCs w:val="20"/>
              </w:rPr>
              <w:t>purpose</w:t>
            </w:r>
            <w:proofErr w:type="spellEnd"/>
            <w:r w:rsidRPr="006E4001">
              <w:rPr>
                <w:rFonts w:ascii="Segoe UI" w:hAnsi="Segoe UI" w:cs="Segoe UI"/>
                <w:sz w:val="18"/>
                <w:szCs w:val="20"/>
              </w:rPr>
              <w:t xml:space="preserve"> is a mis-</w:t>
            </w:r>
            <w:proofErr w:type="spellStart"/>
            <w:r w:rsidRPr="006E4001">
              <w:rPr>
                <w:rFonts w:ascii="Segoe UI" w:hAnsi="Segoe UI" w:cs="Segoe UI"/>
                <w:sz w:val="18"/>
                <w:szCs w:val="20"/>
              </w:rPr>
              <w:t>characterization</w:t>
            </w:r>
            <w:proofErr w:type="spellEnd"/>
            <w:r w:rsidRPr="006E4001">
              <w:rPr>
                <w:rFonts w:ascii="Segoe UI" w:hAnsi="Segoe UI" w:cs="Segoe UI"/>
                <w:sz w:val="18"/>
                <w:szCs w:val="20"/>
              </w:rPr>
              <w:t xml:space="preserve"> of 2022/2346.</w:t>
            </w:r>
          </w:p>
        </w:tc>
        <w:tc>
          <w:tcPr>
            <w:tcW w:w="4255" w:type="dxa"/>
            <w:shd w:val="clear" w:color="auto" w:fill="auto"/>
            <w:vAlign w:val="center"/>
          </w:tcPr>
          <w:p w14:paraId="0B68DDE3" w14:textId="77777777" w:rsidR="006023AA" w:rsidRPr="00AF2103" w:rsidRDefault="006023AA" w:rsidP="006023AA">
            <w:pPr>
              <w:pStyle w:val="ISOChange"/>
              <w:spacing w:before="60" w:after="60" w:line="240" w:lineRule="auto"/>
              <w:rPr>
                <w:rFonts w:ascii="Segoe UI" w:hAnsi="Segoe UI" w:cs="Segoe UI"/>
                <w:szCs w:val="18"/>
                <w:lang w:val="en-US"/>
              </w:rPr>
            </w:pPr>
          </w:p>
        </w:tc>
        <w:tc>
          <w:tcPr>
            <w:tcW w:w="2493" w:type="dxa"/>
            <w:shd w:val="clear" w:color="auto" w:fill="auto"/>
            <w:vAlign w:val="center"/>
          </w:tcPr>
          <w:p w14:paraId="62ADC194" w14:textId="77777777" w:rsidR="006023AA" w:rsidRPr="001F75FD" w:rsidRDefault="006023AA" w:rsidP="006023AA">
            <w:pPr>
              <w:pStyle w:val="ISOSecretObservations"/>
              <w:spacing w:before="60" w:after="60" w:line="240" w:lineRule="auto"/>
              <w:rPr>
                <w:rFonts w:ascii="Segoe UI" w:hAnsi="Segoe UI" w:cs="Segoe UI"/>
                <w:szCs w:val="18"/>
                <w:lang w:val="en-US"/>
              </w:rPr>
            </w:pPr>
            <w:r w:rsidRPr="001F75FD">
              <w:rPr>
                <w:rFonts w:ascii="Segoe UI" w:hAnsi="Segoe UI" w:cs="Segoe UI"/>
                <w:szCs w:val="18"/>
                <w:lang w:val="en-US"/>
              </w:rPr>
              <w:t>REJECTED</w:t>
            </w:r>
          </w:p>
          <w:p w14:paraId="51151505" w14:textId="3EE83371" w:rsidR="006023AA" w:rsidRPr="001F75FD" w:rsidRDefault="006023AA" w:rsidP="006023AA">
            <w:pPr>
              <w:pStyle w:val="ISOSecretObservations"/>
              <w:spacing w:before="60" w:after="60" w:line="240" w:lineRule="auto"/>
              <w:rPr>
                <w:rFonts w:ascii="Segoe UI" w:hAnsi="Segoe UI" w:cs="Segoe UI"/>
                <w:szCs w:val="18"/>
                <w:lang w:val="en-US"/>
              </w:rPr>
            </w:pPr>
            <w:r w:rsidRPr="001F75FD">
              <w:rPr>
                <w:rFonts w:ascii="Segoe UI" w:hAnsi="Segoe UI" w:cs="Segoe UI"/>
                <w:szCs w:val="18"/>
              </w:rPr>
              <w:t xml:space="preserve">Article 61(4) to the MDR applies also to AXVI products. Therefore, to rely on clinical data from an analogous medical device, the equivalence must be demonstrated. Using clinical data from an analogous medical device </w:t>
            </w:r>
            <w:proofErr w:type="gramStart"/>
            <w:r w:rsidRPr="001F75FD">
              <w:rPr>
                <w:rFonts w:ascii="Segoe UI" w:hAnsi="Segoe UI" w:cs="Segoe UI"/>
                <w:szCs w:val="18"/>
              </w:rPr>
              <w:t>not equivalent</w:t>
            </w:r>
            <w:proofErr w:type="gramEnd"/>
            <w:r w:rsidRPr="001F75FD">
              <w:rPr>
                <w:rFonts w:ascii="Segoe UI" w:hAnsi="Segoe UI" w:cs="Segoe UI"/>
                <w:szCs w:val="18"/>
              </w:rPr>
              <w:t xml:space="preserve"> to the AXVI product to not carry out the clinical investigation for that product would be contrary to Article 61(4).</w:t>
            </w:r>
            <w:r w:rsidRPr="001F75FD">
              <w:rPr>
                <w:rFonts w:ascii="Segoe UI" w:hAnsi="Segoe UI" w:cs="Segoe UI"/>
                <w:szCs w:val="18"/>
                <w:lang w:val="en-US"/>
              </w:rPr>
              <w:t xml:space="preserve"> </w:t>
            </w:r>
          </w:p>
        </w:tc>
      </w:tr>
      <w:tr w:rsidR="002E5B02" w:rsidRPr="00AF2103" w14:paraId="268FEF48" w14:textId="77777777" w:rsidTr="00925D62">
        <w:trPr>
          <w:cantSplit/>
          <w:jc w:val="center"/>
        </w:trPr>
        <w:tc>
          <w:tcPr>
            <w:tcW w:w="1067" w:type="dxa"/>
            <w:shd w:val="clear" w:color="auto" w:fill="auto"/>
            <w:vAlign w:val="center"/>
          </w:tcPr>
          <w:p w14:paraId="7BFEC6CC" w14:textId="63450840" w:rsidR="002E5B02"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lastRenderedPageBreak/>
              <w:t>MTE</w:t>
            </w:r>
          </w:p>
        </w:tc>
        <w:tc>
          <w:tcPr>
            <w:tcW w:w="714" w:type="dxa"/>
            <w:shd w:val="clear" w:color="auto" w:fill="auto"/>
            <w:vAlign w:val="center"/>
          </w:tcPr>
          <w:p w14:paraId="781D7D63" w14:textId="0218A023" w:rsidR="002E5B02" w:rsidRPr="00CF1315" w:rsidRDefault="00EA230D"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37</w:t>
            </w:r>
          </w:p>
        </w:tc>
        <w:tc>
          <w:tcPr>
            <w:tcW w:w="1120" w:type="dxa"/>
            <w:shd w:val="clear" w:color="auto" w:fill="auto"/>
            <w:vAlign w:val="center"/>
          </w:tcPr>
          <w:p w14:paraId="1E6033C8" w14:textId="77777777" w:rsidR="002E5B02" w:rsidRPr="00CF1315" w:rsidRDefault="002E5B02"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6BAF3A06" w14:textId="77777777" w:rsidR="002E5B02" w:rsidRPr="00CF1315" w:rsidRDefault="002E5B02"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3C51E520" w14:textId="77777777" w:rsidR="002E5B02" w:rsidRPr="00CF1315" w:rsidRDefault="002E5B02"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2CCFDAA9" w14:textId="36D5AD0C" w:rsidR="002E5B02" w:rsidRPr="00CF1315" w:rsidRDefault="00EA230D" w:rsidP="00EA230D">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the proposed statements impose a conclusion that clinical investigations should always be performed for products without an intended medical purpose, whereas 2022/2346 does not include such an inflexible conclusion. Use of the "in general" phrase is an important distinction as there may be cases where it is possible to establish equivalence with a medical device whose clinical investigation data also addresses non-medical use.</w:t>
            </w:r>
          </w:p>
        </w:tc>
        <w:tc>
          <w:tcPr>
            <w:tcW w:w="4255" w:type="dxa"/>
            <w:shd w:val="clear" w:color="auto" w:fill="auto"/>
            <w:vAlign w:val="center"/>
          </w:tcPr>
          <w:p w14:paraId="2116E97F" w14:textId="77777777" w:rsidR="00B25D81" w:rsidRPr="00CF1315" w:rsidRDefault="00EA230D" w:rsidP="00F61BBC">
            <w:pPr>
              <w:pStyle w:val="ISOChang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 xml:space="preserve">Add ‘As in general’.  </w:t>
            </w:r>
          </w:p>
          <w:p w14:paraId="3D045DA9" w14:textId="07DC14CE" w:rsidR="002E5B02" w:rsidRPr="00CF1315" w:rsidRDefault="00EA230D" w:rsidP="00F61BBC">
            <w:pPr>
              <w:pStyle w:val="ISOChang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Regulation (EU) 2017/745 on medical devices</w:t>
            </w:r>
            <w:r w:rsidRPr="00CF1315">
              <w:rPr>
                <w:rFonts w:asciiTheme="minorHAnsi" w:hAnsiTheme="minorHAnsi" w:cstheme="minorHAnsi"/>
                <w:szCs w:val="18"/>
                <w:lang w:val="en-US"/>
              </w:rPr>
              <w:footnoteReference w:id="1"/>
            </w:r>
            <w:r w:rsidRPr="00CF1315">
              <w:rPr>
                <w:rFonts w:asciiTheme="minorHAnsi" w:hAnsiTheme="minorHAnsi" w:cstheme="minorHAnsi"/>
                <w:szCs w:val="18"/>
                <w:lang w:val="en-US"/>
              </w:rPr>
              <w:t xml:space="preserve"> (hereinafter referred to as CS): “</w:t>
            </w:r>
            <w:r w:rsidRPr="00CF1315">
              <w:rPr>
                <w:rFonts w:asciiTheme="minorHAnsi" w:hAnsiTheme="minorHAnsi" w:cstheme="minorHAnsi"/>
                <w:b/>
                <w:bCs/>
                <w:szCs w:val="18"/>
                <w:lang w:val="en-US"/>
              </w:rPr>
              <w:t>As, in general</w:t>
            </w:r>
          </w:p>
        </w:tc>
        <w:tc>
          <w:tcPr>
            <w:tcW w:w="2493" w:type="dxa"/>
            <w:shd w:val="clear" w:color="auto" w:fill="auto"/>
            <w:vAlign w:val="center"/>
          </w:tcPr>
          <w:p w14:paraId="6B89F52F" w14:textId="33EDDFD1" w:rsidR="002E5B02" w:rsidRPr="00CF1315" w:rsidRDefault="006A685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ACCEPTED</w:t>
            </w:r>
          </w:p>
        </w:tc>
      </w:tr>
      <w:tr w:rsidR="002E5B02" w:rsidRPr="00AF2103" w14:paraId="55EEDFAB" w14:textId="77777777" w:rsidTr="00925D62">
        <w:trPr>
          <w:cantSplit/>
          <w:jc w:val="center"/>
        </w:trPr>
        <w:tc>
          <w:tcPr>
            <w:tcW w:w="1067" w:type="dxa"/>
            <w:shd w:val="clear" w:color="auto" w:fill="auto"/>
            <w:vAlign w:val="center"/>
          </w:tcPr>
          <w:p w14:paraId="7ADB6383" w14:textId="287D08FE" w:rsidR="002E5B02"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MTE</w:t>
            </w:r>
          </w:p>
        </w:tc>
        <w:tc>
          <w:tcPr>
            <w:tcW w:w="714" w:type="dxa"/>
            <w:shd w:val="clear" w:color="auto" w:fill="auto"/>
            <w:vAlign w:val="center"/>
          </w:tcPr>
          <w:p w14:paraId="4D8587EF" w14:textId="74DBCEA4" w:rsidR="002E5B02" w:rsidRPr="00CF1315" w:rsidRDefault="00957AFD"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42</w:t>
            </w:r>
          </w:p>
        </w:tc>
        <w:tc>
          <w:tcPr>
            <w:tcW w:w="1120" w:type="dxa"/>
            <w:shd w:val="clear" w:color="auto" w:fill="auto"/>
            <w:vAlign w:val="center"/>
          </w:tcPr>
          <w:p w14:paraId="16BCB2AB" w14:textId="77777777" w:rsidR="002E5B02" w:rsidRPr="00CF1315" w:rsidRDefault="002E5B02"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601F119A" w14:textId="77777777" w:rsidR="002E5B02" w:rsidRPr="00CF1315" w:rsidRDefault="002E5B02"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22F325BA" w14:textId="77777777" w:rsidR="002E5B02" w:rsidRPr="00CF1315" w:rsidRDefault="002E5B02"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1651B85F" w14:textId="77777777" w:rsidR="00957AFD" w:rsidRPr="00CF1315" w:rsidRDefault="00957AFD" w:rsidP="00957AFD">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This reference to MDCG 2020-5 should include the specific statement within MDCG 2020-5 that "a manufacturer of a medical device shall not claim equivalence to a product without an intended medical purpose." This is not the same as the apparent intent of this guidance, which seems focused on clarifying that equivalence cannot be demonstrated between</w:t>
            </w:r>
          </w:p>
          <w:p w14:paraId="581AD3AD" w14:textId="77777777" w:rsidR="00957AFD" w:rsidRPr="00CF1315" w:rsidRDefault="00957AFD" w:rsidP="00957AFD">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A) a device with purely non-medical purpose and, </w:t>
            </w:r>
          </w:p>
          <w:p w14:paraId="64FB0FCF" w14:textId="3E805A1A" w:rsidR="002E5B02" w:rsidRPr="00CF1315" w:rsidRDefault="00957AFD" w:rsidP="00CF1315">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B) a device with purely medical purpose, </w:t>
            </w:r>
            <w:r w:rsidRPr="00CF1315">
              <w:rPr>
                <w:rStyle w:val="cf21"/>
                <w:rFonts w:asciiTheme="minorHAnsi" w:hAnsiTheme="minorHAnsi" w:cstheme="minorHAnsi"/>
                <w:lang w:val="en-US"/>
              </w:rPr>
              <w:t>where the only available results of clinical investigations relate to the non-medical purpose</w:t>
            </w:r>
            <w:r w:rsidRPr="00CF1315">
              <w:rPr>
                <w:rStyle w:val="cf01"/>
                <w:rFonts w:asciiTheme="minorHAnsi" w:hAnsiTheme="minorHAnsi" w:cstheme="minorHAnsi"/>
                <w:lang w:val="en-US"/>
              </w:rPr>
              <w:t xml:space="preserve">. </w:t>
            </w:r>
          </w:p>
        </w:tc>
        <w:tc>
          <w:tcPr>
            <w:tcW w:w="4255" w:type="dxa"/>
            <w:shd w:val="clear" w:color="auto" w:fill="auto"/>
            <w:vAlign w:val="center"/>
          </w:tcPr>
          <w:p w14:paraId="0E9A5DBB" w14:textId="01224FEA" w:rsidR="002E5B02" w:rsidRPr="00CF1315" w:rsidRDefault="00957AFD" w:rsidP="00F61BBC">
            <w:pPr>
              <w:pStyle w:val="ISOChange"/>
              <w:spacing w:before="60" w:after="60" w:line="240" w:lineRule="auto"/>
              <w:rPr>
                <w:rFonts w:asciiTheme="minorHAnsi" w:hAnsiTheme="minorHAnsi" w:cstheme="minorHAnsi"/>
                <w:szCs w:val="18"/>
                <w:lang w:val="en-US"/>
              </w:rPr>
            </w:pPr>
            <w:r w:rsidRPr="00CF1315">
              <w:rPr>
                <w:rStyle w:val="cf01"/>
                <w:rFonts w:asciiTheme="minorHAnsi" w:hAnsiTheme="minorHAnsi" w:cstheme="minorHAnsi"/>
                <w:lang w:val="en-US"/>
              </w:rPr>
              <w:t>Add specific state</w:t>
            </w:r>
            <w:r w:rsidR="00451A7F" w:rsidRPr="00CF1315">
              <w:rPr>
                <w:rStyle w:val="cf01"/>
                <w:rFonts w:asciiTheme="minorHAnsi" w:hAnsiTheme="minorHAnsi" w:cstheme="minorHAnsi"/>
                <w:lang w:val="en-US"/>
              </w:rPr>
              <w:t xml:space="preserve">ment in </w:t>
            </w:r>
            <w:r w:rsidRPr="00CF1315">
              <w:rPr>
                <w:rStyle w:val="cf01"/>
                <w:rFonts w:asciiTheme="minorHAnsi" w:hAnsiTheme="minorHAnsi" w:cstheme="minorHAnsi"/>
                <w:lang w:val="en-US"/>
              </w:rPr>
              <w:t>MDCG 2020-5 that "</w:t>
            </w:r>
            <w:r w:rsidRPr="00CF1315">
              <w:rPr>
                <w:rStyle w:val="cf01"/>
                <w:rFonts w:asciiTheme="minorHAnsi" w:hAnsiTheme="minorHAnsi" w:cstheme="minorHAnsi"/>
                <w:b/>
                <w:bCs/>
                <w:lang w:val="en-US"/>
              </w:rPr>
              <w:t>a manufacturer of a medical device shall not claim equivalence to a product without an intended medical purpose</w:t>
            </w:r>
          </w:p>
        </w:tc>
        <w:tc>
          <w:tcPr>
            <w:tcW w:w="2493" w:type="dxa"/>
            <w:shd w:val="clear" w:color="auto" w:fill="auto"/>
            <w:vAlign w:val="center"/>
          </w:tcPr>
          <w:p w14:paraId="56EA5EF3" w14:textId="77777777" w:rsidR="002E5B02" w:rsidRPr="00CF1315" w:rsidRDefault="006A685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530A8721" w14:textId="3718B881" w:rsidR="006A6855" w:rsidRPr="00CF1315" w:rsidRDefault="006A685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 xml:space="preserve">The proposed guidance document clarifies how to read MDCG 2023-5 (see footnote 12). </w:t>
            </w:r>
          </w:p>
        </w:tc>
      </w:tr>
      <w:tr w:rsidR="007600B1" w:rsidRPr="00AF2103" w14:paraId="3F0EF04D" w14:textId="77777777" w:rsidTr="00925D62">
        <w:trPr>
          <w:cantSplit/>
          <w:jc w:val="center"/>
        </w:trPr>
        <w:tc>
          <w:tcPr>
            <w:tcW w:w="1067" w:type="dxa"/>
            <w:shd w:val="clear" w:color="auto" w:fill="auto"/>
            <w:vAlign w:val="center"/>
          </w:tcPr>
          <w:p w14:paraId="3579544C" w14:textId="5FCEC55F" w:rsidR="007600B1"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lastRenderedPageBreak/>
              <w:t>MTE</w:t>
            </w:r>
          </w:p>
        </w:tc>
        <w:tc>
          <w:tcPr>
            <w:tcW w:w="714" w:type="dxa"/>
            <w:shd w:val="clear" w:color="auto" w:fill="auto"/>
            <w:vAlign w:val="center"/>
          </w:tcPr>
          <w:p w14:paraId="0AA3C20D" w14:textId="0C9B1452" w:rsidR="007600B1" w:rsidRPr="00CF1315" w:rsidRDefault="00536324"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47</w:t>
            </w:r>
          </w:p>
        </w:tc>
        <w:tc>
          <w:tcPr>
            <w:tcW w:w="1120" w:type="dxa"/>
            <w:shd w:val="clear" w:color="auto" w:fill="auto"/>
            <w:vAlign w:val="center"/>
          </w:tcPr>
          <w:p w14:paraId="4758296A" w14:textId="77777777" w:rsidR="007600B1" w:rsidRPr="00CF1315" w:rsidRDefault="007600B1"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1C39A64B" w14:textId="77777777" w:rsidR="007600B1" w:rsidRPr="00CF1315" w:rsidRDefault="007600B1"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6AAD5C77" w14:textId="77777777" w:rsidR="007600B1" w:rsidRPr="00CF1315" w:rsidRDefault="007600B1"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17C13D8A" w14:textId="79C5C9A0" w:rsidR="007600B1" w:rsidRPr="00CF1315" w:rsidRDefault="00536324" w:rsidP="00957AFD">
            <w:pPr>
              <w:pStyle w:val="pf0"/>
              <w:rPr>
                <w:rStyle w:val="cf01"/>
                <w:rFonts w:asciiTheme="minorHAnsi" w:hAnsiTheme="minorHAnsi" w:cstheme="minorHAnsi"/>
                <w:lang w:val="en-US"/>
              </w:rPr>
            </w:pPr>
            <w:r w:rsidRPr="00CF1315">
              <w:rPr>
                <w:rStyle w:val="cf01"/>
                <w:rFonts w:asciiTheme="minorHAnsi" w:hAnsiTheme="minorHAnsi" w:cstheme="minorHAnsi"/>
                <w:lang w:val="en-US"/>
              </w:rPr>
              <w:t>Clarify scope</w:t>
            </w:r>
          </w:p>
        </w:tc>
        <w:tc>
          <w:tcPr>
            <w:tcW w:w="4255" w:type="dxa"/>
            <w:shd w:val="clear" w:color="auto" w:fill="auto"/>
            <w:vAlign w:val="center"/>
          </w:tcPr>
          <w:p w14:paraId="4C4C0CF8" w14:textId="45E26DEB" w:rsidR="009F03E3" w:rsidRPr="00CF1315" w:rsidRDefault="009F03E3" w:rsidP="009F03E3">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Scope should be clarified to address:</w:t>
            </w:r>
          </w:p>
          <w:p w14:paraId="1C9A5A17" w14:textId="77777777" w:rsidR="009F03E3" w:rsidRPr="00CF1315" w:rsidRDefault="009F03E3" w:rsidP="009F03E3">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1) a purely non-medical purpose device is not able to demonstrate equivalence to a purely medical-purpose device</w:t>
            </w:r>
          </w:p>
          <w:p w14:paraId="687EEF95" w14:textId="77777777" w:rsidR="009F03E3" w:rsidRPr="00CF1315" w:rsidRDefault="009F03E3" w:rsidP="009F03E3">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2) a purely medical purpose device is not able to demonstrate equivalence to a purely non-medical purpose device </w:t>
            </w:r>
          </w:p>
          <w:p w14:paraId="6B6297B8" w14:textId="4F77B5A5" w:rsidR="007600B1" w:rsidRPr="00CF1315" w:rsidRDefault="009F03E3" w:rsidP="00CF1315">
            <w:pPr>
              <w:pStyle w:val="pf0"/>
              <w:rPr>
                <w:rStyle w:val="cf01"/>
                <w:rFonts w:asciiTheme="minorHAnsi" w:hAnsiTheme="minorHAnsi" w:cstheme="minorHAnsi"/>
                <w:lang w:val="en-US"/>
              </w:rPr>
            </w:pPr>
            <w:r w:rsidRPr="00CF1315">
              <w:rPr>
                <w:rStyle w:val="cf01"/>
                <w:rFonts w:asciiTheme="minorHAnsi" w:hAnsiTheme="minorHAnsi" w:cstheme="minorHAnsi"/>
                <w:lang w:val="en-US"/>
              </w:rPr>
              <w:t>3) a purely non-medical device can demonstrate equivalence to a dual-purpose device as its clinical data is required to address both the medical use AND the non-medical use.</w:t>
            </w:r>
          </w:p>
        </w:tc>
        <w:tc>
          <w:tcPr>
            <w:tcW w:w="2493" w:type="dxa"/>
            <w:shd w:val="clear" w:color="auto" w:fill="auto"/>
            <w:vAlign w:val="center"/>
          </w:tcPr>
          <w:p w14:paraId="2845AFD2" w14:textId="77777777" w:rsidR="007600B1" w:rsidRPr="00CF1315" w:rsidRDefault="006A685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40635DB6" w14:textId="7B7E6C54" w:rsidR="006A6855" w:rsidRPr="00CF1315" w:rsidRDefault="006A685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 xml:space="preserve">The scope clarifies that the guidance document applies to Annex XVI products. The </w:t>
            </w:r>
            <w:r w:rsidR="00AC1C78" w:rsidRPr="00CF1315">
              <w:rPr>
                <w:rFonts w:asciiTheme="minorHAnsi" w:hAnsiTheme="minorHAnsi" w:cstheme="minorHAnsi"/>
                <w:szCs w:val="18"/>
                <w:lang w:val="en-US"/>
              </w:rPr>
              <w:t>text provides details about equivalence between an Annex XVI product and other types of devices.</w:t>
            </w:r>
          </w:p>
        </w:tc>
      </w:tr>
      <w:tr w:rsidR="007600B1" w:rsidRPr="00AF2103" w14:paraId="25D86EB8" w14:textId="77777777" w:rsidTr="00925D62">
        <w:trPr>
          <w:cantSplit/>
          <w:jc w:val="center"/>
        </w:trPr>
        <w:tc>
          <w:tcPr>
            <w:tcW w:w="1067" w:type="dxa"/>
            <w:shd w:val="clear" w:color="auto" w:fill="auto"/>
            <w:vAlign w:val="center"/>
          </w:tcPr>
          <w:p w14:paraId="5AC3AA44" w14:textId="1A76CA32" w:rsidR="007600B1"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MTE</w:t>
            </w:r>
          </w:p>
        </w:tc>
        <w:tc>
          <w:tcPr>
            <w:tcW w:w="714" w:type="dxa"/>
            <w:shd w:val="clear" w:color="auto" w:fill="auto"/>
            <w:vAlign w:val="center"/>
          </w:tcPr>
          <w:p w14:paraId="1F67D2D7" w14:textId="7AEF9B22" w:rsidR="007600B1" w:rsidRPr="00CF1315" w:rsidRDefault="006E6924"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49-52</w:t>
            </w:r>
          </w:p>
        </w:tc>
        <w:tc>
          <w:tcPr>
            <w:tcW w:w="1120" w:type="dxa"/>
            <w:shd w:val="clear" w:color="auto" w:fill="auto"/>
            <w:vAlign w:val="center"/>
          </w:tcPr>
          <w:p w14:paraId="6D10374D" w14:textId="77777777" w:rsidR="007600B1" w:rsidRPr="00CF1315" w:rsidRDefault="007600B1"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222683D4" w14:textId="77777777" w:rsidR="007600B1" w:rsidRPr="00CF1315" w:rsidRDefault="007600B1"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3A9C236C" w14:textId="77777777" w:rsidR="007600B1" w:rsidRPr="00CF1315" w:rsidRDefault="007600B1"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1307C40C" w14:textId="77777777" w:rsidR="007600B1" w:rsidRPr="00CF1315" w:rsidRDefault="007600B1" w:rsidP="00957AFD">
            <w:pPr>
              <w:pStyle w:val="pf0"/>
              <w:rPr>
                <w:rStyle w:val="cf01"/>
                <w:rFonts w:asciiTheme="minorHAnsi" w:hAnsiTheme="minorHAnsi" w:cstheme="minorHAnsi"/>
                <w:lang w:val="en-US"/>
              </w:rPr>
            </w:pPr>
          </w:p>
        </w:tc>
        <w:tc>
          <w:tcPr>
            <w:tcW w:w="4255" w:type="dxa"/>
            <w:shd w:val="clear" w:color="auto" w:fill="auto"/>
            <w:vAlign w:val="center"/>
          </w:tcPr>
          <w:p w14:paraId="2BF8C3B9" w14:textId="776D7524" w:rsidR="007600B1" w:rsidRPr="00CF1315" w:rsidRDefault="006E6924" w:rsidP="00F61BBC">
            <w:pPr>
              <w:pStyle w:val="ISOChange"/>
              <w:spacing w:before="60" w:after="60" w:line="240" w:lineRule="auto"/>
              <w:rPr>
                <w:rStyle w:val="cf01"/>
                <w:rFonts w:asciiTheme="minorHAnsi" w:hAnsiTheme="minorHAnsi" w:cstheme="minorHAnsi"/>
                <w:lang w:val="en-US"/>
              </w:rPr>
            </w:pPr>
            <w:r w:rsidRPr="00CF1315">
              <w:rPr>
                <w:rStyle w:val="cf01"/>
                <w:rFonts w:asciiTheme="minorHAnsi" w:hAnsiTheme="minorHAnsi" w:cstheme="minorHAnsi"/>
              </w:rPr>
              <w:t xml:space="preserve">It is not clear how only clinical data from the non-medical use of a dual-purpose device can be separated from clinical data for the medical use of a </w:t>
            </w:r>
            <w:proofErr w:type="gramStart"/>
            <w:r w:rsidRPr="00CF1315">
              <w:rPr>
                <w:rStyle w:val="cf01"/>
                <w:rFonts w:asciiTheme="minorHAnsi" w:hAnsiTheme="minorHAnsi" w:cstheme="minorHAnsi"/>
              </w:rPr>
              <w:t>dual purpose</w:t>
            </w:r>
            <w:proofErr w:type="gramEnd"/>
            <w:r w:rsidRPr="00CF1315">
              <w:rPr>
                <w:rStyle w:val="cf01"/>
                <w:rFonts w:asciiTheme="minorHAnsi" w:hAnsiTheme="minorHAnsi" w:cstheme="minorHAnsi"/>
              </w:rPr>
              <w:t xml:space="preserve"> device</w:t>
            </w:r>
          </w:p>
        </w:tc>
        <w:tc>
          <w:tcPr>
            <w:tcW w:w="2493" w:type="dxa"/>
            <w:shd w:val="clear" w:color="auto" w:fill="auto"/>
            <w:vAlign w:val="center"/>
          </w:tcPr>
          <w:p w14:paraId="01794F00" w14:textId="0C089136" w:rsidR="007600B1" w:rsidRPr="00CF1315" w:rsidRDefault="00AC1C78"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The clinical date should be referred to the intended purpose. Results for the medical purpose should be different from results for the non-medical purpose.</w:t>
            </w:r>
          </w:p>
        </w:tc>
      </w:tr>
      <w:tr w:rsidR="002F08BB" w:rsidRPr="00AF2103" w14:paraId="1B1805A5" w14:textId="77777777" w:rsidTr="00925D62">
        <w:trPr>
          <w:cantSplit/>
          <w:jc w:val="center"/>
        </w:trPr>
        <w:tc>
          <w:tcPr>
            <w:tcW w:w="1067" w:type="dxa"/>
            <w:shd w:val="clear" w:color="auto" w:fill="auto"/>
            <w:vAlign w:val="center"/>
          </w:tcPr>
          <w:p w14:paraId="3A12FE93" w14:textId="5A379D3B" w:rsidR="002F08BB"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lastRenderedPageBreak/>
              <w:t>MTE</w:t>
            </w:r>
          </w:p>
        </w:tc>
        <w:tc>
          <w:tcPr>
            <w:tcW w:w="714" w:type="dxa"/>
            <w:shd w:val="clear" w:color="auto" w:fill="auto"/>
            <w:vAlign w:val="center"/>
          </w:tcPr>
          <w:p w14:paraId="05BD1A6F" w14:textId="1F6778F1" w:rsidR="002F08BB" w:rsidRPr="00CF1315" w:rsidRDefault="00B54487"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53</w:t>
            </w:r>
          </w:p>
        </w:tc>
        <w:tc>
          <w:tcPr>
            <w:tcW w:w="1120" w:type="dxa"/>
            <w:shd w:val="clear" w:color="auto" w:fill="auto"/>
            <w:vAlign w:val="center"/>
          </w:tcPr>
          <w:p w14:paraId="42ABBD4F" w14:textId="4A100F65" w:rsidR="002F08BB" w:rsidRPr="00CF1315" w:rsidRDefault="00E240D2"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General</w:t>
            </w:r>
          </w:p>
        </w:tc>
        <w:tc>
          <w:tcPr>
            <w:tcW w:w="1134" w:type="dxa"/>
            <w:shd w:val="clear" w:color="auto" w:fill="auto"/>
            <w:vAlign w:val="center"/>
          </w:tcPr>
          <w:p w14:paraId="518A6740" w14:textId="77777777" w:rsidR="002F08BB" w:rsidRPr="00CF1315" w:rsidRDefault="002F08BB"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45A7DD23" w14:textId="77777777" w:rsidR="002F08BB" w:rsidRPr="00CF1315" w:rsidRDefault="002F08BB"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53DB6E37" w14:textId="77777777" w:rsidR="002F08BB" w:rsidRPr="00CF1315" w:rsidRDefault="002F08BB" w:rsidP="00957AFD">
            <w:pPr>
              <w:pStyle w:val="pf0"/>
              <w:rPr>
                <w:rStyle w:val="cf01"/>
                <w:rFonts w:asciiTheme="minorHAnsi" w:hAnsiTheme="minorHAnsi" w:cstheme="minorHAnsi"/>
                <w:lang w:val="en-US"/>
              </w:rPr>
            </w:pPr>
          </w:p>
        </w:tc>
        <w:tc>
          <w:tcPr>
            <w:tcW w:w="4255" w:type="dxa"/>
            <w:shd w:val="clear" w:color="auto" w:fill="auto"/>
            <w:vAlign w:val="center"/>
          </w:tcPr>
          <w:p w14:paraId="45348125" w14:textId="77777777" w:rsidR="00BB072F" w:rsidRPr="00CF1315" w:rsidRDefault="00BB072F" w:rsidP="00BB072F">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A fourth subsection, 3.4, should be added to address demonstration of equivalence between one dual-purpose device and another dual-purpose device. This subsection should provide guidance that equivalence should be demonstrated for both the medical and non-medical uses of the existing dual-purpose device. </w:t>
            </w:r>
          </w:p>
          <w:p w14:paraId="24202067" w14:textId="7044E1A0" w:rsidR="002F08BB" w:rsidRPr="00CF1315" w:rsidRDefault="00BB072F" w:rsidP="00CF1315">
            <w:pPr>
              <w:pStyle w:val="pf0"/>
              <w:rPr>
                <w:rStyle w:val="cf01"/>
                <w:rFonts w:asciiTheme="minorHAnsi" w:hAnsiTheme="minorHAnsi" w:cstheme="minorHAnsi"/>
                <w:lang w:val="en-US"/>
              </w:rPr>
            </w:pPr>
            <w:r w:rsidRPr="00CF1315">
              <w:rPr>
                <w:rStyle w:val="cf01"/>
                <w:rFonts w:asciiTheme="minorHAnsi" w:hAnsiTheme="minorHAnsi" w:cstheme="minorHAnsi"/>
                <w:lang w:val="en-US"/>
              </w:rPr>
              <w:t xml:space="preserve">It should also allow the possibility to demonstrate equivalence of a new dual-purpose with </w:t>
            </w:r>
            <w:proofErr w:type="gramStart"/>
            <w:r w:rsidRPr="00CF1315">
              <w:rPr>
                <w:rStyle w:val="cf01"/>
                <w:rFonts w:asciiTheme="minorHAnsi" w:hAnsiTheme="minorHAnsi" w:cstheme="minorHAnsi"/>
                <w:lang w:val="en-US"/>
              </w:rPr>
              <w:t>a two products</w:t>
            </w:r>
            <w:proofErr w:type="gramEnd"/>
            <w:r w:rsidRPr="00CF1315">
              <w:rPr>
                <w:rStyle w:val="cf01"/>
                <w:rFonts w:asciiTheme="minorHAnsi" w:hAnsiTheme="minorHAnsi" w:cstheme="minorHAnsi"/>
                <w:lang w:val="en-US"/>
              </w:rPr>
              <w:t xml:space="preserve">: 1) A device that has only a purely medical purpose, and </w:t>
            </w:r>
            <w:r w:rsidR="00FD7BFF" w:rsidRPr="00CF1315">
              <w:rPr>
                <w:rStyle w:val="cf01"/>
                <w:rFonts w:asciiTheme="minorHAnsi" w:hAnsiTheme="minorHAnsi" w:cstheme="minorHAnsi"/>
                <w:lang w:val="en-US"/>
              </w:rPr>
              <w:t>2) a product that has only a purely non-medical purpose. An example would be demonstrating equivalence of a new breast implant to be indicated for both a medical purpose (breast reconstruction), and a non-medical purpose (breast augmentation) with Breast Implant #1, which is only indicated for breast reconstruction AND Breast Implant #2, which is only indicated for breast augmentation.</w:t>
            </w:r>
          </w:p>
        </w:tc>
        <w:tc>
          <w:tcPr>
            <w:tcW w:w="2493" w:type="dxa"/>
            <w:shd w:val="clear" w:color="auto" w:fill="auto"/>
            <w:vAlign w:val="center"/>
          </w:tcPr>
          <w:p w14:paraId="6E4D9C73" w14:textId="77777777" w:rsidR="002F08BB" w:rsidRPr="00CF1315" w:rsidRDefault="00AC1C78"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7F87E2E2" w14:textId="760C465F" w:rsidR="00AC1C78" w:rsidRPr="00CF1315" w:rsidRDefault="00AC1C78"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 xml:space="preserve">The guidance documents </w:t>
            </w:r>
            <w:proofErr w:type="gramStart"/>
            <w:r w:rsidRPr="00CF1315">
              <w:rPr>
                <w:rFonts w:asciiTheme="minorHAnsi" w:hAnsiTheme="minorHAnsi" w:cstheme="minorHAnsi"/>
                <w:szCs w:val="18"/>
                <w:lang w:val="en-US"/>
              </w:rPr>
              <w:t>covers</w:t>
            </w:r>
            <w:proofErr w:type="gramEnd"/>
            <w:r w:rsidRPr="00CF1315">
              <w:rPr>
                <w:rFonts w:asciiTheme="minorHAnsi" w:hAnsiTheme="minorHAnsi" w:cstheme="minorHAnsi"/>
                <w:szCs w:val="18"/>
                <w:lang w:val="en-US"/>
              </w:rPr>
              <w:t xml:space="preserve"> equivalence between an Annex XVI product and anther device.</w:t>
            </w:r>
          </w:p>
        </w:tc>
      </w:tr>
      <w:tr w:rsidR="009E1EBF" w:rsidRPr="00AF2103" w14:paraId="3BE5900E" w14:textId="77777777" w:rsidTr="00925D62">
        <w:trPr>
          <w:cantSplit/>
          <w:jc w:val="center"/>
        </w:trPr>
        <w:tc>
          <w:tcPr>
            <w:tcW w:w="1067" w:type="dxa"/>
            <w:shd w:val="clear" w:color="auto" w:fill="auto"/>
            <w:vAlign w:val="center"/>
          </w:tcPr>
          <w:p w14:paraId="070F2F04" w14:textId="2297BBB3" w:rsidR="009E1EBF"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MTE</w:t>
            </w:r>
          </w:p>
        </w:tc>
        <w:tc>
          <w:tcPr>
            <w:tcW w:w="714" w:type="dxa"/>
            <w:shd w:val="clear" w:color="auto" w:fill="auto"/>
            <w:vAlign w:val="center"/>
          </w:tcPr>
          <w:p w14:paraId="6C8B676B" w14:textId="2DB05D13" w:rsidR="009E1EBF" w:rsidRPr="00CF1315" w:rsidRDefault="007D7531"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68</w:t>
            </w:r>
          </w:p>
        </w:tc>
        <w:tc>
          <w:tcPr>
            <w:tcW w:w="1120" w:type="dxa"/>
            <w:shd w:val="clear" w:color="auto" w:fill="auto"/>
            <w:vAlign w:val="center"/>
          </w:tcPr>
          <w:p w14:paraId="3B0B7233" w14:textId="77777777" w:rsidR="009E1EBF" w:rsidRPr="00CF1315" w:rsidRDefault="009E1EBF"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4128F1F5" w14:textId="77777777" w:rsidR="009E1EBF" w:rsidRPr="00CF1315" w:rsidRDefault="009E1EBF"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5AD71F44" w14:textId="77777777" w:rsidR="009E1EBF" w:rsidRPr="00CF1315" w:rsidRDefault="009E1EBF"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574CA773" w14:textId="77777777" w:rsidR="0016701D" w:rsidRPr="00CF1315" w:rsidRDefault="0016701D" w:rsidP="0016701D">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This premise is </w:t>
            </w:r>
            <w:proofErr w:type="gramStart"/>
            <w:r w:rsidRPr="00CF1315">
              <w:rPr>
                <w:rStyle w:val="cf01"/>
                <w:rFonts w:asciiTheme="minorHAnsi" w:hAnsiTheme="minorHAnsi" w:cstheme="minorHAnsi"/>
                <w:lang w:val="en-US"/>
              </w:rPr>
              <w:t>overly-restrictive</w:t>
            </w:r>
            <w:proofErr w:type="gramEnd"/>
            <w:r w:rsidRPr="00CF1315">
              <w:rPr>
                <w:rStyle w:val="cf01"/>
                <w:rFonts w:asciiTheme="minorHAnsi" w:hAnsiTheme="minorHAnsi" w:cstheme="minorHAnsi"/>
                <w:lang w:val="en-US"/>
              </w:rPr>
              <w:t xml:space="preserve"> and rules out demonstration of equivalence based on clinical criteria listed in the preceding table. </w:t>
            </w:r>
          </w:p>
          <w:p w14:paraId="09D756B0" w14:textId="64D4AD25" w:rsidR="009E1EBF" w:rsidRPr="00CF1315" w:rsidRDefault="0016701D" w:rsidP="00CF1315">
            <w:pPr>
              <w:pStyle w:val="pf0"/>
              <w:rPr>
                <w:rStyle w:val="cf01"/>
                <w:rFonts w:asciiTheme="minorHAnsi" w:hAnsiTheme="minorHAnsi" w:cstheme="minorHAnsi"/>
                <w:lang w:val="en-US"/>
              </w:rPr>
            </w:pPr>
            <w:r w:rsidRPr="00CF1315">
              <w:rPr>
                <w:rStyle w:val="cf01"/>
                <w:rFonts w:asciiTheme="minorHAnsi" w:hAnsiTheme="minorHAnsi" w:cstheme="minorHAnsi"/>
                <w:lang w:val="en-US"/>
              </w:rPr>
              <w:t xml:space="preserve">It is recognized that a product without medical purpose cannot be demonstrated to address the same characteristic of similar severity and stage of disease to a medical device, it is still possible to demonstrate equivalence to other clinical criteria such as "same purpose, "same site in the body" </w:t>
            </w:r>
            <w:proofErr w:type="gramStart"/>
            <w:r w:rsidRPr="00CF1315">
              <w:rPr>
                <w:rStyle w:val="cf01"/>
                <w:rFonts w:asciiTheme="minorHAnsi" w:hAnsiTheme="minorHAnsi" w:cstheme="minorHAnsi"/>
                <w:lang w:val="en-US"/>
              </w:rPr>
              <w:t>etc..</w:t>
            </w:r>
            <w:proofErr w:type="gramEnd"/>
            <w:r w:rsidRPr="00CF1315">
              <w:rPr>
                <w:rStyle w:val="cf01"/>
                <w:rFonts w:asciiTheme="minorHAnsi" w:hAnsiTheme="minorHAnsi" w:cstheme="minorHAnsi"/>
                <w:lang w:val="en-US"/>
              </w:rPr>
              <w:t xml:space="preserve"> Further, demonstration of equivalence to criteria such as "similar severity and stage of disease" is not required for products without a medical purpose due to their very nature.</w:t>
            </w:r>
          </w:p>
        </w:tc>
        <w:tc>
          <w:tcPr>
            <w:tcW w:w="4255" w:type="dxa"/>
            <w:shd w:val="clear" w:color="auto" w:fill="auto"/>
            <w:vAlign w:val="center"/>
          </w:tcPr>
          <w:p w14:paraId="5C2703C7" w14:textId="77777777" w:rsidR="00C43ADB" w:rsidRPr="00CF1315" w:rsidRDefault="007D7531" w:rsidP="00C43ADB">
            <w:pPr>
              <w:rPr>
                <w:rStyle w:val="cf01"/>
                <w:rFonts w:asciiTheme="minorHAnsi" w:eastAsia="Times New Roman" w:hAnsiTheme="minorHAnsi" w:cstheme="minorHAnsi"/>
                <w:lang w:eastAsia="nl-BE"/>
              </w:rPr>
            </w:pPr>
            <w:r w:rsidRPr="00CF1315">
              <w:rPr>
                <w:rStyle w:val="cf01"/>
                <w:rFonts w:asciiTheme="minorHAnsi" w:hAnsiTheme="minorHAnsi" w:cstheme="minorHAnsi"/>
              </w:rPr>
              <w:t xml:space="preserve">Please add </w:t>
            </w:r>
            <w:r w:rsidR="00C43ADB" w:rsidRPr="00CF1315">
              <w:rPr>
                <w:rStyle w:val="cf01"/>
                <w:rFonts w:asciiTheme="minorHAnsi" w:hAnsiTheme="minorHAnsi" w:cstheme="minorHAnsi"/>
                <w:b/>
                <w:bCs/>
              </w:rPr>
              <w:t>1.</w:t>
            </w:r>
            <w:r w:rsidR="00C43ADB" w:rsidRPr="00CF1315">
              <w:rPr>
                <w:rStyle w:val="cf01"/>
                <w:rFonts w:asciiTheme="minorHAnsi" w:eastAsia="Times New Roman" w:hAnsiTheme="minorHAnsi" w:cstheme="minorHAnsi"/>
                <w:b/>
                <w:bCs/>
                <w:lang w:eastAsia="nl-BE"/>
              </w:rPr>
              <w:t>A comparison IS possible between a product without an intended medical purpose and an existing medical device when equivalence of the relevant clinical characteristics in the preceding table is demonstrated.</w:t>
            </w:r>
            <w:r w:rsidR="00C43ADB" w:rsidRPr="00CF1315">
              <w:rPr>
                <w:rStyle w:val="cf01"/>
                <w:rFonts w:asciiTheme="minorHAnsi" w:eastAsia="Times New Roman" w:hAnsiTheme="minorHAnsi" w:cstheme="minorHAnsi"/>
                <w:lang w:eastAsia="nl-BE"/>
              </w:rPr>
              <w:t xml:space="preserve">  </w:t>
            </w:r>
          </w:p>
          <w:p w14:paraId="3D1E0541" w14:textId="659E3271" w:rsidR="00C43ADB" w:rsidRPr="00CF1315" w:rsidRDefault="00C43ADB" w:rsidP="00C43ADB">
            <w:pPr>
              <w:rPr>
                <w:rStyle w:val="cf01"/>
                <w:rFonts w:asciiTheme="minorHAnsi" w:eastAsia="Times New Roman" w:hAnsiTheme="minorHAnsi" w:cstheme="minorHAnsi"/>
                <w:lang w:eastAsia="nl-BE"/>
              </w:rPr>
            </w:pPr>
            <w:r w:rsidRPr="00CF1315">
              <w:rPr>
                <w:rStyle w:val="cf01"/>
                <w:rFonts w:asciiTheme="minorHAnsi" w:eastAsia="Times New Roman" w:hAnsiTheme="minorHAnsi" w:cstheme="minorHAnsi"/>
                <w:lang w:eastAsia="nl-BE"/>
              </w:rPr>
              <w:t xml:space="preserve">2.   </w:t>
            </w:r>
            <w:r w:rsidR="006C5BBC" w:rsidRPr="00CF1315">
              <w:rPr>
                <w:rStyle w:val="cf01"/>
                <w:rFonts w:asciiTheme="minorHAnsi" w:eastAsia="Times New Roman" w:hAnsiTheme="minorHAnsi" w:cstheme="minorHAnsi"/>
                <w:lang w:eastAsia="nl-BE"/>
              </w:rPr>
              <w:t xml:space="preserve">A comparison is not </w:t>
            </w:r>
            <w:proofErr w:type="gramStart"/>
            <w:r w:rsidR="006C5BBC" w:rsidRPr="00CF1315">
              <w:rPr>
                <w:rStyle w:val="cf01"/>
                <w:rFonts w:asciiTheme="minorHAnsi" w:eastAsia="Times New Roman" w:hAnsiTheme="minorHAnsi" w:cstheme="minorHAnsi"/>
                <w:lang w:eastAsia="nl-BE"/>
              </w:rPr>
              <w:t>possible..</w:t>
            </w:r>
            <w:proofErr w:type="gramEnd"/>
          </w:p>
          <w:p w14:paraId="25254F64" w14:textId="43BC5412" w:rsidR="009E1EBF" w:rsidRPr="00CF1315" w:rsidRDefault="009E1EBF" w:rsidP="00BB072F">
            <w:pPr>
              <w:pStyle w:val="pf0"/>
              <w:rPr>
                <w:rStyle w:val="cf01"/>
                <w:rFonts w:asciiTheme="minorHAnsi" w:hAnsiTheme="minorHAnsi" w:cstheme="minorHAnsi"/>
                <w:lang w:val="en-GB"/>
              </w:rPr>
            </w:pPr>
          </w:p>
        </w:tc>
        <w:tc>
          <w:tcPr>
            <w:tcW w:w="2493" w:type="dxa"/>
            <w:shd w:val="clear" w:color="auto" w:fill="auto"/>
            <w:vAlign w:val="center"/>
          </w:tcPr>
          <w:p w14:paraId="7B78B709" w14:textId="77777777" w:rsidR="009E1EBF" w:rsidRPr="00CF1315" w:rsidRDefault="00AC1C78"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236384AC" w14:textId="7708B8F2" w:rsidR="00AC1C78" w:rsidRPr="00CF1315" w:rsidRDefault="00AC1C78"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 xml:space="preserve">Equivalence described in section 3.2 cannot be demonstrated because certain clinical characteristics of one device are not available for the other one. In such cases, the ‘not applicable’ option cannot be used because </w:t>
            </w:r>
            <w:r w:rsidR="00F163E5" w:rsidRPr="00CF1315">
              <w:rPr>
                <w:rFonts w:asciiTheme="minorHAnsi" w:hAnsiTheme="minorHAnsi" w:cstheme="minorHAnsi"/>
                <w:szCs w:val="18"/>
                <w:lang w:val="en-US"/>
              </w:rPr>
              <w:t>one device has a characteristic while the other does not.</w:t>
            </w:r>
          </w:p>
        </w:tc>
      </w:tr>
      <w:tr w:rsidR="006023AA" w:rsidRPr="00AF2103" w14:paraId="527756FA" w14:textId="77777777" w:rsidTr="00925D62">
        <w:trPr>
          <w:cantSplit/>
          <w:jc w:val="center"/>
        </w:trPr>
        <w:tc>
          <w:tcPr>
            <w:tcW w:w="1067" w:type="dxa"/>
            <w:shd w:val="clear" w:color="auto" w:fill="auto"/>
            <w:vAlign w:val="center"/>
          </w:tcPr>
          <w:p w14:paraId="3FF50705" w14:textId="77777777" w:rsidR="006023AA" w:rsidRPr="00CF1315" w:rsidRDefault="006023AA" w:rsidP="00115D6D">
            <w:pPr>
              <w:pStyle w:val="ISOMB"/>
              <w:spacing w:before="60" w:after="60" w:line="240" w:lineRule="auto"/>
              <w:rPr>
                <w:rFonts w:asciiTheme="minorHAnsi" w:hAnsiTheme="minorHAnsi" w:cstheme="minorHAnsi"/>
                <w:szCs w:val="18"/>
                <w:lang w:val="en-US"/>
              </w:rPr>
            </w:pPr>
            <w:proofErr w:type="spellStart"/>
            <w:r w:rsidRPr="00CF1315">
              <w:rPr>
                <w:rFonts w:asciiTheme="minorHAnsi" w:hAnsiTheme="minorHAnsi" w:cstheme="minorHAnsi"/>
                <w:szCs w:val="18"/>
                <w:lang w:val="en-US"/>
              </w:rPr>
              <w:lastRenderedPageBreak/>
              <w:t>Eurom</w:t>
            </w:r>
            <w:proofErr w:type="spellEnd"/>
          </w:p>
          <w:p w14:paraId="361B2D0C" w14:textId="77777777" w:rsidR="006023AA" w:rsidRPr="00CF1315" w:rsidRDefault="006023AA" w:rsidP="00115D6D">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Contact</w:t>
            </w:r>
          </w:p>
        </w:tc>
        <w:tc>
          <w:tcPr>
            <w:tcW w:w="714" w:type="dxa"/>
            <w:shd w:val="clear" w:color="auto" w:fill="auto"/>
            <w:vAlign w:val="center"/>
          </w:tcPr>
          <w:p w14:paraId="4B9C0438" w14:textId="77777777" w:rsidR="006023AA" w:rsidRPr="00CF1315" w:rsidRDefault="006023AA" w:rsidP="00115D6D">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73-81</w:t>
            </w:r>
          </w:p>
        </w:tc>
        <w:tc>
          <w:tcPr>
            <w:tcW w:w="1120" w:type="dxa"/>
            <w:shd w:val="clear" w:color="auto" w:fill="auto"/>
            <w:vAlign w:val="center"/>
          </w:tcPr>
          <w:p w14:paraId="3B5AB089" w14:textId="77777777" w:rsidR="006023AA" w:rsidRPr="00CF1315" w:rsidRDefault="006023AA" w:rsidP="00115D6D">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21334998" w14:textId="77777777" w:rsidR="006023AA" w:rsidRPr="00CF1315" w:rsidRDefault="006023AA" w:rsidP="00115D6D">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479B0D2E" w14:textId="77777777" w:rsidR="006023AA" w:rsidRPr="00CF1315" w:rsidRDefault="006023AA" w:rsidP="00115D6D">
            <w:pPr>
              <w:pStyle w:val="ISOCommType"/>
              <w:spacing w:before="60" w:after="60" w:line="240" w:lineRule="auto"/>
              <w:rPr>
                <w:rFonts w:asciiTheme="minorHAnsi" w:hAnsiTheme="minorHAnsi" w:cstheme="minorHAnsi"/>
                <w:szCs w:val="18"/>
                <w:lang w:val="en-US"/>
              </w:rPr>
            </w:pPr>
            <w:proofErr w:type="spellStart"/>
            <w:r w:rsidRPr="00CF1315">
              <w:rPr>
                <w:rFonts w:asciiTheme="minorHAnsi" w:hAnsiTheme="minorHAnsi" w:cstheme="minorHAnsi"/>
                <w:szCs w:val="18"/>
                <w:lang w:val="en-US"/>
              </w:rPr>
              <w:t>te</w:t>
            </w:r>
            <w:proofErr w:type="spellEnd"/>
          </w:p>
        </w:tc>
        <w:tc>
          <w:tcPr>
            <w:tcW w:w="4115" w:type="dxa"/>
            <w:shd w:val="clear" w:color="auto" w:fill="auto"/>
            <w:vAlign w:val="center"/>
          </w:tcPr>
          <w:p w14:paraId="22558A0F" w14:textId="77777777" w:rsidR="006023AA" w:rsidRPr="00CF1315" w:rsidRDefault="006023AA" w:rsidP="00115D6D">
            <w:pPr>
              <w:pStyle w:val="ISOComments"/>
              <w:spacing w:before="60" w:after="60"/>
              <w:rPr>
                <w:rFonts w:asciiTheme="minorHAnsi" w:hAnsiTheme="minorHAnsi" w:cstheme="minorHAnsi"/>
                <w:szCs w:val="18"/>
                <w:lang w:val="en-US"/>
              </w:rPr>
            </w:pPr>
            <w:r w:rsidRPr="00CF1315">
              <w:rPr>
                <w:rFonts w:asciiTheme="minorHAnsi" w:hAnsiTheme="minorHAnsi" w:cstheme="minorHAnsi"/>
                <w:szCs w:val="18"/>
                <w:lang w:val="en-US"/>
              </w:rPr>
              <w:t>Two scenarios be addressed in Section 3.3.:</w:t>
            </w:r>
          </w:p>
          <w:p w14:paraId="469E2DF3" w14:textId="77777777" w:rsidR="006023AA" w:rsidRPr="00CF1315" w:rsidRDefault="006023AA" w:rsidP="00115D6D">
            <w:pPr>
              <w:pStyle w:val="ISOComments"/>
              <w:spacing w:before="60" w:after="60"/>
              <w:rPr>
                <w:rFonts w:asciiTheme="minorHAnsi" w:hAnsiTheme="minorHAnsi" w:cstheme="minorHAnsi"/>
                <w:szCs w:val="18"/>
                <w:lang w:val="en-US"/>
              </w:rPr>
            </w:pPr>
            <w:r w:rsidRPr="00CF1315">
              <w:rPr>
                <w:rFonts w:asciiTheme="minorHAnsi" w:hAnsiTheme="minorHAnsi" w:cstheme="minorHAnsi"/>
                <w:szCs w:val="18"/>
                <w:lang w:val="en-US"/>
              </w:rPr>
              <w:t>1) Establishing equivalence of a non-medical purpose device with a dual-purpose device. What would be the relevant factors where equivalence can be established (design, materials, dimensions, materials, Clinical Performance data)?</w:t>
            </w:r>
          </w:p>
          <w:p w14:paraId="3D55AE93" w14:textId="77777777" w:rsidR="006023AA" w:rsidRPr="00CF1315" w:rsidRDefault="006023AA" w:rsidP="00115D6D">
            <w:pPr>
              <w:pStyle w:val="ISOComments"/>
              <w:spacing w:before="60" w:after="60"/>
              <w:rPr>
                <w:rFonts w:asciiTheme="minorHAnsi" w:hAnsiTheme="minorHAnsi" w:cstheme="minorHAnsi"/>
                <w:szCs w:val="18"/>
                <w:lang w:val="en-US"/>
              </w:rPr>
            </w:pPr>
            <w:r w:rsidRPr="00CF1315">
              <w:rPr>
                <w:rFonts w:asciiTheme="minorHAnsi" w:hAnsiTheme="minorHAnsi" w:cstheme="minorHAnsi"/>
                <w:szCs w:val="18"/>
                <w:lang w:val="en-US"/>
              </w:rPr>
              <w:t xml:space="preserve">2) Establishing equivalence of a dual-purpose device to another dual-purpose device. </w:t>
            </w:r>
          </w:p>
          <w:p w14:paraId="1B171B71" w14:textId="77777777" w:rsidR="006023AA" w:rsidRPr="00CF1315" w:rsidRDefault="006023AA" w:rsidP="00115D6D">
            <w:pPr>
              <w:pStyle w:val="ISOComments"/>
              <w:spacing w:before="60" w:after="60"/>
              <w:rPr>
                <w:rFonts w:asciiTheme="minorHAnsi" w:hAnsiTheme="minorHAnsi" w:cstheme="minorHAnsi"/>
                <w:szCs w:val="18"/>
                <w:lang w:val="en-US"/>
              </w:rPr>
            </w:pPr>
            <w:r w:rsidRPr="00CF1315">
              <w:rPr>
                <w:rFonts w:asciiTheme="minorHAnsi" w:hAnsiTheme="minorHAnsi" w:cstheme="minorHAnsi"/>
                <w:szCs w:val="18"/>
                <w:lang w:val="en-US"/>
              </w:rPr>
              <w:t>Does it mean that only the factors of design, materials, dimensions, materials, Clinical Performance data from the medical purpose (</w:t>
            </w:r>
            <w:proofErr w:type="spellStart"/>
            <w:r w:rsidRPr="00CF1315">
              <w:rPr>
                <w:rFonts w:asciiTheme="minorHAnsi" w:hAnsiTheme="minorHAnsi" w:cstheme="minorHAnsi"/>
                <w:szCs w:val="18"/>
                <w:lang w:val="en-US"/>
              </w:rPr>
              <w:t>e.g</w:t>
            </w:r>
            <w:proofErr w:type="spellEnd"/>
            <w:r w:rsidRPr="00CF1315">
              <w:rPr>
                <w:rFonts w:asciiTheme="minorHAnsi" w:hAnsiTheme="minorHAnsi" w:cstheme="minorHAnsi"/>
                <w:szCs w:val="18"/>
                <w:lang w:val="en-US"/>
              </w:rPr>
              <w:t xml:space="preserve"> corrective contact lenses ) can be applied to equivalence of the new dual purpose device, AND that clinical investigation data is needed to gain approval and support claims for the non-medical purpose of the dual -purpose device (e.g., non-corrective contact lenses)?</w:t>
            </w:r>
          </w:p>
        </w:tc>
        <w:tc>
          <w:tcPr>
            <w:tcW w:w="4255" w:type="dxa"/>
            <w:shd w:val="clear" w:color="auto" w:fill="auto"/>
            <w:vAlign w:val="center"/>
          </w:tcPr>
          <w:p w14:paraId="60846FF4" w14:textId="77777777" w:rsidR="006023AA" w:rsidRPr="00CF1315" w:rsidRDefault="006023AA" w:rsidP="00115D6D">
            <w:pPr>
              <w:pStyle w:val="pf0"/>
              <w:rPr>
                <w:rFonts w:asciiTheme="minorHAnsi" w:hAnsiTheme="minorHAnsi" w:cstheme="minorHAnsi"/>
                <w:sz w:val="18"/>
                <w:szCs w:val="18"/>
                <w:lang w:val="en-US"/>
              </w:rPr>
            </w:pPr>
          </w:p>
        </w:tc>
        <w:tc>
          <w:tcPr>
            <w:tcW w:w="2493" w:type="dxa"/>
            <w:shd w:val="clear" w:color="auto" w:fill="auto"/>
            <w:vAlign w:val="center"/>
          </w:tcPr>
          <w:p w14:paraId="53C7BC6E" w14:textId="77777777" w:rsidR="006023AA" w:rsidRPr="00CF1315" w:rsidRDefault="006023AA" w:rsidP="00115D6D">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3094AB2B" w14:textId="77777777" w:rsidR="006023AA" w:rsidRPr="00CF1315" w:rsidRDefault="006023AA" w:rsidP="00115D6D">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Scenario 2 is not covered by the guidance document, which remains focused on Annex XVI products.</w:t>
            </w:r>
          </w:p>
        </w:tc>
      </w:tr>
      <w:tr w:rsidR="0016701D" w:rsidRPr="00AF2103" w14:paraId="1F57BF77" w14:textId="77777777" w:rsidTr="00925D62">
        <w:trPr>
          <w:cantSplit/>
          <w:jc w:val="center"/>
        </w:trPr>
        <w:tc>
          <w:tcPr>
            <w:tcW w:w="1067" w:type="dxa"/>
            <w:shd w:val="clear" w:color="auto" w:fill="auto"/>
            <w:vAlign w:val="center"/>
          </w:tcPr>
          <w:p w14:paraId="484D4E36" w14:textId="32087EA5" w:rsidR="0016701D"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MTE</w:t>
            </w:r>
          </w:p>
        </w:tc>
        <w:tc>
          <w:tcPr>
            <w:tcW w:w="714" w:type="dxa"/>
            <w:shd w:val="clear" w:color="auto" w:fill="auto"/>
            <w:vAlign w:val="center"/>
          </w:tcPr>
          <w:p w14:paraId="58BE4415" w14:textId="7AE0DA16" w:rsidR="0016701D" w:rsidRPr="00CF1315" w:rsidRDefault="00EF5C36"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75</w:t>
            </w:r>
            <w:r w:rsidR="00504DF4" w:rsidRPr="00CF1315">
              <w:rPr>
                <w:rFonts w:asciiTheme="minorHAnsi" w:hAnsiTheme="minorHAnsi" w:cstheme="minorHAnsi"/>
                <w:szCs w:val="18"/>
                <w:lang w:val="en-US"/>
              </w:rPr>
              <w:t>-77</w:t>
            </w:r>
          </w:p>
        </w:tc>
        <w:tc>
          <w:tcPr>
            <w:tcW w:w="1120" w:type="dxa"/>
            <w:shd w:val="clear" w:color="auto" w:fill="auto"/>
            <w:vAlign w:val="center"/>
          </w:tcPr>
          <w:p w14:paraId="1646CB00" w14:textId="77777777" w:rsidR="0016701D" w:rsidRPr="00CF1315" w:rsidRDefault="0016701D"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34E66BA9" w14:textId="77777777" w:rsidR="0016701D" w:rsidRPr="00CF1315" w:rsidRDefault="0016701D"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06BCEFC4" w14:textId="77777777" w:rsidR="0016701D" w:rsidRPr="00CF1315" w:rsidRDefault="0016701D"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747EB3A0" w14:textId="37A234AF" w:rsidR="00504DF4" w:rsidRPr="00CF1315" w:rsidRDefault="00504DF4" w:rsidP="00504DF4">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This statement is contrary to the statement in Section 4(f) of MDCG 2020-5, which states that "In case of products without an intended medical purpose … clinical investigations shall be performed for those products </w:t>
            </w:r>
            <w:r w:rsidRPr="00CF1315">
              <w:rPr>
                <w:rStyle w:val="cf11"/>
                <w:rFonts w:asciiTheme="minorHAnsi" w:hAnsiTheme="minorHAnsi" w:cstheme="minorHAnsi"/>
                <w:lang w:val="en-US"/>
              </w:rPr>
              <w:t>unless reliance on existing clinical data from an analogous medical device is duly justified.</w:t>
            </w:r>
          </w:p>
          <w:p w14:paraId="1946DC9D" w14:textId="1BEC1B35" w:rsidR="0016701D" w:rsidRPr="00CF1315" w:rsidRDefault="00504DF4" w:rsidP="00CF1315">
            <w:pPr>
              <w:pStyle w:val="pf0"/>
              <w:rPr>
                <w:rStyle w:val="cf01"/>
                <w:rFonts w:asciiTheme="minorHAnsi" w:hAnsiTheme="minorHAnsi" w:cstheme="minorHAnsi"/>
                <w:lang w:val="en-US"/>
              </w:rPr>
            </w:pPr>
            <w:r w:rsidRPr="00CF1315">
              <w:rPr>
                <w:rStyle w:val="cf01"/>
                <w:rFonts w:asciiTheme="minorHAnsi" w:hAnsiTheme="minorHAnsi" w:cstheme="minorHAnsi"/>
                <w:lang w:val="en-US"/>
              </w:rPr>
              <w:t>While it's understood that MDCG 2020-5 was issued prior to Implementing Regulation (EU) 2022/2346, the proposed conclusion in this draft guidance imposes a more onerous restriction regarding demonstration of equivalence to medical devices.</w:t>
            </w:r>
          </w:p>
        </w:tc>
        <w:tc>
          <w:tcPr>
            <w:tcW w:w="4255" w:type="dxa"/>
            <w:shd w:val="clear" w:color="auto" w:fill="auto"/>
            <w:vAlign w:val="center"/>
          </w:tcPr>
          <w:p w14:paraId="4E8A4588" w14:textId="1670A5BB" w:rsidR="0016701D" w:rsidRPr="00CF1315" w:rsidRDefault="00504DF4" w:rsidP="00504DF4">
            <w:pPr>
              <w:pStyle w:val="pf0"/>
              <w:rPr>
                <w:rStyle w:val="cf01"/>
                <w:rFonts w:asciiTheme="minorHAnsi" w:hAnsiTheme="minorHAnsi" w:cstheme="minorHAnsi"/>
              </w:rPr>
            </w:pPr>
            <w:r w:rsidRPr="00CF1315">
              <w:rPr>
                <w:rStyle w:val="cf01"/>
                <w:rFonts w:asciiTheme="minorHAnsi" w:hAnsiTheme="minorHAnsi" w:cstheme="minorHAnsi"/>
                <w:lang w:val="en-US"/>
              </w:rPr>
              <w:t xml:space="preserve">Alignment with MDCG 2020-5 </w:t>
            </w:r>
          </w:p>
        </w:tc>
        <w:tc>
          <w:tcPr>
            <w:tcW w:w="2493" w:type="dxa"/>
            <w:shd w:val="clear" w:color="auto" w:fill="auto"/>
            <w:vAlign w:val="center"/>
          </w:tcPr>
          <w:p w14:paraId="32F30872" w14:textId="77777777" w:rsidR="0016701D" w:rsidRPr="00CF1315" w:rsidRDefault="00F163E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299A4BB9" w14:textId="754387B7" w:rsidR="00F163E5" w:rsidRPr="00CF1315" w:rsidRDefault="00F163E5"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See footnote 12.</w:t>
            </w:r>
          </w:p>
        </w:tc>
      </w:tr>
      <w:tr w:rsidR="006023AA" w:rsidRPr="00AF2103" w14:paraId="681BA208" w14:textId="77777777" w:rsidTr="00925D62">
        <w:trPr>
          <w:cantSplit/>
          <w:jc w:val="center"/>
        </w:trPr>
        <w:tc>
          <w:tcPr>
            <w:tcW w:w="1067" w:type="dxa"/>
            <w:shd w:val="clear" w:color="auto" w:fill="auto"/>
            <w:vAlign w:val="center"/>
          </w:tcPr>
          <w:p w14:paraId="4765518A" w14:textId="77777777" w:rsidR="006023AA" w:rsidRPr="00CF1315" w:rsidRDefault="006023AA" w:rsidP="006023AA">
            <w:pPr>
              <w:pStyle w:val="ISOMB"/>
              <w:spacing w:before="60" w:after="60" w:line="240" w:lineRule="auto"/>
              <w:rPr>
                <w:rFonts w:asciiTheme="minorHAnsi" w:hAnsiTheme="minorHAnsi" w:cstheme="minorHAnsi"/>
                <w:szCs w:val="18"/>
                <w:lang w:val="en-US"/>
              </w:rPr>
            </w:pPr>
            <w:proofErr w:type="spellStart"/>
            <w:r w:rsidRPr="00CF1315">
              <w:rPr>
                <w:rFonts w:asciiTheme="minorHAnsi" w:hAnsiTheme="minorHAnsi" w:cstheme="minorHAnsi"/>
                <w:szCs w:val="18"/>
                <w:lang w:val="en-US"/>
              </w:rPr>
              <w:t>Eurom</w:t>
            </w:r>
            <w:proofErr w:type="spellEnd"/>
          </w:p>
          <w:p w14:paraId="729317D9" w14:textId="14F5E5D7" w:rsidR="006023AA" w:rsidRPr="00CF1315" w:rsidRDefault="006023AA" w:rsidP="006023AA">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Contact</w:t>
            </w:r>
          </w:p>
        </w:tc>
        <w:tc>
          <w:tcPr>
            <w:tcW w:w="714" w:type="dxa"/>
            <w:shd w:val="clear" w:color="auto" w:fill="auto"/>
            <w:vAlign w:val="center"/>
          </w:tcPr>
          <w:p w14:paraId="1006D71F" w14:textId="387F2041" w:rsidR="006023AA" w:rsidRPr="00CF1315" w:rsidRDefault="006023AA" w:rsidP="006023AA">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79-81</w:t>
            </w:r>
          </w:p>
        </w:tc>
        <w:tc>
          <w:tcPr>
            <w:tcW w:w="1120" w:type="dxa"/>
            <w:shd w:val="clear" w:color="auto" w:fill="auto"/>
            <w:vAlign w:val="center"/>
          </w:tcPr>
          <w:p w14:paraId="71777A54" w14:textId="77777777" w:rsidR="006023AA" w:rsidRPr="00CF1315" w:rsidRDefault="006023AA" w:rsidP="006023AA">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0F9CDFF4" w14:textId="77777777" w:rsidR="006023AA" w:rsidRPr="00CF1315" w:rsidRDefault="006023AA" w:rsidP="006023AA">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10485BCD" w14:textId="00052B78" w:rsidR="006023AA" w:rsidRPr="00CF1315" w:rsidRDefault="006023AA" w:rsidP="006023AA">
            <w:pPr>
              <w:pStyle w:val="ISOCommTyp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ed</w:t>
            </w:r>
          </w:p>
        </w:tc>
        <w:tc>
          <w:tcPr>
            <w:tcW w:w="4115" w:type="dxa"/>
            <w:shd w:val="clear" w:color="auto" w:fill="auto"/>
            <w:vAlign w:val="center"/>
          </w:tcPr>
          <w:p w14:paraId="42F677E0" w14:textId="6E397319" w:rsidR="006023AA" w:rsidRPr="00CF1315" w:rsidRDefault="006023AA" w:rsidP="006023AA">
            <w:pPr>
              <w:pStyle w:val="ISOComments"/>
              <w:spacing w:before="60" w:after="60"/>
              <w:rPr>
                <w:rStyle w:val="cf01"/>
                <w:rFonts w:asciiTheme="minorHAnsi" w:hAnsiTheme="minorHAnsi" w:cstheme="minorHAnsi"/>
                <w:lang w:val="en-US"/>
              </w:rPr>
            </w:pPr>
            <w:r w:rsidRPr="00CF1315">
              <w:rPr>
                <w:rFonts w:asciiTheme="minorHAnsi" w:hAnsiTheme="minorHAnsi" w:cstheme="minorHAnsi"/>
                <w:szCs w:val="18"/>
                <w:lang w:val="en-US"/>
              </w:rPr>
              <w:t xml:space="preserve">This paragraph could be </w:t>
            </w:r>
            <w:proofErr w:type="gramStart"/>
            <w:r w:rsidRPr="00CF1315">
              <w:rPr>
                <w:rFonts w:asciiTheme="minorHAnsi" w:hAnsiTheme="minorHAnsi" w:cstheme="minorHAnsi"/>
                <w:szCs w:val="18"/>
                <w:lang w:val="en-US"/>
              </w:rPr>
              <w:t>more clear</w:t>
            </w:r>
            <w:proofErr w:type="gramEnd"/>
            <w:r w:rsidRPr="00CF1315">
              <w:rPr>
                <w:rFonts w:asciiTheme="minorHAnsi" w:hAnsiTheme="minorHAnsi" w:cstheme="minorHAnsi"/>
                <w:szCs w:val="18"/>
                <w:lang w:val="en-US"/>
              </w:rPr>
              <w:t xml:space="preserve">. </w:t>
            </w:r>
          </w:p>
        </w:tc>
        <w:tc>
          <w:tcPr>
            <w:tcW w:w="4255" w:type="dxa"/>
            <w:shd w:val="clear" w:color="auto" w:fill="auto"/>
            <w:vAlign w:val="center"/>
          </w:tcPr>
          <w:p w14:paraId="0461B341" w14:textId="6B678C72" w:rsidR="006023AA" w:rsidRPr="00CF1315" w:rsidRDefault="006023AA" w:rsidP="006023AA">
            <w:pPr>
              <w:pStyle w:val="pf0"/>
              <w:rPr>
                <w:rStyle w:val="cf01"/>
                <w:rFonts w:asciiTheme="minorHAnsi" w:hAnsiTheme="minorHAnsi" w:cstheme="minorHAnsi"/>
                <w:lang w:val="en-US"/>
              </w:rPr>
            </w:pPr>
            <w:r w:rsidRPr="00CF1315">
              <w:rPr>
                <w:rFonts w:asciiTheme="minorHAnsi" w:hAnsiTheme="minorHAnsi" w:cstheme="minorHAnsi"/>
                <w:sz w:val="18"/>
                <w:szCs w:val="18"/>
                <w:lang w:val="en-US"/>
              </w:rPr>
              <w:t xml:space="preserve">Equivalence between a product purely without an intended medical purpose and a device with both a medical and a non-medical purpose (dual-purpose device) can be demonstrated comparing the characteristics related to the non-medical purpose of the </w:t>
            </w:r>
            <w:proofErr w:type="gramStart"/>
            <w:r w:rsidRPr="00CF1315">
              <w:rPr>
                <w:rFonts w:asciiTheme="minorHAnsi" w:hAnsiTheme="minorHAnsi" w:cstheme="minorHAnsi"/>
                <w:sz w:val="18"/>
                <w:szCs w:val="18"/>
                <w:lang w:val="en-US"/>
              </w:rPr>
              <w:t>dual purpose</w:t>
            </w:r>
            <w:proofErr w:type="gramEnd"/>
            <w:r w:rsidRPr="00CF1315">
              <w:rPr>
                <w:rFonts w:asciiTheme="minorHAnsi" w:hAnsiTheme="minorHAnsi" w:cstheme="minorHAnsi"/>
                <w:sz w:val="18"/>
                <w:szCs w:val="18"/>
                <w:lang w:val="en-US"/>
              </w:rPr>
              <w:t xml:space="preserve"> device.</w:t>
            </w:r>
          </w:p>
        </w:tc>
        <w:tc>
          <w:tcPr>
            <w:tcW w:w="2493" w:type="dxa"/>
            <w:shd w:val="clear" w:color="auto" w:fill="auto"/>
            <w:vAlign w:val="center"/>
          </w:tcPr>
          <w:p w14:paraId="7E83DE48" w14:textId="77777777" w:rsidR="006023AA" w:rsidRPr="00CF1315" w:rsidRDefault="006023AA" w:rsidP="006023AA">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33268727" w14:textId="23F36D83" w:rsidR="006023AA" w:rsidRPr="00CF1315" w:rsidRDefault="006023AA" w:rsidP="006023AA">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 xml:space="preserve">The comparison always involves two </w:t>
            </w:r>
            <w:proofErr w:type="gramStart"/>
            <w:r w:rsidRPr="00CF1315">
              <w:rPr>
                <w:rFonts w:asciiTheme="minorHAnsi" w:hAnsiTheme="minorHAnsi" w:cstheme="minorHAnsi"/>
                <w:szCs w:val="18"/>
                <w:lang w:val="en-US"/>
              </w:rPr>
              <w:t>devices,</w:t>
            </w:r>
            <w:proofErr w:type="gramEnd"/>
            <w:r w:rsidRPr="00CF1315">
              <w:rPr>
                <w:rFonts w:asciiTheme="minorHAnsi" w:hAnsiTheme="minorHAnsi" w:cstheme="minorHAnsi"/>
                <w:szCs w:val="18"/>
                <w:lang w:val="en-US"/>
              </w:rPr>
              <w:t xml:space="preserve"> therefore the proposed end of the sentence is not acceptable.</w:t>
            </w:r>
          </w:p>
        </w:tc>
      </w:tr>
      <w:tr w:rsidR="00504DF4" w:rsidRPr="00AF2103" w14:paraId="60460768" w14:textId="77777777" w:rsidTr="00925D62">
        <w:trPr>
          <w:cantSplit/>
          <w:jc w:val="center"/>
        </w:trPr>
        <w:tc>
          <w:tcPr>
            <w:tcW w:w="1067" w:type="dxa"/>
            <w:shd w:val="clear" w:color="auto" w:fill="auto"/>
            <w:vAlign w:val="center"/>
          </w:tcPr>
          <w:p w14:paraId="1E52D26C" w14:textId="0AEF57C3" w:rsidR="00504DF4"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lastRenderedPageBreak/>
              <w:t>MTE</w:t>
            </w:r>
          </w:p>
        </w:tc>
        <w:tc>
          <w:tcPr>
            <w:tcW w:w="714" w:type="dxa"/>
            <w:shd w:val="clear" w:color="auto" w:fill="auto"/>
            <w:vAlign w:val="center"/>
          </w:tcPr>
          <w:p w14:paraId="6A5F2EBB" w14:textId="21C08220" w:rsidR="00504DF4" w:rsidRPr="00CF1315" w:rsidRDefault="00095DC4"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79</w:t>
            </w:r>
            <w:r w:rsidR="00C222A8" w:rsidRPr="00CF1315">
              <w:rPr>
                <w:rFonts w:asciiTheme="minorHAnsi" w:hAnsiTheme="minorHAnsi" w:cstheme="minorHAnsi"/>
                <w:szCs w:val="18"/>
                <w:lang w:val="en-US"/>
              </w:rPr>
              <w:t>-81</w:t>
            </w:r>
          </w:p>
        </w:tc>
        <w:tc>
          <w:tcPr>
            <w:tcW w:w="1120" w:type="dxa"/>
            <w:shd w:val="clear" w:color="auto" w:fill="auto"/>
            <w:vAlign w:val="center"/>
          </w:tcPr>
          <w:p w14:paraId="6090B04C" w14:textId="77777777" w:rsidR="00504DF4" w:rsidRPr="00CF1315" w:rsidRDefault="00504DF4"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29C830D2" w14:textId="77777777" w:rsidR="00504DF4" w:rsidRPr="00CF1315" w:rsidRDefault="00504DF4"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0005C0A2" w14:textId="77777777" w:rsidR="00504DF4" w:rsidRPr="00CF1315" w:rsidRDefault="00504DF4"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1150733F" w14:textId="77777777" w:rsidR="005D18F9" w:rsidRPr="00CF1315" w:rsidRDefault="005D18F9" w:rsidP="005D18F9">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 xml:space="preserve">his verbiage could be made </w:t>
            </w:r>
            <w:proofErr w:type="gramStart"/>
            <w:r w:rsidRPr="00CF1315">
              <w:rPr>
                <w:rStyle w:val="cf01"/>
                <w:rFonts w:asciiTheme="minorHAnsi" w:hAnsiTheme="minorHAnsi" w:cstheme="minorHAnsi"/>
                <w:lang w:val="en-US"/>
              </w:rPr>
              <w:t>more clear</w:t>
            </w:r>
            <w:proofErr w:type="gramEnd"/>
            <w:r w:rsidRPr="00CF1315">
              <w:rPr>
                <w:rStyle w:val="cf01"/>
                <w:rFonts w:asciiTheme="minorHAnsi" w:hAnsiTheme="minorHAnsi" w:cstheme="minorHAnsi"/>
                <w:lang w:val="en-US"/>
              </w:rPr>
              <w:t>. Also, suggest that two scenarios be addressed in Section 3.3.:</w:t>
            </w:r>
          </w:p>
          <w:p w14:paraId="5661FFD1" w14:textId="77777777" w:rsidR="005D18F9" w:rsidRPr="00CF1315" w:rsidRDefault="005D18F9" w:rsidP="005D18F9">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1) Establishing equivalence of a non-medical purpose device with a dual-purpose device. What would be the relevant factors where equivalence can be established (design, materials, dimensions, materials, Clinical Performance data)?</w:t>
            </w:r>
          </w:p>
          <w:p w14:paraId="77BBC03E" w14:textId="2ECD7AC8" w:rsidR="00504DF4" w:rsidRPr="00CF1315" w:rsidRDefault="005D18F9" w:rsidP="00CF1315">
            <w:pPr>
              <w:pStyle w:val="pf0"/>
              <w:rPr>
                <w:rStyle w:val="cf01"/>
                <w:rFonts w:asciiTheme="minorHAnsi" w:hAnsiTheme="minorHAnsi" w:cstheme="minorHAnsi"/>
                <w:lang w:val="en-US"/>
              </w:rPr>
            </w:pPr>
            <w:r w:rsidRPr="00CF1315">
              <w:rPr>
                <w:rStyle w:val="cf01"/>
                <w:rFonts w:asciiTheme="minorHAnsi" w:hAnsiTheme="minorHAnsi" w:cstheme="minorHAnsi"/>
                <w:lang w:val="en-US"/>
              </w:rPr>
              <w:t>2) Establishing equivalence of a dual-purpose device to another dual-purpose device. Are they saying that only the factors of design, materials, dimensions, materials, Clinical Performance data from the medical purpose (e.g. breast reconstruction, corrective contact lenses ) can be applied to equivalence of the new dual purpose device, AND that clinical</w:t>
            </w:r>
            <w:r w:rsidR="003F5154" w:rsidRPr="00CF1315">
              <w:rPr>
                <w:rStyle w:val="HeaderChar"/>
                <w:rFonts w:asciiTheme="minorHAnsi" w:hAnsiTheme="minorHAnsi" w:cstheme="minorHAnsi"/>
                <w:sz w:val="18"/>
                <w:szCs w:val="18"/>
                <w:lang w:val="en-US"/>
              </w:rPr>
              <w:t xml:space="preserve"> </w:t>
            </w:r>
            <w:r w:rsidR="003F5154" w:rsidRPr="00CF1315">
              <w:rPr>
                <w:rStyle w:val="cf01"/>
                <w:rFonts w:asciiTheme="minorHAnsi" w:hAnsiTheme="minorHAnsi" w:cstheme="minorHAnsi"/>
                <w:lang w:val="en-US"/>
              </w:rPr>
              <w:t>investigation data is needed to gain approval and support claims for the non-medical purpose of the dual -purpose device (e.g., breast augmentation, or non-corrective contact lenses)?</w:t>
            </w:r>
          </w:p>
        </w:tc>
        <w:tc>
          <w:tcPr>
            <w:tcW w:w="4255" w:type="dxa"/>
            <w:shd w:val="clear" w:color="auto" w:fill="auto"/>
            <w:vAlign w:val="center"/>
          </w:tcPr>
          <w:p w14:paraId="78CB0FF8" w14:textId="617E5A40" w:rsidR="00504DF4" w:rsidRPr="00CF1315" w:rsidRDefault="005C2B9E" w:rsidP="00504DF4">
            <w:pPr>
              <w:pStyle w:val="pf0"/>
              <w:rPr>
                <w:rStyle w:val="cf01"/>
                <w:rFonts w:asciiTheme="minorHAnsi" w:hAnsiTheme="minorHAnsi" w:cstheme="minorHAnsi"/>
                <w:lang w:val="en-US"/>
              </w:rPr>
            </w:pPr>
            <w:proofErr w:type="spellStart"/>
            <w:r w:rsidRPr="00CF1315">
              <w:rPr>
                <w:rStyle w:val="cf01"/>
                <w:rFonts w:asciiTheme="minorHAnsi" w:hAnsiTheme="minorHAnsi" w:cstheme="minorHAnsi"/>
              </w:rPr>
              <w:t>Proposed</w:t>
            </w:r>
            <w:proofErr w:type="spellEnd"/>
            <w:r w:rsidRPr="00CF1315">
              <w:rPr>
                <w:rStyle w:val="cf01"/>
                <w:rFonts w:asciiTheme="minorHAnsi" w:hAnsiTheme="minorHAnsi" w:cstheme="minorHAnsi"/>
              </w:rPr>
              <w:t xml:space="preserve"> change:</w:t>
            </w:r>
            <w:r w:rsidRPr="00CF1315">
              <w:rPr>
                <w:rFonts w:asciiTheme="minorHAnsi" w:hAnsiTheme="minorHAnsi" w:cstheme="minorHAnsi"/>
                <w:sz w:val="18"/>
                <w:szCs w:val="18"/>
                <w:lang w:val="en-US"/>
              </w:rPr>
              <w:t xml:space="preserve"> </w:t>
            </w:r>
            <w:r w:rsidRPr="00CF1315">
              <w:rPr>
                <w:rStyle w:val="cf01"/>
                <w:rFonts w:asciiTheme="minorHAnsi" w:hAnsiTheme="minorHAnsi" w:cstheme="minorHAnsi"/>
                <w:lang w:val="en-US"/>
              </w:rPr>
              <w:t xml:space="preserve">Equivalence between a product </w:t>
            </w:r>
            <w:r w:rsidRPr="00CF1315">
              <w:rPr>
                <w:rStyle w:val="cf01"/>
                <w:rFonts w:asciiTheme="minorHAnsi" w:hAnsiTheme="minorHAnsi" w:cstheme="minorHAnsi"/>
                <w:b/>
                <w:bCs/>
                <w:lang w:val="en-US"/>
              </w:rPr>
              <w:t xml:space="preserve">purely </w:t>
            </w:r>
            <w:r w:rsidRPr="00CF1315">
              <w:rPr>
                <w:rStyle w:val="cf01"/>
                <w:rFonts w:asciiTheme="minorHAnsi" w:hAnsiTheme="minorHAnsi" w:cstheme="minorHAnsi"/>
                <w:lang w:val="en-US"/>
              </w:rPr>
              <w:t xml:space="preserve">without an intended medical purpose and a device with both a medical and a non-medical purpose (dual-purpose device) can be demonstrated comparing the characteristics related to the non-medical purpose of </w:t>
            </w:r>
            <w:r w:rsidRPr="00CF1315">
              <w:rPr>
                <w:rStyle w:val="cf01"/>
                <w:rFonts w:asciiTheme="minorHAnsi" w:hAnsiTheme="minorHAnsi" w:cstheme="minorHAnsi"/>
                <w:b/>
                <w:bCs/>
                <w:lang w:val="en-US"/>
              </w:rPr>
              <w:t>the dual purpose device.</w:t>
            </w:r>
          </w:p>
        </w:tc>
        <w:tc>
          <w:tcPr>
            <w:tcW w:w="2493" w:type="dxa"/>
            <w:shd w:val="clear" w:color="auto" w:fill="auto"/>
            <w:vAlign w:val="center"/>
          </w:tcPr>
          <w:p w14:paraId="41ABA67D" w14:textId="77777777" w:rsidR="00F163E5" w:rsidRPr="00CF1315" w:rsidRDefault="00F163E5" w:rsidP="00F163E5">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79DF548C" w14:textId="3BCD2591" w:rsidR="00F163E5" w:rsidRPr="00CF1315" w:rsidRDefault="00F163E5" w:rsidP="00F163E5">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Addition of ‘purely’ does not bring added value for the clarity of the sentence. In addition, it the term is added here, it should be added everywhere in the document.</w:t>
            </w:r>
          </w:p>
          <w:p w14:paraId="4826F99A" w14:textId="3BCEC528" w:rsidR="00F163E5" w:rsidRPr="00CF1315" w:rsidRDefault="00F163E5" w:rsidP="00F163E5">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The comparison involves two products, therefore the proposed wording for the end of the sentence cannot be accepted.</w:t>
            </w:r>
          </w:p>
          <w:p w14:paraId="066E6567" w14:textId="77777777" w:rsidR="00F163E5" w:rsidRPr="00CF1315" w:rsidRDefault="00F163E5" w:rsidP="00F163E5">
            <w:pPr>
              <w:pStyle w:val="ISOSecretObservations"/>
              <w:spacing w:before="60" w:after="60" w:line="240" w:lineRule="auto"/>
              <w:rPr>
                <w:rFonts w:asciiTheme="minorHAnsi" w:hAnsiTheme="minorHAnsi" w:cstheme="minorHAnsi"/>
                <w:szCs w:val="18"/>
                <w:lang w:val="en-US"/>
              </w:rPr>
            </w:pPr>
          </w:p>
          <w:p w14:paraId="2130980E" w14:textId="303B9C13" w:rsidR="00504DF4" w:rsidRPr="00CF1315" w:rsidRDefault="00F163E5" w:rsidP="00F163E5">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Scenario 2 is not covered by the guidance document, which remains focused on Annex XVI products.</w:t>
            </w:r>
          </w:p>
        </w:tc>
      </w:tr>
      <w:tr w:rsidR="0096478D" w:rsidRPr="00AF2103" w14:paraId="42CD7767" w14:textId="77777777" w:rsidTr="00925D62">
        <w:trPr>
          <w:cantSplit/>
          <w:jc w:val="center"/>
        </w:trPr>
        <w:tc>
          <w:tcPr>
            <w:tcW w:w="1067" w:type="dxa"/>
            <w:shd w:val="clear" w:color="auto" w:fill="auto"/>
            <w:vAlign w:val="center"/>
          </w:tcPr>
          <w:p w14:paraId="26FD4993" w14:textId="1B0682D3" w:rsidR="0096478D"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MTE</w:t>
            </w:r>
          </w:p>
        </w:tc>
        <w:tc>
          <w:tcPr>
            <w:tcW w:w="714" w:type="dxa"/>
            <w:shd w:val="clear" w:color="auto" w:fill="auto"/>
            <w:vAlign w:val="center"/>
          </w:tcPr>
          <w:p w14:paraId="4BC039C4" w14:textId="77777777" w:rsidR="0096478D" w:rsidRPr="00CF1315" w:rsidRDefault="0050304B"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82-83</w:t>
            </w:r>
          </w:p>
          <w:p w14:paraId="5DFC4246" w14:textId="6C050F38" w:rsidR="0050304B" w:rsidRPr="00CF1315" w:rsidRDefault="0050304B" w:rsidP="00F61BBC">
            <w:pPr>
              <w:pStyle w:val="ISOClause"/>
              <w:spacing w:before="60" w:after="60" w:line="240" w:lineRule="auto"/>
              <w:rPr>
                <w:rFonts w:asciiTheme="minorHAnsi" w:hAnsiTheme="minorHAnsi" w:cstheme="minorHAnsi"/>
                <w:szCs w:val="18"/>
                <w:lang w:val="en-US"/>
              </w:rPr>
            </w:pPr>
          </w:p>
        </w:tc>
        <w:tc>
          <w:tcPr>
            <w:tcW w:w="1120" w:type="dxa"/>
            <w:shd w:val="clear" w:color="auto" w:fill="auto"/>
            <w:vAlign w:val="center"/>
          </w:tcPr>
          <w:p w14:paraId="31876846" w14:textId="77777777" w:rsidR="0096478D" w:rsidRPr="00CF1315" w:rsidRDefault="0096478D"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32B80E09" w14:textId="77777777" w:rsidR="0096478D" w:rsidRPr="00CF1315" w:rsidRDefault="0096478D"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59FF497B" w14:textId="77777777" w:rsidR="0096478D" w:rsidRPr="00CF1315" w:rsidRDefault="0096478D"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31B2E833" w14:textId="4D724413" w:rsidR="0096478D" w:rsidRPr="00CF1315" w:rsidRDefault="0050304B" w:rsidP="005D18F9">
            <w:pPr>
              <w:pStyle w:val="pf0"/>
              <w:rPr>
                <w:rStyle w:val="cf01"/>
                <w:rFonts w:asciiTheme="minorHAnsi" w:hAnsiTheme="minorHAnsi" w:cstheme="minorHAnsi"/>
                <w:lang w:val="en-US"/>
              </w:rPr>
            </w:pPr>
            <w:r w:rsidRPr="00CF1315">
              <w:rPr>
                <w:rStyle w:val="cf01"/>
                <w:rFonts w:asciiTheme="minorHAnsi" w:hAnsiTheme="minorHAnsi" w:cstheme="minorHAnsi"/>
                <w:lang w:val="en-US"/>
              </w:rPr>
              <w:t xml:space="preserve">We believe this paragraph intends to address a scenario for demonstrating equivalence of a non-medical purpose product with a </w:t>
            </w:r>
            <w:proofErr w:type="gramStart"/>
            <w:r w:rsidRPr="00CF1315">
              <w:rPr>
                <w:rStyle w:val="cf01"/>
                <w:rFonts w:asciiTheme="minorHAnsi" w:hAnsiTheme="minorHAnsi" w:cstheme="minorHAnsi"/>
                <w:lang w:val="en-US"/>
              </w:rPr>
              <w:t>dual purpose</w:t>
            </w:r>
            <w:proofErr w:type="gramEnd"/>
            <w:r w:rsidRPr="00CF1315">
              <w:rPr>
                <w:rStyle w:val="cf01"/>
                <w:rFonts w:asciiTheme="minorHAnsi" w:hAnsiTheme="minorHAnsi" w:cstheme="minorHAnsi"/>
                <w:lang w:val="en-US"/>
              </w:rPr>
              <w:t xml:space="preserve"> device. It should allow for comparison of the non-medical product with </w:t>
            </w:r>
            <w:r w:rsidRPr="00CF1315">
              <w:rPr>
                <w:rStyle w:val="cf11"/>
                <w:rFonts w:asciiTheme="minorHAnsi" w:hAnsiTheme="minorHAnsi" w:cstheme="minorHAnsi"/>
                <w:lang w:val="en-US"/>
              </w:rPr>
              <w:t xml:space="preserve">all relevant/applicable criteria of the </w:t>
            </w:r>
            <w:proofErr w:type="gramStart"/>
            <w:r w:rsidRPr="00CF1315">
              <w:rPr>
                <w:rStyle w:val="cf11"/>
                <w:rFonts w:asciiTheme="minorHAnsi" w:hAnsiTheme="minorHAnsi" w:cstheme="minorHAnsi"/>
                <w:lang w:val="en-US"/>
              </w:rPr>
              <w:t>dual purpose</w:t>
            </w:r>
            <w:proofErr w:type="gramEnd"/>
            <w:r w:rsidRPr="00CF1315">
              <w:rPr>
                <w:rStyle w:val="cf11"/>
                <w:rFonts w:asciiTheme="minorHAnsi" w:hAnsiTheme="minorHAnsi" w:cstheme="minorHAnsi"/>
                <w:lang w:val="en-US"/>
              </w:rPr>
              <w:t xml:space="preserve"> device</w:t>
            </w:r>
            <w:r w:rsidRPr="00CF1315">
              <w:rPr>
                <w:rStyle w:val="cf01"/>
                <w:rFonts w:asciiTheme="minorHAnsi" w:hAnsiTheme="minorHAnsi" w:cstheme="minorHAnsi"/>
                <w:lang w:val="en-US"/>
              </w:rPr>
              <w:t>, not just those characteristics related only to the non-medical use of the dual purpose device. As such, the first and second sentences in the proposed paragraph seem to conflict with each other</w:t>
            </w:r>
          </w:p>
        </w:tc>
        <w:tc>
          <w:tcPr>
            <w:tcW w:w="4255" w:type="dxa"/>
            <w:shd w:val="clear" w:color="auto" w:fill="auto"/>
            <w:vAlign w:val="center"/>
          </w:tcPr>
          <w:p w14:paraId="3782B150" w14:textId="77777777" w:rsidR="0096478D" w:rsidRPr="00CF1315" w:rsidRDefault="0096478D" w:rsidP="00504DF4">
            <w:pPr>
              <w:pStyle w:val="pf0"/>
              <w:rPr>
                <w:rFonts w:asciiTheme="minorHAnsi" w:hAnsiTheme="minorHAnsi" w:cstheme="minorHAnsi"/>
                <w:sz w:val="18"/>
                <w:szCs w:val="18"/>
                <w:lang w:val="en-US"/>
              </w:rPr>
            </w:pPr>
          </w:p>
        </w:tc>
        <w:tc>
          <w:tcPr>
            <w:tcW w:w="2493" w:type="dxa"/>
            <w:shd w:val="clear" w:color="auto" w:fill="auto"/>
            <w:vAlign w:val="center"/>
          </w:tcPr>
          <w:p w14:paraId="7DCBE719" w14:textId="77777777" w:rsidR="0096478D" w:rsidRPr="00CF1315" w:rsidRDefault="00E83609"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2BD91A2A" w14:textId="43E09BF7" w:rsidR="00E83609" w:rsidRPr="00CF1315" w:rsidRDefault="00E83609"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The sentence allows the use of all relevant data related to the non-medical purpose. It is unlikely that data related to the medical purpose would be relevant for the non-medical purpose.</w:t>
            </w:r>
          </w:p>
        </w:tc>
      </w:tr>
      <w:tr w:rsidR="0050304B" w:rsidRPr="00AF2103" w14:paraId="55C744B9" w14:textId="77777777" w:rsidTr="00925D62">
        <w:trPr>
          <w:cantSplit/>
          <w:jc w:val="center"/>
        </w:trPr>
        <w:tc>
          <w:tcPr>
            <w:tcW w:w="1067" w:type="dxa"/>
            <w:shd w:val="clear" w:color="auto" w:fill="auto"/>
            <w:vAlign w:val="center"/>
          </w:tcPr>
          <w:p w14:paraId="6C559693" w14:textId="63D587DB" w:rsidR="0050304B" w:rsidRPr="00CF1315" w:rsidRDefault="006023AA" w:rsidP="00BE5990">
            <w:pPr>
              <w:pStyle w:val="ISOMB"/>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MTE</w:t>
            </w:r>
          </w:p>
        </w:tc>
        <w:tc>
          <w:tcPr>
            <w:tcW w:w="714" w:type="dxa"/>
            <w:shd w:val="clear" w:color="auto" w:fill="auto"/>
            <w:vAlign w:val="center"/>
          </w:tcPr>
          <w:p w14:paraId="2A7E6DEE" w14:textId="59539057" w:rsidR="0050304B" w:rsidRPr="00CF1315" w:rsidRDefault="00B1724A" w:rsidP="00F61BBC">
            <w:pPr>
              <w:pStyle w:val="ISOClause"/>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84-86</w:t>
            </w:r>
          </w:p>
        </w:tc>
        <w:tc>
          <w:tcPr>
            <w:tcW w:w="1120" w:type="dxa"/>
            <w:shd w:val="clear" w:color="auto" w:fill="auto"/>
            <w:vAlign w:val="center"/>
          </w:tcPr>
          <w:p w14:paraId="4F4C05EC" w14:textId="77777777" w:rsidR="0050304B" w:rsidRPr="00CF1315" w:rsidRDefault="0050304B" w:rsidP="00F61BBC">
            <w:pPr>
              <w:pStyle w:val="ISOClause"/>
              <w:spacing w:before="60" w:after="60" w:line="240" w:lineRule="auto"/>
              <w:rPr>
                <w:rFonts w:asciiTheme="minorHAnsi" w:hAnsiTheme="minorHAnsi" w:cstheme="minorHAnsi"/>
                <w:szCs w:val="18"/>
                <w:lang w:val="en-US"/>
              </w:rPr>
            </w:pPr>
          </w:p>
        </w:tc>
        <w:tc>
          <w:tcPr>
            <w:tcW w:w="1134" w:type="dxa"/>
            <w:shd w:val="clear" w:color="auto" w:fill="auto"/>
            <w:vAlign w:val="center"/>
          </w:tcPr>
          <w:p w14:paraId="328C0CFF" w14:textId="77777777" w:rsidR="0050304B" w:rsidRPr="00CF1315" w:rsidRDefault="0050304B" w:rsidP="00F61BBC">
            <w:pPr>
              <w:pStyle w:val="ISOParagraph"/>
              <w:spacing w:before="60" w:after="60" w:line="240" w:lineRule="auto"/>
              <w:rPr>
                <w:rFonts w:asciiTheme="minorHAnsi" w:hAnsiTheme="minorHAnsi" w:cstheme="minorHAnsi"/>
                <w:szCs w:val="18"/>
                <w:lang w:val="en-US"/>
              </w:rPr>
            </w:pPr>
          </w:p>
        </w:tc>
        <w:tc>
          <w:tcPr>
            <w:tcW w:w="952" w:type="dxa"/>
            <w:shd w:val="clear" w:color="auto" w:fill="auto"/>
            <w:vAlign w:val="center"/>
          </w:tcPr>
          <w:p w14:paraId="41DB5972" w14:textId="77777777" w:rsidR="0050304B" w:rsidRPr="00CF1315" w:rsidRDefault="0050304B" w:rsidP="00F61BBC">
            <w:pPr>
              <w:pStyle w:val="ISOCommType"/>
              <w:spacing w:before="60" w:after="60" w:line="240" w:lineRule="auto"/>
              <w:rPr>
                <w:rFonts w:asciiTheme="minorHAnsi" w:hAnsiTheme="minorHAnsi" w:cstheme="minorHAnsi"/>
                <w:szCs w:val="18"/>
                <w:lang w:val="en-US"/>
              </w:rPr>
            </w:pPr>
          </w:p>
        </w:tc>
        <w:tc>
          <w:tcPr>
            <w:tcW w:w="4115" w:type="dxa"/>
            <w:shd w:val="clear" w:color="auto" w:fill="auto"/>
            <w:vAlign w:val="center"/>
          </w:tcPr>
          <w:p w14:paraId="170336D8" w14:textId="74B7E4CC" w:rsidR="0050304B" w:rsidRPr="00CF1315" w:rsidRDefault="007F5B0F" w:rsidP="00CF1315">
            <w:pPr>
              <w:pStyle w:val="pf0"/>
              <w:rPr>
                <w:rStyle w:val="cf01"/>
                <w:rFonts w:asciiTheme="minorHAnsi" w:hAnsiTheme="minorHAnsi" w:cstheme="minorHAnsi"/>
                <w:lang w:val="en-US"/>
              </w:rPr>
            </w:pPr>
            <w:r w:rsidRPr="00CF1315">
              <w:rPr>
                <w:rStyle w:val="cf01"/>
                <w:rFonts w:asciiTheme="minorHAnsi" w:hAnsiTheme="minorHAnsi" w:cstheme="minorHAnsi"/>
                <w:lang w:val="en-US"/>
              </w:rPr>
              <w:t xml:space="preserve">This paragraph conflicts with the previous paragraph which states that only the characteristics related to the non-medical purpose should be considered. However, the GSPRs are strictly related to the medical purpose of medical devices. </w:t>
            </w:r>
          </w:p>
        </w:tc>
        <w:tc>
          <w:tcPr>
            <w:tcW w:w="4255" w:type="dxa"/>
            <w:shd w:val="clear" w:color="auto" w:fill="auto"/>
            <w:vAlign w:val="center"/>
          </w:tcPr>
          <w:p w14:paraId="715BBA6F" w14:textId="08D0F45D" w:rsidR="0050304B" w:rsidRPr="00CF1315" w:rsidRDefault="00EF4AE7" w:rsidP="00504DF4">
            <w:pPr>
              <w:pStyle w:val="pf0"/>
              <w:rPr>
                <w:rFonts w:asciiTheme="minorHAnsi" w:hAnsiTheme="minorHAnsi" w:cstheme="minorHAnsi"/>
                <w:sz w:val="18"/>
                <w:szCs w:val="18"/>
                <w:lang w:val="en-US"/>
              </w:rPr>
            </w:pPr>
            <w:r w:rsidRPr="00CF1315">
              <w:rPr>
                <w:rStyle w:val="cf01"/>
                <w:rFonts w:asciiTheme="minorHAnsi" w:hAnsiTheme="minorHAnsi" w:cstheme="minorHAnsi"/>
                <w:lang w:val="en-US"/>
              </w:rPr>
              <w:t>Suggest removal of this paragraph</w:t>
            </w:r>
          </w:p>
        </w:tc>
        <w:tc>
          <w:tcPr>
            <w:tcW w:w="2493" w:type="dxa"/>
            <w:shd w:val="clear" w:color="auto" w:fill="auto"/>
            <w:vAlign w:val="center"/>
          </w:tcPr>
          <w:p w14:paraId="67CFFF76" w14:textId="77777777" w:rsidR="00E83609" w:rsidRPr="00CF1315" w:rsidRDefault="00E83609" w:rsidP="00E83609">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REJECTED</w:t>
            </w:r>
          </w:p>
          <w:p w14:paraId="670C167A" w14:textId="160ADCCA" w:rsidR="0050304B" w:rsidRPr="00CF1315" w:rsidRDefault="00E83609" w:rsidP="00F61BBC">
            <w:pPr>
              <w:pStyle w:val="ISOSecretObservations"/>
              <w:spacing w:before="60" w:after="60" w:line="240" w:lineRule="auto"/>
              <w:rPr>
                <w:rFonts w:asciiTheme="minorHAnsi" w:hAnsiTheme="minorHAnsi" w:cstheme="minorHAnsi"/>
                <w:szCs w:val="18"/>
                <w:lang w:val="en-US"/>
              </w:rPr>
            </w:pPr>
            <w:r w:rsidRPr="00CF1315">
              <w:rPr>
                <w:rFonts w:asciiTheme="minorHAnsi" w:hAnsiTheme="minorHAnsi" w:cstheme="minorHAnsi"/>
                <w:szCs w:val="18"/>
                <w:lang w:val="en-US"/>
              </w:rPr>
              <w:t>GSPR refer to devices. Most of them are applicable to Annex XVI products (e.g., Sections 10.1, 10.4, 11).</w:t>
            </w:r>
          </w:p>
        </w:tc>
      </w:tr>
    </w:tbl>
    <w:p w14:paraId="4807856D" w14:textId="77777777" w:rsidR="00F6054D" w:rsidRPr="00AF2103" w:rsidRDefault="00F6054D">
      <w:pPr>
        <w:rPr>
          <w:rFonts w:ascii="Segoe UI" w:hAnsi="Segoe UI" w:cs="Segoe UI"/>
        </w:rPr>
      </w:pPr>
    </w:p>
    <w:sectPr w:rsidR="00F6054D" w:rsidRPr="00AF2103" w:rsidSect="002E5B02">
      <w:headerReference w:type="even" r:id="rId8"/>
      <w:headerReference w:type="default" r:id="rId9"/>
      <w:footerReference w:type="even" r:id="rId10"/>
      <w:footerReference w:type="default" r:id="rId11"/>
      <w:headerReference w:type="first" r:id="rId12"/>
      <w:footerReference w:type="first" r:id="rId13"/>
      <w:type w:val="continuous"/>
      <w:pgSz w:w="16838" w:h="11906" w:orient="landscape"/>
      <w:pgMar w:top="850" w:right="567" w:bottom="850" w:left="567" w:header="567"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0DEC2" w14:textId="77777777" w:rsidR="00114F61" w:rsidRDefault="00114F61" w:rsidP="00F6054D">
      <w:pPr>
        <w:spacing w:after="0" w:line="240" w:lineRule="auto"/>
      </w:pPr>
      <w:r>
        <w:separator/>
      </w:r>
    </w:p>
  </w:endnote>
  <w:endnote w:type="continuationSeparator" w:id="0">
    <w:p w14:paraId="075BBEE6" w14:textId="77777777" w:rsidR="00114F61" w:rsidRDefault="00114F61" w:rsidP="00F60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E6FE" w14:textId="77777777" w:rsidR="00107ECD" w:rsidRDefault="00107E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9ABD2" w14:textId="77777777" w:rsidR="00F6054D" w:rsidRDefault="00F6054D" w:rsidP="00F6054D">
    <w:pPr>
      <w:pStyle w:val="Footer"/>
      <w:tabs>
        <w:tab w:val="clear" w:pos="4536"/>
        <w:tab w:val="clear" w:pos="9072"/>
        <w:tab w:val="left" w:pos="300"/>
        <w:tab w:val="left" w:pos="2100"/>
        <w:tab w:val="left" w:pos="3300"/>
        <w:tab w:val="left" w:pos="4500"/>
      </w:tabs>
      <w:rPr>
        <w:rFonts w:cs="Arial"/>
        <w:sz w:val="16"/>
      </w:rPr>
    </w:pPr>
    <w:r>
      <w:rPr>
        <w:rFonts w:cs="Arial"/>
        <w:sz w:val="16"/>
      </w:rPr>
      <w:t>1</w:t>
    </w:r>
    <w:r>
      <w:rPr>
        <w:rFonts w:cs="Arial"/>
        <w:sz w:val="16"/>
      </w:rPr>
      <w:tab/>
    </w:r>
    <w:r w:rsidR="00BE5990">
      <w:rPr>
        <w:rFonts w:cs="Arial"/>
        <w:b/>
        <w:sz w:val="16"/>
      </w:rPr>
      <w:t>NCA</w:t>
    </w:r>
    <w:r w:rsidR="00BE5990">
      <w:rPr>
        <w:rFonts w:cs="Arial"/>
        <w:sz w:val="16"/>
      </w:rPr>
      <w:t xml:space="preserve"> = National Competent Authority</w:t>
    </w:r>
  </w:p>
  <w:p w14:paraId="36916165" w14:textId="77777777" w:rsidR="00F6054D" w:rsidRDefault="00F6054D" w:rsidP="00F6054D">
    <w:pPr>
      <w:pStyle w:val="Footer"/>
      <w:tabs>
        <w:tab w:val="clear" w:pos="4536"/>
        <w:tab w:val="clear" w:pos="9072"/>
        <w:tab w:val="left" w:pos="300"/>
        <w:tab w:val="left" w:pos="2100"/>
        <w:tab w:val="left" w:pos="3300"/>
        <w:tab w:val="left" w:pos="4500"/>
      </w:tabs>
      <w:rPr>
        <w:rFonts w:cs="Arial"/>
        <w:sz w:val="16"/>
      </w:rPr>
    </w:pPr>
    <w:r>
      <w:rPr>
        <w:rFonts w:cs="Arial"/>
        <w:sz w:val="16"/>
      </w:rPr>
      <w:t>2</w:t>
    </w:r>
    <w:r>
      <w:rPr>
        <w:rFonts w:cs="Arial"/>
        <w:sz w:val="16"/>
      </w:rPr>
      <w:tab/>
    </w:r>
    <w:r>
      <w:rPr>
        <w:rFonts w:cs="Arial"/>
        <w:b/>
        <w:sz w:val="16"/>
      </w:rPr>
      <w:t>Type of comment:</w:t>
    </w:r>
    <w:r>
      <w:rPr>
        <w:rFonts w:cs="Arial"/>
        <w:b/>
        <w:sz w:val="16"/>
      </w:rPr>
      <w:tab/>
    </w:r>
    <w:proofErr w:type="spellStart"/>
    <w:r>
      <w:rPr>
        <w:rFonts w:cs="Arial"/>
        <w:b/>
        <w:sz w:val="16"/>
      </w:rPr>
      <w:t>ge</w:t>
    </w:r>
    <w:proofErr w:type="spellEnd"/>
    <w:r>
      <w:rPr>
        <w:rFonts w:cs="Arial"/>
        <w:sz w:val="16"/>
      </w:rPr>
      <w:t xml:space="preserve"> = general</w:t>
    </w:r>
    <w:r>
      <w:rPr>
        <w:rFonts w:cs="Arial"/>
        <w:sz w:val="16"/>
      </w:rPr>
      <w:tab/>
    </w:r>
    <w:proofErr w:type="spellStart"/>
    <w:proofErr w:type="gramStart"/>
    <w:r>
      <w:rPr>
        <w:rFonts w:cs="Arial"/>
        <w:b/>
        <w:sz w:val="16"/>
      </w:rPr>
      <w:t>te</w:t>
    </w:r>
    <w:proofErr w:type="spellEnd"/>
    <w:r>
      <w:rPr>
        <w:rFonts w:cs="Arial"/>
        <w:b/>
        <w:sz w:val="16"/>
      </w:rPr>
      <w:t xml:space="preserve"> </w:t>
    </w:r>
    <w:r>
      <w:rPr>
        <w:rFonts w:cs="Arial"/>
        <w:sz w:val="16"/>
      </w:rPr>
      <w:t xml:space="preserve"> =</w:t>
    </w:r>
    <w:proofErr w:type="gramEnd"/>
    <w:r>
      <w:rPr>
        <w:rFonts w:cs="Arial"/>
        <w:sz w:val="16"/>
      </w:rPr>
      <w:t xml:space="preserve"> technical</w:t>
    </w:r>
    <w:r>
      <w:rPr>
        <w:rFonts w:cs="Arial"/>
        <w:sz w:val="16"/>
      </w:rPr>
      <w:tab/>
    </w:r>
    <w:r>
      <w:rPr>
        <w:rFonts w:cs="Arial"/>
        <w:b/>
        <w:sz w:val="16"/>
      </w:rPr>
      <w:t>ed</w:t>
    </w:r>
    <w:r>
      <w:rPr>
        <w:rFonts w:cs="Arial"/>
        <w:sz w:val="16"/>
      </w:rPr>
      <w:t xml:space="preserve"> = editorial</w:t>
    </w:r>
  </w:p>
  <w:p w14:paraId="02522BD3" w14:textId="77777777" w:rsidR="00BE5990" w:rsidRDefault="00BE5990" w:rsidP="00F6054D">
    <w:pPr>
      <w:pStyle w:val="Footer"/>
      <w:tabs>
        <w:tab w:val="clear" w:pos="4536"/>
        <w:tab w:val="clear" w:pos="9072"/>
        <w:tab w:val="left" w:pos="300"/>
        <w:tab w:val="left" w:pos="2100"/>
        <w:tab w:val="left" w:pos="3300"/>
        <w:tab w:val="left" w:pos="4500"/>
      </w:tabs>
      <w:rPr>
        <w:rFonts w:cs="Arial"/>
        <w:sz w:val="16"/>
      </w:rPr>
    </w:pPr>
    <w:r>
      <w:rPr>
        <w:rFonts w:cs="Arial"/>
        <w:sz w:val="16"/>
      </w:rPr>
      <w:t>3</w:t>
    </w:r>
    <w:r>
      <w:rPr>
        <w:rFonts w:cs="Arial"/>
        <w:sz w:val="16"/>
      </w:rPr>
      <w:tab/>
    </w:r>
    <w:r w:rsidRPr="00BE5990">
      <w:rPr>
        <w:rFonts w:cs="Arial"/>
        <w:b/>
        <w:sz w:val="16"/>
      </w:rPr>
      <w:t>Subgroup comment</w:t>
    </w:r>
    <w:r>
      <w:rPr>
        <w:rFonts w:cs="Arial"/>
        <w:sz w:val="16"/>
      </w:rPr>
      <w:t xml:space="preserve">: </w:t>
    </w:r>
    <w:r>
      <w:rPr>
        <w:rFonts w:cs="Arial"/>
        <w:sz w:val="16"/>
      </w:rPr>
      <w:tab/>
    </w:r>
    <w:proofErr w:type="gramStart"/>
    <w:r>
      <w:rPr>
        <w:rFonts w:cs="Arial"/>
        <w:sz w:val="16"/>
      </w:rPr>
      <w:t>i.e.</w:t>
    </w:r>
    <w:proofErr w:type="gramEnd"/>
    <w:r>
      <w:rPr>
        <w:rFonts w:cs="Arial"/>
        <w:sz w:val="16"/>
      </w:rPr>
      <w:t xml:space="preserve"> ACCEPT / REJECT / PARTIALLY ACCEPT. Subgroup to provide rationale where </w:t>
    </w:r>
    <w:proofErr w:type="gramStart"/>
    <w:r>
      <w:rPr>
        <w:rFonts w:cs="Arial"/>
        <w:sz w:val="16"/>
      </w:rPr>
      <w:t>possible</w:t>
    </w:r>
    <w:proofErr w:type="gramEnd"/>
  </w:p>
  <w:p w14:paraId="2567DFBF" w14:textId="77777777" w:rsidR="00F6054D" w:rsidRPr="00F6054D" w:rsidRDefault="00F6054D" w:rsidP="00F6054D">
    <w:pPr>
      <w:pStyle w:val="Footer"/>
      <w:tabs>
        <w:tab w:val="clear" w:pos="4536"/>
        <w:tab w:val="clear" w:pos="9072"/>
        <w:tab w:val="left" w:pos="300"/>
        <w:tab w:val="left" w:pos="2100"/>
        <w:tab w:val="left" w:pos="3300"/>
        <w:tab w:val="left" w:pos="4500"/>
      </w:tabs>
      <w:jc w:val="right"/>
      <w:rPr>
        <w:rFonts w:cs="Arial"/>
        <w:sz w:val="16"/>
      </w:rPr>
    </w:pPr>
    <w:r>
      <w:rPr>
        <w:rFonts w:cs="Arial"/>
        <w:sz w:val="16"/>
      </w:rPr>
      <w:t xml:space="preserve">Page </w:t>
    </w:r>
    <w:r>
      <w:rPr>
        <w:rFonts w:cs="Arial"/>
        <w:sz w:val="16"/>
      </w:rPr>
      <w:fldChar w:fldCharType="begin"/>
    </w:r>
    <w:r>
      <w:rPr>
        <w:rFonts w:cs="Arial"/>
        <w:sz w:val="16"/>
      </w:rPr>
      <w:instrText xml:space="preserve"> PAGE  \* MERGEFORMAT </w:instrText>
    </w:r>
    <w:r>
      <w:rPr>
        <w:rFonts w:cs="Arial"/>
        <w:sz w:val="16"/>
      </w:rPr>
      <w:fldChar w:fldCharType="separate"/>
    </w:r>
    <w:r w:rsidR="00107ECD">
      <w:rPr>
        <w:rFonts w:cs="Arial"/>
        <w:noProof/>
        <w:sz w:val="16"/>
      </w:rPr>
      <w:t>1</w:t>
    </w:r>
    <w:r>
      <w:rPr>
        <w:rFonts w:cs="Arial"/>
        <w:sz w:val="16"/>
      </w:rPr>
      <w:fldChar w:fldCharType="end"/>
    </w:r>
    <w:r>
      <w:rPr>
        <w:rFonts w:cs="Arial"/>
        <w:sz w:val="16"/>
      </w:rPr>
      <w:t xml:space="preserve"> of </w:t>
    </w:r>
    <w:r>
      <w:rPr>
        <w:rFonts w:cs="Arial"/>
        <w:sz w:val="16"/>
      </w:rPr>
      <w:fldChar w:fldCharType="begin"/>
    </w:r>
    <w:r>
      <w:rPr>
        <w:rFonts w:cs="Arial"/>
        <w:sz w:val="16"/>
      </w:rPr>
      <w:instrText xml:space="preserve"> NUMPAGES  \* MERGEFORMAT </w:instrText>
    </w:r>
    <w:r>
      <w:rPr>
        <w:rFonts w:cs="Arial"/>
        <w:sz w:val="16"/>
      </w:rPr>
      <w:fldChar w:fldCharType="separate"/>
    </w:r>
    <w:r w:rsidR="00107ECD">
      <w:rPr>
        <w:rFonts w:cs="Arial"/>
        <w:noProof/>
        <w:sz w:val="16"/>
      </w:rPr>
      <w:t>1</w:t>
    </w:r>
    <w:r>
      <w:rPr>
        <w:rFonts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24078" w14:textId="77777777" w:rsidR="00107ECD" w:rsidRDefault="00107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521B1" w14:textId="77777777" w:rsidR="00114F61" w:rsidRDefault="00114F61" w:rsidP="00F6054D">
      <w:pPr>
        <w:spacing w:after="0" w:line="240" w:lineRule="auto"/>
      </w:pPr>
      <w:r>
        <w:separator/>
      </w:r>
    </w:p>
  </w:footnote>
  <w:footnote w:type="continuationSeparator" w:id="0">
    <w:p w14:paraId="201E4A6A" w14:textId="77777777" w:rsidR="00114F61" w:rsidRDefault="00114F61" w:rsidP="00F6054D">
      <w:pPr>
        <w:spacing w:after="0" w:line="240" w:lineRule="auto"/>
      </w:pPr>
      <w:r>
        <w:continuationSeparator/>
      </w:r>
    </w:p>
  </w:footnote>
  <w:footnote w:id="1">
    <w:p w14:paraId="092DE1B8" w14:textId="77777777" w:rsidR="00EA230D" w:rsidRPr="00AB4516" w:rsidRDefault="00EA230D" w:rsidP="00EA230D">
      <w:pPr>
        <w:pStyle w:val="FootnoteText"/>
        <w:rPr>
          <w:lang w:val="en-IE"/>
        </w:rPr>
      </w:pPr>
      <w:r>
        <w:rPr>
          <w:rStyle w:val="FootnoteReference"/>
        </w:rPr>
        <w:footnoteRef/>
      </w:r>
      <w:r>
        <w:t xml:space="preserve"> </w:t>
      </w:r>
      <w:r w:rsidRPr="00AB4516">
        <w:t xml:space="preserve">Commission Implementing Regulation (EU) </w:t>
      </w:r>
      <w:r>
        <w:t>2022/2346</w:t>
      </w:r>
      <w:r w:rsidRPr="00AB4516">
        <w:t xml:space="preserve"> laying down common specifications for the groups of products without an intended medical purpose listed in Annex XVI to Regulation (EU) 2017/745 of the European Parliament and of the Council on medical devices</w:t>
      </w:r>
      <w:r>
        <w:t xml:space="preserve"> – </w:t>
      </w:r>
      <w:hyperlink r:id="rId1" w:history="1">
        <w:r w:rsidRPr="00720A64">
          <w:rPr>
            <w:rStyle w:val="Hyperlink"/>
          </w:rPr>
          <w:t>http://data.europa.eu/eli/reg_impl/2022/2346/oj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D576D" w14:textId="77777777" w:rsidR="00107ECD" w:rsidRDefault="00107E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783" w:type="dxa"/>
      <w:tblLayout w:type="fixed"/>
      <w:tblCellMar>
        <w:left w:w="48" w:type="dxa"/>
        <w:right w:w="48" w:type="dxa"/>
      </w:tblCellMar>
      <w:tblLook w:val="0000" w:firstRow="0" w:lastRow="0" w:firstColumn="0" w:lastColumn="0" w:noHBand="0" w:noVBand="0"/>
    </w:tblPr>
    <w:tblGrid>
      <w:gridCol w:w="7136"/>
      <w:gridCol w:w="1984"/>
      <w:gridCol w:w="2835"/>
      <w:gridCol w:w="3828"/>
    </w:tblGrid>
    <w:tr w:rsidR="00F6054D" w:rsidRPr="002E5B02" w14:paraId="7C1A6365" w14:textId="77777777" w:rsidTr="002E5B02">
      <w:trPr>
        <w:trHeight w:val="340"/>
      </w:trPr>
      <w:tc>
        <w:tcPr>
          <w:tcW w:w="7136" w:type="dxa"/>
          <w:tcBorders>
            <w:right w:val="single" w:sz="4" w:space="0" w:color="auto"/>
          </w:tcBorders>
          <w:shd w:val="clear" w:color="auto" w:fill="auto"/>
          <w:vAlign w:val="center"/>
        </w:tcPr>
        <w:p w14:paraId="201D460B" w14:textId="77777777" w:rsidR="00F6054D" w:rsidRPr="002E5B02" w:rsidRDefault="00F6054D" w:rsidP="00BE5990">
          <w:pPr>
            <w:pStyle w:val="Header"/>
            <w:rPr>
              <w:rFonts w:cs="Arial"/>
              <w:b/>
            </w:rPr>
          </w:pPr>
          <w:r w:rsidRPr="002E5B02">
            <w:rPr>
              <w:rFonts w:cs="Arial"/>
              <w:b/>
            </w:rPr>
            <w:t xml:space="preserve">Template for comments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14E8E4" w14:textId="54A8068F" w:rsidR="00F6054D" w:rsidRPr="002E5B02" w:rsidRDefault="00F6054D" w:rsidP="00A60A0F">
          <w:pPr>
            <w:pStyle w:val="Header"/>
            <w:rPr>
              <w:rFonts w:cs="Arial"/>
              <w:sz w:val="16"/>
            </w:rPr>
          </w:pPr>
          <w:r w:rsidRPr="002E5B02">
            <w:rPr>
              <w:rFonts w:cs="Arial"/>
              <w:sz w:val="16"/>
            </w:rPr>
            <w:t>D</w:t>
          </w:r>
          <w:r w:rsidR="00BE5990" w:rsidRPr="002E5B02">
            <w:rPr>
              <w:rFonts w:cs="Arial"/>
              <w:sz w:val="16"/>
            </w:rPr>
            <w:t>ate:</w:t>
          </w:r>
          <w:r w:rsidR="007F1FB5" w:rsidRPr="002E5B02">
            <w:rPr>
              <w:rFonts w:cs="Arial"/>
              <w:sz w:val="16"/>
            </w:rPr>
            <w:t xml:space="preserve"> </w:t>
          </w:r>
          <w:r w:rsidR="00075F02">
            <w:rPr>
              <w:rFonts w:cs="Arial"/>
              <w:sz w:val="16"/>
            </w:rPr>
            <w:t>17</w:t>
          </w:r>
          <w:r w:rsidR="00BC1F08" w:rsidRPr="002E5B02">
            <w:rPr>
              <w:rFonts w:cs="Arial"/>
              <w:sz w:val="16"/>
            </w:rPr>
            <w:t xml:space="preserve"> </w:t>
          </w:r>
          <w:r w:rsidR="00075F02">
            <w:rPr>
              <w:rFonts w:cs="Arial"/>
              <w:sz w:val="16"/>
            </w:rPr>
            <w:t>October</w:t>
          </w:r>
          <w:r w:rsidR="00BC1F08" w:rsidRPr="002E5B02">
            <w:rPr>
              <w:rFonts w:cs="Arial"/>
              <w:sz w:val="16"/>
            </w:rPr>
            <w:t xml:space="preserve"> 202</w:t>
          </w:r>
          <w:r w:rsidR="00A60A0F">
            <w:rPr>
              <w:rFonts w:cs="Arial"/>
              <w:sz w:val="16"/>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3744F4" w14:textId="0CBB9A6B" w:rsidR="00F6054D" w:rsidRPr="00075F02" w:rsidRDefault="00F6054D" w:rsidP="00A60A0F">
          <w:pPr>
            <w:pStyle w:val="Header"/>
            <w:rPr>
              <w:rFonts w:cs="Arial"/>
              <w:sz w:val="16"/>
              <w:lang w:val="en-IE"/>
            </w:rPr>
          </w:pPr>
          <w:r w:rsidRPr="00075F02">
            <w:rPr>
              <w:rFonts w:cs="Arial"/>
              <w:sz w:val="16"/>
              <w:lang w:val="en-IE"/>
            </w:rPr>
            <w:t xml:space="preserve">Document: </w:t>
          </w:r>
          <w:r w:rsidR="00A60A0F" w:rsidRPr="00075F02">
            <w:rPr>
              <w:rFonts w:cs="Arial"/>
              <w:sz w:val="16"/>
              <w:lang w:val="en-IE"/>
            </w:rPr>
            <w:t xml:space="preserve">draft </w:t>
          </w:r>
          <w:r w:rsidR="00075F02" w:rsidRPr="00075F02">
            <w:rPr>
              <w:rFonts w:cs="Arial"/>
              <w:sz w:val="16"/>
              <w:lang w:val="en-IE"/>
            </w:rPr>
            <w:t xml:space="preserve">guidance document on clinical equivalence for </w:t>
          </w:r>
          <w:r w:rsidR="000C48B8" w:rsidRPr="00075F02">
            <w:rPr>
              <w:rFonts w:cs="Arial"/>
              <w:sz w:val="16"/>
              <w:lang w:val="en-IE"/>
            </w:rPr>
            <w:t>Annex XVI produc</w:t>
          </w:r>
          <w:r w:rsidR="00782475" w:rsidRPr="00075F02">
            <w:rPr>
              <w:rFonts w:cs="Arial"/>
              <w:sz w:val="16"/>
              <w:lang w:val="en-IE"/>
            </w:rPr>
            <w:t>t</w:t>
          </w:r>
          <w:r w:rsidR="000C48B8" w:rsidRPr="00075F02">
            <w:rPr>
              <w:rFonts w:cs="Arial"/>
              <w:sz w:val="16"/>
              <w:lang w:val="en-IE"/>
            </w:rPr>
            <w:t>s</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A5CFB1E" w14:textId="77777777" w:rsidR="00F6054D" w:rsidRPr="002E5B02" w:rsidRDefault="002E5B02" w:rsidP="002E5B02">
          <w:pPr>
            <w:pStyle w:val="Header"/>
            <w:rPr>
              <w:rFonts w:cs="Arial"/>
              <w:sz w:val="16"/>
            </w:rPr>
          </w:pPr>
          <w:r>
            <w:rPr>
              <w:rFonts w:cs="Arial"/>
              <w:sz w:val="16"/>
            </w:rPr>
            <w:t>C</w:t>
          </w:r>
          <w:r w:rsidR="00434948" w:rsidRPr="002E5B02">
            <w:rPr>
              <w:rFonts w:cs="Arial"/>
              <w:sz w:val="16"/>
            </w:rPr>
            <w:t xml:space="preserve">onsultation of </w:t>
          </w:r>
          <w:r w:rsidRPr="002E5B02">
            <w:rPr>
              <w:rFonts w:cs="Arial"/>
              <w:sz w:val="16"/>
            </w:rPr>
            <w:t>Annex XVI</w:t>
          </w:r>
          <w:r w:rsidR="007F1FB5" w:rsidRPr="002E5B02">
            <w:rPr>
              <w:rFonts w:cs="Arial"/>
              <w:sz w:val="16"/>
            </w:rPr>
            <w:t xml:space="preserve"> </w:t>
          </w:r>
          <w:r>
            <w:rPr>
              <w:rFonts w:cs="Arial"/>
              <w:sz w:val="16"/>
            </w:rPr>
            <w:t xml:space="preserve">Subgroup </w:t>
          </w:r>
          <w:r w:rsidRPr="002E5B02">
            <w:rPr>
              <w:rFonts w:cs="Arial"/>
              <w:sz w:val="16"/>
            </w:rPr>
            <w:t xml:space="preserve">(NCAs + </w:t>
          </w:r>
          <w:proofErr w:type="spellStart"/>
          <w:r w:rsidRPr="002E5B02">
            <w:rPr>
              <w:rFonts w:cs="Arial"/>
              <w:sz w:val="16"/>
            </w:rPr>
            <w:t>S</w:t>
          </w:r>
          <w:r w:rsidR="00BC1F08" w:rsidRPr="002E5B02">
            <w:rPr>
              <w:rFonts w:cs="Arial"/>
              <w:sz w:val="16"/>
            </w:rPr>
            <w:t>tks</w:t>
          </w:r>
          <w:proofErr w:type="spellEnd"/>
          <w:r w:rsidRPr="002E5B02">
            <w:rPr>
              <w:rFonts w:cs="Arial"/>
              <w:sz w:val="16"/>
            </w:rPr>
            <w:t>)</w:t>
          </w:r>
        </w:p>
      </w:tc>
    </w:tr>
  </w:tbl>
  <w:p w14:paraId="1B640E0F" w14:textId="77777777" w:rsidR="00F6054D" w:rsidRPr="002E5B02" w:rsidRDefault="00F6054D">
    <w:pPr>
      <w:pStyle w:val="Header"/>
      <w:rPr>
        <w:rFonts w:cs="Arial"/>
        <w:sz w:val="18"/>
      </w:rPr>
    </w:pPr>
  </w:p>
  <w:tbl>
    <w:tblPr>
      <w:tblW w:w="15805"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8" w:type="dxa"/>
        <w:right w:w="48" w:type="dxa"/>
      </w:tblCellMar>
      <w:tblLook w:val="0000" w:firstRow="0" w:lastRow="0" w:firstColumn="0" w:lastColumn="0" w:noHBand="0" w:noVBand="0"/>
    </w:tblPr>
    <w:tblGrid>
      <w:gridCol w:w="1063"/>
      <w:gridCol w:w="708"/>
      <w:gridCol w:w="1134"/>
      <w:gridCol w:w="1134"/>
      <w:gridCol w:w="940"/>
      <w:gridCol w:w="4110"/>
      <w:gridCol w:w="4253"/>
      <w:gridCol w:w="2463"/>
    </w:tblGrid>
    <w:tr w:rsidR="00F6054D" w:rsidRPr="002E5B02" w14:paraId="4210E715" w14:textId="77777777" w:rsidTr="002E5B02">
      <w:trPr>
        <w:trHeight w:val="283"/>
      </w:trPr>
      <w:tc>
        <w:tcPr>
          <w:tcW w:w="1063" w:type="dxa"/>
          <w:shd w:val="clear" w:color="auto" w:fill="auto"/>
          <w:vAlign w:val="center"/>
        </w:tcPr>
        <w:p w14:paraId="687C0C5F" w14:textId="77777777" w:rsidR="00F6054D" w:rsidRPr="002E5B02" w:rsidRDefault="00BE5990" w:rsidP="002E5B02">
          <w:pPr>
            <w:pStyle w:val="Header"/>
            <w:spacing w:before="60" w:after="60" w:line="240" w:lineRule="exact"/>
            <w:jc w:val="center"/>
            <w:rPr>
              <w:rFonts w:cs="Arial"/>
              <w:b/>
              <w:sz w:val="16"/>
            </w:rPr>
          </w:pPr>
          <w:r w:rsidRPr="002E5B02">
            <w:rPr>
              <w:rFonts w:cs="Arial"/>
              <w:b/>
              <w:sz w:val="16"/>
            </w:rPr>
            <w:t>NCA / Stakeholder</w:t>
          </w:r>
          <w:r w:rsidR="00F6054D" w:rsidRPr="002E5B02">
            <w:rPr>
              <w:rFonts w:cs="Arial"/>
              <w:b/>
              <w:sz w:val="14"/>
              <w:vertAlign w:val="superscript"/>
            </w:rPr>
            <w:t>1</w:t>
          </w:r>
        </w:p>
      </w:tc>
      <w:tc>
        <w:tcPr>
          <w:tcW w:w="708" w:type="dxa"/>
          <w:shd w:val="clear" w:color="auto" w:fill="auto"/>
          <w:vAlign w:val="center"/>
        </w:tcPr>
        <w:p w14:paraId="79F377D1"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Line number</w:t>
          </w:r>
        </w:p>
      </w:tc>
      <w:tc>
        <w:tcPr>
          <w:tcW w:w="1134" w:type="dxa"/>
          <w:shd w:val="clear" w:color="auto" w:fill="auto"/>
          <w:vAlign w:val="center"/>
        </w:tcPr>
        <w:p w14:paraId="0C488EEE"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Clause/</w:t>
          </w:r>
          <w:r w:rsidRPr="002E5B02">
            <w:rPr>
              <w:rFonts w:cs="Arial"/>
              <w:b/>
              <w:sz w:val="16"/>
            </w:rPr>
            <w:br/>
            <w:t>Subclause</w:t>
          </w:r>
        </w:p>
      </w:tc>
      <w:tc>
        <w:tcPr>
          <w:tcW w:w="1134" w:type="dxa"/>
          <w:shd w:val="clear" w:color="auto" w:fill="auto"/>
          <w:vAlign w:val="center"/>
        </w:tcPr>
        <w:p w14:paraId="569FF9A1"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Paragraph/</w:t>
          </w:r>
          <w:r w:rsidRPr="002E5B02">
            <w:rPr>
              <w:rFonts w:cs="Arial"/>
              <w:b/>
              <w:sz w:val="16"/>
            </w:rPr>
            <w:br/>
            <w:t>Figure/Table</w:t>
          </w:r>
        </w:p>
      </w:tc>
      <w:tc>
        <w:tcPr>
          <w:tcW w:w="940" w:type="dxa"/>
          <w:shd w:val="clear" w:color="auto" w:fill="auto"/>
          <w:vAlign w:val="center"/>
        </w:tcPr>
        <w:p w14:paraId="52388608" w14:textId="77777777" w:rsidR="00F6054D" w:rsidRPr="002E5B02" w:rsidRDefault="00F6054D" w:rsidP="002E5B02">
          <w:pPr>
            <w:pStyle w:val="Header"/>
            <w:spacing w:before="60" w:after="60" w:line="240" w:lineRule="exact"/>
            <w:jc w:val="center"/>
            <w:rPr>
              <w:rFonts w:cs="Arial"/>
              <w:b/>
              <w:sz w:val="16"/>
              <w:vertAlign w:val="superscript"/>
            </w:rPr>
          </w:pPr>
          <w:r w:rsidRPr="002E5B02">
            <w:rPr>
              <w:rFonts w:cs="Arial"/>
              <w:b/>
              <w:sz w:val="16"/>
            </w:rPr>
            <w:t>Type of comment</w:t>
          </w:r>
          <w:r w:rsidRPr="002E5B02">
            <w:rPr>
              <w:rFonts w:cs="Arial"/>
              <w:b/>
              <w:sz w:val="16"/>
              <w:vertAlign w:val="superscript"/>
            </w:rPr>
            <w:t>2</w:t>
          </w:r>
        </w:p>
      </w:tc>
      <w:tc>
        <w:tcPr>
          <w:tcW w:w="4110" w:type="dxa"/>
          <w:shd w:val="clear" w:color="auto" w:fill="auto"/>
          <w:vAlign w:val="center"/>
        </w:tcPr>
        <w:p w14:paraId="5D7AB400"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Comments</w:t>
          </w:r>
        </w:p>
      </w:tc>
      <w:tc>
        <w:tcPr>
          <w:tcW w:w="4253" w:type="dxa"/>
          <w:shd w:val="clear" w:color="auto" w:fill="auto"/>
          <w:vAlign w:val="center"/>
        </w:tcPr>
        <w:p w14:paraId="47584EB3" w14:textId="77777777" w:rsidR="00F6054D" w:rsidRPr="002E5B02" w:rsidRDefault="00F6054D" w:rsidP="002E5B02">
          <w:pPr>
            <w:pStyle w:val="Header"/>
            <w:spacing w:before="60" w:after="60" w:line="240" w:lineRule="exact"/>
            <w:jc w:val="center"/>
            <w:rPr>
              <w:rFonts w:cs="Arial"/>
              <w:b/>
              <w:sz w:val="16"/>
            </w:rPr>
          </w:pPr>
          <w:r w:rsidRPr="002E5B02">
            <w:rPr>
              <w:rFonts w:cs="Arial"/>
              <w:b/>
              <w:sz w:val="16"/>
            </w:rPr>
            <w:t>Proposed change</w:t>
          </w:r>
        </w:p>
      </w:tc>
      <w:tc>
        <w:tcPr>
          <w:tcW w:w="2463" w:type="dxa"/>
          <w:shd w:val="clear" w:color="auto" w:fill="auto"/>
          <w:vAlign w:val="center"/>
        </w:tcPr>
        <w:p w14:paraId="21CFF5AE" w14:textId="77777777" w:rsidR="00F6054D" w:rsidRPr="002E5B02" w:rsidRDefault="00BE5990" w:rsidP="002E5B02">
          <w:pPr>
            <w:pStyle w:val="Header"/>
            <w:spacing w:before="60" w:after="60" w:line="240" w:lineRule="exact"/>
            <w:jc w:val="center"/>
            <w:rPr>
              <w:rFonts w:cs="Arial"/>
              <w:b/>
              <w:sz w:val="16"/>
            </w:rPr>
          </w:pPr>
          <w:r w:rsidRPr="002E5B02">
            <w:rPr>
              <w:rFonts w:cs="Arial"/>
              <w:b/>
              <w:sz w:val="16"/>
            </w:rPr>
            <w:t>Subgroup comment</w:t>
          </w:r>
          <w:r w:rsidRPr="002E5B02">
            <w:rPr>
              <w:rFonts w:cs="Arial"/>
              <w:b/>
              <w:sz w:val="16"/>
              <w:vertAlign w:val="superscript"/>
            </w:rPr>
            <w:t>3</w:t>
          </w:r>
        </w:p>
      </w:tc>
    </w:tr>
  </w:tbl>
  <w:p w14:paraId="1D7DE66D" w14:textId="77777777" w:rsidR="00F6054D" w:rsidRPr="00AF2103" w:rsidRDefault="00F6054D">
    <w:pPr>
      <w:pStyle w:val="Header"/>
      <w:rPr>
        <w:rFonts w:ascii="Segoe UI" w:hAnsi="Segoe UI" w:cs="Segoe UI"/>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55D28" w14:textId="77777777" w:rsidR="00107ECD" w:rsidRDefault="00107E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747B4"/>
    <w:multiLevelType w:val="hybridMultilevel"/>
    <w:tmpl w:val="333CE2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0446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s>
  <w:rsids>
    <w:rsidRoot w:val="00F6054D"/>
    <w:rsid w:val="000011B0"/>
    <w:rsid w:val="000024A0"/>
    <w:rsid w:val="00005377"/>
    <w:rsid w:val="00051422"/>
    <w:rsid w:val="00060E38"/>
    <w:rsid w:val="00075F02"/>
    <w:rsid w:val="000841B0"/>
    <w:rsid w:val="00092F23"/>
    <w:rsid w:val="00095DC4"/>
    <w:rsid w:val="000B50B5"/>
    <w:rsid w:val="000C3005"/>
    <w:rsid w:val="000C48B8"/>
    <w:rsid w:val="000E7A26"/>
    <w:rsid w:val="000F588E"/>
    <w:rsid w:val="00107ECD"/>
    <w:rsid w:val="00114F61"/>
    <w:rsid w:val="0011581F"/>
    <w:rsid w:val="00123735"/>
    <w:rsid w:val="00125401"/>
    <w:rsid w:val="001554C4"/>
    <w:rsid w:val="00165810"/>
    <w:rsid w:val="0016701D"/>
    <w:rsid w:val="00177BB9"/>
    <w:rsid w:val="001A117C"/>
    <w:rsid w:val="001D5CC3"/>
    <w:rsid w:val="001E7A52"/>
    <w:rsid w:val="001F75FD"/>
    <w:rsid w:val="002E5B02"/>
    <w:rsid w:val="002F08BB"/>
    <w:rsid w:val="0032407F"/>
    <w:rsid w:val="003454DD"/>
    <w:rsid w:val="00360753"/>
    <w:rsid w:val="00363906"/>
    <w:rsid w:val="00397DE2"/>
    <w:rsid w:val="003C5301"/>
    <w:rsid w:val="003E74D3"/>
    <w:rsid w:val="003F5154"/>
    <w:rsid w:val="00402E8C"/>
    <w:rsid w:val="00422258"/>
    <w:rsid w:val="00434948"/>
    <w:rsid w:val="00451A7F"/>
    <w:rsid w:val="004747FB"/>
    <w:rsid w:val="00486F4D"/>
    <w:rsid w:val="004B05FC"/>
    <w:rsid w:val="004B7B94"/>
    <w:rsid w:val="004D7AD3"/>
    <w:rsid w:val="00502EC7"/>
    <w:rsid w:val="0050304B"/>
    <w:rsid w:val="00504DF4"/>
    <w:rsid w:val="00536324"/>
    <w:rsid w:val="00540D39"/>
    <w:rsid w:val="00560329"/>
    <w:rsid w:val="00564C7B"/>
    <w:rsid w:val="005C2B9E"/>
    <w:rsid w:val="005D18F9"/>
    <w:rsid w:val="005F225B"/>
    <w:rsid w:val="006005A6"/>
    <w:rsid w:val="006023AA"/>
    <w:rsid w:val="00602ED3"/>
    <w:rsid w:val="00626071"/>
    <w:rsid w:val="006305EB"/>
    <w:rsid w:val="00676C6B"/>
    <w:rsid w:val="006A015A"/>
    <w:rsid w:val="006A6855"/>
    <w:rsid w:val="006B2D30"/>
    <w:rsid w:val="006C5BBC"/>
    <w:rsid w:val="006D2ED3"/>
    <w:rsid w:val="006E07DD"/>
    <w:rsid w:val="006E6924"/>
    <w:rsid w:val="0070259C"/>
    <w:rsid w:val="00752B79"/>
    <w:rsid w:val="00755A93"/>
    <w:rsid w:val="007600B1"/>
    <w:rsid w:val="0076372C"/>
    <w:rsid w:val="00782475"/>
    <w:rsid w:val="00795E84"/>
    <w:rsid w:val="007D7531"/>
    <w:rsid w:val="007E6EFF"/>
    <w:rsid w:val="007F061F"/>
    <w:rsid w:val="007F1FB5"/>
    <w:rsid w:val="007F5B0F"/>
    <w:rsid w:val="00864271"/>
    <w:rsid w:val="008723EA"/>
    <w:rsid w:val="008968E2"/>
    <w:rsid w:val="008A6109"/>
    <w:rsid w:val="008B411D"/>
    <w:rsid w:val="008C3814"/>
    <w:rsid w:val="008D356C"/>
    <w:rsid w:val="008F3AB5"/>
    <w:rsid w:val="008F5F28"/>
    <w:rsid w:val="008F61BD"/>
    <w:rsid w:val="00925D62"/>
    <w:rsid w:val="00932A2A"/>
    <w:rsid w:val="00932C7C"/>
    <w:rsid w:val="00957AFD"/>
    <w:rsid w:val="0096478D"/>
    <w:rsid w:val="00967869"/>
    <w:rsid w:val="009B6684"/>
    <w:rsid w:val="009C1A56"/>
    <w:rsid w:val="009C4B72"/>
    <w:rsid w:val="009C603F"/>
    <w:rsid w:val="009E1EBF"/>
    <w:rsid w:val="009E5AAF"/>
    <w:rsid w:val="009F03E3"/>
    <w:rsid w:val="009F5A1F"/>
    <w:rsid w:val="00A06484"/>
    <w:rsid w:val="00A1434F"/>
    <w:rsid w:val="00A60A0F"/>
    <w:rsid w:val="00A8544D"/>
    <w:rsid w:val="00AB3D9F"/>
    <w:rsid w:val="00AC1C78"/>
    <w:rsid w:val="00AC69AB"/>
    <w:rsid w:val="00AD1443"/>
    <w:rsid w:val="00AE3A36"/>
    <w:rsid w:val="00AE6CEF"/>
    <w:rsid w:val="00AF2103"/>
    <w:rsid w:val="00B05DC2"/>
    <w:rsid w:val="00B1724A"/>
    <w:rsid w:val="00B2158C"/>
    <w:rsid w:val="00B25D81"/>
    <w:rsid w:val="00B54487"/>
    <w:rsid w:val="00B60B47"/>
    <w:rsid w:val="00B73C44"/>
    <w:rsid w:val="00B8218A"/>
    <w:rsid w:val="00B837AC"/>
    <w:rsid w:val="00B87076"/>
    <w:rsid w:val="00BA4636"/>
    <w:rsid w:val="00BB072F"/>
    <w:rsid w:val="00BB19F8"/>
    <w:rsid w:val="00BB35C6"/>
    <w:rsid w:val="00BB5155"/>
    <w:rsid w:val="00BC1F08"/>
    <w:rsid w:val="00BE5990"/>
    <w:rsid w:val="00C222A8"/>
    <w:rsid w:val="00C43ADB"/>
    <w:rsid w:val="00C63205"/>
    <w:rsid w:val="00C73A08"/>
    <w:rsid w:val="00C77914"/>
    <w:rsid w:val="00C87A49"/>
    <w:rsid w:val="00C93A40"/>
    <w:rsid w:val="00CA1696"/>
    <w:rsid w:val="00CC6968"/>
    <w:rsid w:val="00CD0B48"/>
    <w:rsid w:val="00CF1315"/>
    <w:rsid w:val="00CF49CB"/>
    <w:rsid w:val="00D15B67"/>
    <w:rsid w:val="00D43AB4"/>
    <w:rsid w:val="00D839FF"/>
    <w:rsid w:val="00DA5A02"/>
    <w:rsid w:val="00E00BC8"/>
    <w:rsid w:val="00E02C73"/>
    <w:rsid w:val="00E068B3"/>
    <w:rsid w:val="00E150A6"/>
    <w:rsid w:val="00E240D2"/>
    <w:rsid w:val="00E33D2F"/>
    <w:rsid w:val="00E377A8"/>
    <w:rsid w:val="00E535C1"/>
    <w:rsid w:val="00E83609"/>
    <w:rsid w:val="00E94099"/>
    <w:rsid w:val="00EA230D"/>
    <w:rsid w:val="00ED1836"/>
    <w:rsid w:val="00EF4AE7"/>
    <w:rsid w:val="00EF56A6"/>
    <w:rsid w:val="00EF5C36"/>
    <w:rsid w:val="00F163E5"/>
    <w:rsid w:val="00F52EDD"/>
    <w:rsid w:val="00F6054D"/>
    <w:rsid w:val="00F7271A"/>
    <w:rsid w:val="00F8332F"/>
    <w:rsid w:val="00F9582B"/>
    <w:rsid w:val="00FB4873"/>
    <w:rsid w:val="00FD7210"/>
    <w:rsid w:val="00FD7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87081"/>
  <w15:docId w15:val="{442C0A7D-3861-46FF-B24A-9D9ACEA66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B02"/>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054D"/>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054D"/>
  </w:style>
  <w:style w:type="paragraph" w:styleId="Footer">
    <w:name w:val="footer"/>
    <w:basedOn w:val="Normal"/>
    <w:link w:val="FooterChar"/>
    <w:uiPriority w:val="99"/>
    <w:unhideWhenUsed/>
    <w:rsid w:val="00F6054D"/>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054D"/>
  </w:style>
  <w:style w:type="paragraph" w:customStyle="1" w:styleId="ISOMB">
    <w:name w:val="ISO_MB"/>
    <w:basedOn w:val="Normal"/>
    <w:rsid w:val="00F6054D"/>
    <w:pPr>
      <w:spacing w:before="210" w:after="0" w:line="210" w:lineRule="exact"/>
    </w:pPr>
    <w:rPr>
      <w:rFonts w:eastAsia="Times New Roman" w:cs="Times New Roman"/>
      <w:sz w:val="18"/>
      <w:szCs w:val="20"/>
      <w:lang w:val="en-GB"/>
    </w:rPr>
  </w:style>
  <w:style w:type="paragraph" w:customStyle="1" w:styleId="ISOClause">
    <w:name w:val="ISO_Clause"/>
    <w:basedOn w:val="Normal"/>
    <w:rsid w:val="00F6054D"/>
    <w:pPr>
      <w:spacing w:before="210" w:after="0" w:line="210" w:lineRule="exact"/>
    </w:pPr>
    <w:rPr>
      <w:rFonts w:eastAsia="Times New Roman" w:cs="Times New Roman"/>
      <w:sz w:val="18"/>
      <w:szCs w:val="20"/>
      <w:lang w:val="en-GB"/>
    </w:rPr>
  </w:style>
  <w:style w:type="paragraph" w:customStyle="1" w:styleId="ISOParagraph">
    <w:name w:val="ISO_Paragraph"/>
    <w:basedOn w:val="Normal"/>
    <w:rsid w:val="00F6054D"/>
    <w:pPr>
      <w:spacing w:before="210" w:after="0" w:line="210" w:lineRule="exact"/>
    </w:pPr>
    <w:rPr>
      <w:rFonts w:eastAsia="Times New Roman" w:cs="Times New Roman"/>
      <w:sz w:val="18"/>
      <w:szCs w:val="20"/>
      <w:lang w:val="en-GB"/>
    </w:rPr>
  </w:style>
  <w:style w:type="paragraph" w:customStyle="1" w:styleId="ISOCommType">
    <w:name w:val="ISO_Comm_Type"/>
    <w:basedOn w:val="Normal"/>
    <w:rsid w:val="00F6054D"/>
    <w:pPr>
      <w:spacing w:before="210" w:after="0" w:line="210" w:lineRule="exact"/>
    </w:pPr>
    <w:rPr>
      <w:rFonts w:eastAsia="Times New Roman" w:cs="Times New Roman"/>
      <w:sz w:val="18"/>
      <w:szCs w:val="20"/>
      <w:lang w:val="en-GB"/>
    </w:rPr>
  </w:style>
  <w:style w:type="paragraph" w:customStyle="1" w:styleId="ISOComments">
    <w:name w:val="ISO_Comments"/>
    <w:basedOn w:val="Normal"/>
    <w:rsid w:val="00F6054D"/>
    <w:pPr>
      <w:spacing w:before="210" w:after="0" w:line="210" w:lineRule="exact"/>
    </w:pPr>
    <w:rPr>
      <w:rFonts w:eastAsia="Times New Roman" w:cs="Times New Roman"/>
      <w:sz w:val="18"/>
      <w:szCs w:val="20"/>
      <w:lang w:val="en-GB"/>
    </w:rPr>
  </w:style>
  <w:style w:type="paragraph" w:customStyle="1" w:styleId="ISOChange">
    <w:name w:val="ISO_Change"/>
    <w:basedOn w:val="Normal"/>
    <w:rsid w:val="00F6054D"/>
    <w:pPr>
      <w:spacing w:before="210" w:after="0" w:line="210" w:lineRule="exact"/>
    </w:pPr>
    <w:rPr>
      <w:rFonts w:eastAsia="Times New Roman" w:cs="Times New Roman"/>
      <w:sz w:val="18"/>
      <w:szCs w:val="20"/>
      <w:lang w:val="en-GB"/>
    </w:rPr>
  </w:style>
  <w:style w:type="paragraph" w:customStyle="1" w:styleId="ISOSecretObservations">
    <w:name w:val="ISO_Secret_Observations"/>
    <w:basedOn w:val="Normal"/>
    <w:rsid w:val="00F6054D"/>
    <w:pPr>
      <w:spacing w:before="210" w:after="0" w:line="210" w:lineRule="exact"/>
    </w:pPr>
    <w:rPr>
      <w:rFonts w:eastAsia="Times New Roman" w:cs="Times New Roman"/>
      <w:sz w:val="18"/>
      <w:szCs w:val="20"/>
      <w:lang w:val="en-GB"/>
    </w:rPr>
  </w:style>
  <w:style w:type="character" w:styleId="CommentReference">
    <w:name w:val="annotation reference"/>
    <w:uiPriority w:val="99"/>
    <w:semiHidden/>
    <w:unhideWhenUsed/>
    <w:rsid w:val="00F6054D"/>
    <w:rPr>
      <w:sz w:val="16"/>
      <w:szCs w:val="16"/>
    </w:rPr>
  </w:style>
  <w:style w:type="table" w:customStyle="1" w:styleId="PlainTable11">
    <w:name w:val="Plain Table 11"/>
    <w:basedOn w:val="TableNormal"/>
    <w:uiPriority w:val="41"/>
    <w:rsid w:val="00F605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F6054D"/>
    <w:pPr>
      <w:spacing w:after="120" w:line="240" w:lineRule="atLeast"/>
      <w:jc w:val="both"/>
    </w:pPr>
    <w:rPr>
      <w:rFonts w:ascii="Cambria" w:eastAsia="Calibri" w:hAnsi="Cambria" w:cs="Times New Roman"/>
      <w:lang w:val="en-GB"/>
    </w:rPr>
  </w:style>
  <w:style w:type="character" w:customStyle="1" w:styleId="BodyTextChar">
    <w:name w:val="Body Text Char"/>
    <w:basedOn w:val="DefaultParagraphFont"/>
    <w:link w:val="BodyText"/>
    <w:uiPriority w:val="99"/>
    <w:semiHidden/>
    <w:rsid w:val="00F6054D"/>
    <w:rPr>
      <w:rFonts w:ascii="Cambria" w:eastAsia="Calibri" w:hAnsi="Cambria" w:cs="Times New Roman"/>
      <w:lang w:val="en-GB"/>
    </w:rPr>
  </w:style>
  <w:style w:type="paragraph" w:customStyle="1" w:styleId="Tablebody">
    <w:name w:val="Table body"/>
    <w:basedOn w:val="Normal"/>
    <w:link w:val="TablebodyChar"/>
    <w:rsid w:val="00F6054D"/>
    <w:pPr>
      <w:spacing w:before="60" w:after="60" w:line="210" w:lineRule="atLeast"/>
    </w:pPr>
    <w:rPr>
      <w:rFonts w:ascii="Cambria" w:eastAsia="Calibri" w:hAnsi="Cambria" w:cs="Times New Roman"/>
      <w:sz w:val="20"/>
      <w:lang w:val="en-GB"/>
    </w:rPr>
  </w:style>
  <w:style w:type="character" w:customStyle="1" w:styleId="TablebodyChar">
    <w:name w:val="Table body Char"/>
    <w:link w:val="Tablebody"/>
    <w:locked/>
    <w:rsid w:val="00F6054D"/>
    <w:rPr>
      <w:rFonts w:ascii="Cambria" w:eastAsia="Calibri" w:hAnsi="Cambria" w:cs="Times New Roman"/>
      <w:sz w:val="20"/>
      <w:lang w:val="en-GB"/>
    </w:rPr>
  </w:style>
  <w:style w:type="character" w:styleId="Hyperlink">
    <w:name w:val="Hyperlink"/>
    <w:uiPriority w:val="99"/>
    <w:rsid w:val="00F6054D"/>
    <w:rPr>
      <w:color w:val="0000FF"/>
      <w:u w:val="single"/>
    </w:rPr>
  </w:style>
  <w:style w:type="paragraph" w:customStyle="1" w:styleId="pf0">
    <w:name w:val="pf0"/>
    <w:basedOn w:val="Normal"/>
    <w:rsid w:val="00EA230D"/>
    <w:pPr>
      <w:spacing w:before="100" w:beforeAutospacing="1" w:after="100" w:afterAutospacing="1" w:line="240" w:lineRule="auto"/>
    </w:pPr>
    <w:rPr>
      <w:rFonts w:ascii="Times New Roman" w:eastAsia="Times New Roman" w:hAnsi="Times New Roman" w:cs="Times New Roman"/>
      <w:sz w:val="24"/>
      <w:szCs w:val="24"/>
      <w:lang w:val="nl-BE" w:eastAsia="nl-BE"/>
    </w:rPr>
  </w:style>
  <w:style w:type="character" w:customStyle="1" w:styleId="cf01">
    <w:name w:val="cf01"/>
    <w:basedOn w:val="DefaultParagraphFont"/>
    <w:rsid w:val="00EA230D"/>
    <w:rPr>
      <w:rFonts w:ascii="Segoe UI" w:hAnsi="Segoe UI" w:cs="Segoe UI" w:hint="default"/>
      <w:sz w:val="18"/>
      <w:szCs w:val="18"/>
    </w:rPr>
  </w:style>
  <w:style w:type="character" w:customStyle="1" w:styleId="cf21">
    <w:name w:val="cf21"/>
    <w:basedOn w:val="DefaultParagraphFont"/>
    <w:rsid w:val="00EA230D"/>
    <w:rPr>
      <w:rFonts w:ascii="Segoe UI" w:hAnsi="Segoe UI" w:cs="Segoe UI" w:hint="default"/>
      <w:b/>
      <w:bCs/>
      <w:sz w:val="18"/>
      <w:szCs w:val="18"/>
    </w:rPr>
  </w:style>
  <w:style w:type="paragraph" w:styleId="FootnoteText">
    <w:name w:val="footnote text"/>
    <w:basedOn w:val="Normal"/>
    <w:link w:val="FootnoteTextChar"/>
    <w:uiPriority w:val="99"/>
    <w:semiHidden/>
    <w:unhideWhenUsed/>
    <w:rsid w:val="00EA230D"/>
    <w:pPr>
      <w:spacing w:after="0" w:line="240" w:lineRule="auto"/>
      <w:jc w:val="both"/>
    </w:pPr>
    <w:rPr>
      <w:rFonts w:asciiTheme="minorHAnsi" w:hAnsiTheme="minorHAnsi"/>
      <w:sz w:val="20"/>
      <w:szCs w:val="20"/>
      <w:lang w:val="en-GB"/>
    </w:rPr>
  </w:style>
  <w:style w:type="character" w:customStyle="1" w:styleId="FootnoteTextChar">
    <w:name w:val="Footnote Text Char"/>
    <w:basedOn w:val="DefaultParagraphFont"/>
    <w:link w:val="FootnoteText"/>
    <w:uiPriority w:val="99"/>
    <w:semiHidden/>
    <w:rsid w:val="00EA230D"/>
    <w:rPr>
      <w:sz w:val="20"/>
      <w:szCs w:val="20"/>
      <w:lang w:val="en-GB"/>
    </w:rPr>
  </w:style>
  <w:style w:type="character" w:styleId="FootnoteReference">
    <w:name w:val="footnote reference"/>
    <w:basedOn w:val="DefaultParagraphFont"/>
    <w:uiPriority w:val="99"/>
    <w:semiHidden/>
    <w:unhideWhenUsed/>
    <w:rsid w:val="00EA230D"/>
    <w:rPr>
      <w:vertAlign w:val="superscript"/>
    </w:rPr>
  </w:style>
  <w:style w:type="paragraph" w:styleId="NormalWeb">
    <w:name w:val="Normal (Web)"/>
    <w:basedOn w:val="Normal"/>
    <w:uiPriority w:val="99"/>
    <w:semiHidden/>
    <w:unhideWhenUsed/>
    <w:rsid w:val="00BB072F"/>
    <w:pPr>
      <w:spacing w:before="100" w:beforeAutospacing="1" w:after="100" w:afterAutospacing="1" w:line="240" w:lineRule="auto"/>
    </w:pPr>
    <w:rPr>
      <w:rFonts w:ascii="Times New Roman" w:eastAsia="Times New Roman" w:hAnsi="Times New Roman" w:cs="Times New Roman"/>
      <w:sz w:val="24"/>
      <w:szCs w:val="24"/>
      <w:lang w:val="nl-BE" w:eastAsia="nl-BE"/>
    </w:rPr>
  </w:style>
  <w:style w:type="paragraph" w:styleId="ListParagraph">
    <w:name w:val="List Paragraph"/>
    <w:basedOn w:val="Normal"/>
    <w:uiPriority w:val="34"/>
    <w:qFormat/>
    <w:rsid w:val="00C43ADB"/>
    <w:pPr>
      <w:ind w:left="720"/>
      <w:contextualSpacing/>
      <w:jc w:val="both"/>
    </w:pPr>
    <w:rPr>
      <w:rFonts w:asciiTheme="minorHAnsi" w:hAnsiTheme="minorHAnsi"/>
      <w:lang w:val="en-GB"/>
    </w:rPr>
  </w:style>
  <w:style w:type="character" w:customStyle="1" w:styleId="cf11">
    <w:name w:val="cf11"/>
    <w:basedOn w:val="DefaultParagraphFont"/>
    <w:rsid w:val="000024A0"/>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366">
      <w:bodyDiv w:val="1"/>
      <w:marLeft w:val="0"/>
      <w:marRight w:val="0"/>
      <w:marTop w:val="0"/>
      <w:marBottom w:val="0"/>
      <w:divBdr>
        <w:top w:val="none" w:sz="0" w:space="0" w:color="auto"/>
        <w:left w:val="none" w:sz="0" w:space="0" w:color="auto"/>
        <w:bottom w:val="none" w:sz="0" w:space="0" w:color="auto"/>
        <w:right w:val="none" w:sz="0" w:space="0" w:color="auto"/>
      </w:divBdr>
    </w:div>
    <w:div w:id="27487066">
      <w:bodyDiv w:val="1"/>
      <w:marLeft w:val="0"/>
      <w:marRight w:val="0"/>
      <w:marTop w:val="0"/>
      <w:marBottom w:val="0"/>
      <w:divBdr>
        <w:top w:val="none" w:sz="0" w:space="0" w:color="auto"/>
        <w:left w:val="none" w:sz="0" w:space="0" w:color="auto"/>
        <w:bottom w:val="none" w:sz="0" w:space="0" w:color="auto"/>
        <w:right w:val="none" w:sz="0" w:space="0" w:color="auto"/>
      </w:divBdr>
    </w:div>
    <w:div w:id="188876591">
      <w:bodyDiv w:val="1"/>
      <w:marLeft w:val="0"/>
      <w:marRight w:val="0"/>
      <w:marTop w:val="0"/>
      <w:marBottom w:val="0"/>
      <w:divBdr>
        <w:top w:val="none" w:sz="0" w:space="0" w:color="auto"/>
        <w:left w:val="none" w:sz="0" w:space="0" w:color="auto"/>
        <w:bottom w:val="none" w:sz="0" w:space="0" w:color="auto"/>
        <w:right w:val="none" w:sz="0" w:space="0" w:color="auto"/>
      </w:divBdr>
    </w:div>
    <w:div w:id="608582562">
      <w:bodyDiv w:val="1"/>
      <w:marLeft w:val="0"/>
      <w:marRight w:val="0"/>
      <w:marTop w:val="0"/>
      <w:marBottom w:val="0"/>
      <w:divBdr>
        <w:top w:val="none" w:sz="0" w:space="0" w:color="auto"/>
        <w:left w:val="none" w:sz="0" w:space="0" w:color="auto"/>
        <w:bottom w:val="none" w:sz="0" w:space="0" w:color="auto"/>
        <w:right w:val="none" w:sz="0" w:space="0" w:color="auto"/>
      </w:divBdr>
    </w:div>
    <w:div w:id="657422179">
      <w:bodyDiv w:val="1"/>
      <w:marLeft w:val="0"/>
      <w:marRight w:val="0"/>
      <w:marTop w:val="0"/>
      <w:marBottom w:val="0"/>
      <w:divBdr>
        <w:top w:val="none" w:sz="0" w:space="0" w:color="auto"/>
        <w:left w:val="none" w:sz="0" w:space="0" w:color="auto"/>
        <w:bottom w:val="none" w:sz="0" w:space="0" w:color="auto"/>
        <w:right w:val="none" w:sz="0" w:space="0" w:color="auto"/>
      </w:divBdr>
    </w:div>
    <w:div w:id="694892229">
      <w:bodyDiv w:val="1"/>
      <w:marLeft w:val="0"/>
      <w:marRight w:val="0"/>
      <w:marTop w:val="0"/>
      <w:marBottom w:val="0"/>
      <w:divBdr>
        <w:top w:val="none" w:sz="0" w:space="0" w:color="auto"/>
        <w:left w:val="none" w:sz="0" w:space="0" w:color="auto"/>
        <w:bottom w:val="none" w:sz="0" w:space="0" w:color="auto"/>
        <w:right w:val="none" w:sz="0" w:space="0" w:color="auto"/>
      </w:divBdr>
    </w:div>
    <w:div w:id="898515323">
      <w:bodyDiv w:val="1"/>
      <w:marLeft w:val="0"/>
      <w:marRight w:val="0"/>
      <w:marTop w:val="0"/>
      <w:marBottom w:val="0"/>
      <w:divBdr>
        <w:top w:val="none" w:sz="0" w:space="0" w:color="auto"/>
        <w:left w:val="none" w:sz="0" w:space="0" w:color="auto"/>
        <w:bottom w:val="none" w:sz="0" w:space="0" w:color="auto"/>
        <w:right w:val="none" w:sz="0" w:space="0" w:color="auto"/>
      </w:divBdr>
    </w:div>
    <w:div w:id="970208285">
      <w:bodyDiv w:val="1"/>
      <w:marLeft w:val="0"/>
      <w:marRight w:val="0"/>
      <w:marTop w:val="0"/>
      <w:marBottom w:val="0"/>
      <w:divBdr>
        <w:top w:val="none" w:sz="0" w:space="0" w:color="auto"/>
        <w:left w:val="none" w:sz="0" w:space="0" w:color="auto"/>
        <w:bottom w:val="none" w:sz="0" w:space="0" w:color="auto"/>
        <w:right w:val="none" w:sz="0" w:space="0" w:color="auto"/>
      </w:divBdr>
    </w:div>
    <w:div w:id="1042555297">
      <w:bodyDiv w:val="1"/>
      <w:marLeft w:val="0"/>
      <w:marRight w:val="0"/>
      <w:marTop w:val="0"/>
      <w:marBottom w:val="0"/>
      <w:divBdr>
        <w:top w:val="none" w:sz="0" w:space="0" w:color="auto"/>
        <w:left w:val="none" w:sz="0" w:space="0" w:color="auto"/>
        <w:bottom w:val="none" w:sz="0" w:space="0" w:color="auto"/>
        <w:right w:val="none" w:sz="0" w:space="0" w:color="auto"/>
      </w:divBdr>
    </w:div>
    <w:div w:id="1149711374">
      <w:bodyDiv w:val="1"/>
      <w:marLeft w:val="0"/>
      <w:marRight w:val="0"/>
      <w:marTop w:val="0"/>
      <w:marBottom w:val="0"/>
      <w:divBdr>
        <w:top w:val="none" w:sz="0" w:space="0" w:color="auto"/>
        <w:left w:val="none" w:sz="0" w:space="0" w:color="auto"/>
        <w:bottom w:val="none" w:sz="0" w:space="0" w:color="auto"/>
        <w:right w:val="none" w:sz="0" w:space="0" w:color="auto"/>
      </w:divBdr>
    </w:div>
    <w:div w:id="1351712347">
      <w:bodyDiv w:val="1"/>
      <w:marLeft w:val="0"/>
      <w:marRight w:val="0"/>
      <w:marTop w:val="0"/>
      <w:marBottom w:val="0"/>
      <w:divBdr>
        <w:top w:val="none" w:sz="0" w:space="0" w:color="auto"/>
        <w:left w:val="none" w:sz="0" w:space="0" w:color="auto"/>
        <w:bottom w:val="none" w:sz="0" w:space="0" w:color="auto"/>
        <w:right w:val="none" w:sz="0" w:space="0" w:color="auto"/>
      </w:divBdr>
    </w:div>
    <w:div w:id="1432117574">
      <w:bodyDiv w:val="1"/>
      <w:marLeft w:val="0"/>
      <w:marRight w:val="0"/>
      <w:marTop w:val="0"/>
      <w:marBottom w:val="0"/>
      <w:divBdr>
        <w:top w:val="none" w:sz="0" w:space="0" w:color="auto"/>
        <w:left w:val="none" w:sz="0" w:space="0" w:color="auto"/>
        <w:bottom w:val="none" w:sz="0" w:space="0" w:color="auto"/>
        <w:right w:val="none" w:sz="0" w:space="0" w:color="auto"/>
      </w:divBdr>
    </w:div>
    <w:div w:id="1440757667">
      <w:bodyDiv w:val="1"/>
      <w:marLeft w:val="0"/>
      <w:marRight w:val="0"/>
      <w:marTop w:val="0"/>
      <w:marBottom w:val="0"/>
      <w:divBdr>
        <w:top w:val="none" w:sz="0" w:space="0" w:color="auto"/>
        <w:left w:val="none" w:sz="0" w:space="0" w:color="auto"/>
        <w:bottom w:val="none" w:sz="0" w:space="0" w:color="auto"/>
        <w:right w:val="none" w:sz="0" w:space="0" w:color="auto"/>
      </w:divBdr>
    </w:div>
    <w:div w:id="1781144986">
      <w:bodyDiv w:val="1"/>
      <w:marLeft w:val="0"/>
      <w:marRight w:val="0"/>
      <w:marTop w:val="0"/>
      <w:marBottom w:val="0"/>
      <w:divBdr>
        <w:top w:val="none" w:sz="0" w:space="0" w:color="auto"/>
        <w:left w:val="none" w:sz="0" w:space="0" w:color="auto"/>
        <w:bottom w:val="none" w:sz="0" w:space="0" w:color="auto"/>
        <w:right w:val="none" w:sz="0" w:space="0" w:color="auto"/>
      </w:divBdr>
    </w:div>
    <w:div w:id="178677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reg_impl/2022/2346/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C5455-504D-408E-9CA0-CA4144125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1620</Words>
  <Characters>9026</Characters>
  <Application>Microsoft Office Word</Application>
  <DocSecurity>0</DocSecurity>
  <Lines>361</Lines>
  <Paragraphs>119</Paragraphs>
  <ScaleCrop>false</ScaleCrop>
  <HeadingPairs>
    <vt:vector size="2" baseType="variant">
      <vt:variant>
        <vt:lpstr>Title</vt:lpstr>
      </vt:variant>
      <vt:variant>
        <vt:i4>1</vt:i4>
      </vt:variant>
    </vt:vector>
  </HeadingPairs>
  <TitlesOfParts>
    <vt:vector size="1" baseType="lpstr">
      <vt:lpstr/>
    </vt:vector>
  </TitlesOfParts>
  <Company>ISO Central Secretariat</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LLIAdmin</dc:creator>
  <cp:keywords/>
  <dc:description/>
  <cp:lastModifiedBy>CALLIGARO Gabriele (SANTE)</cp:lastModifiedBy>
  <cp:revision>6</cp:revision>
  <dcterms:created xsi:type="dcterms:W3CDTF">2023-11-08T10:14:00Z</dcterms:created>
  <dcterms:modified xsi:type="dcterms:W3CDTF">2023-11-17T14:23:00Z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2023-06-22T07:11:25Z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d161c654-821a-4d16-ae3b-09de00e510b6</vt:lpwstr>
  </property>
  <property fmtid="{D5CDD505-2E9C-101B-9397-08002B2CF9AE}" pid="8" name="MSIP_Label_6bd9ddd1-4d20-43f6-abfa-fc3c07406f94_ContentBits">
    <vt:lpwstr>0</vt:lpwstr>
  </property>
</Properties>
</file>