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68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8" w:type="dxa"/>
          <w:right w:w="48" w:type="dxa"/>
        </w:tblCellMar>
        <w:tblLook w:val="04A0" w:firstRow="1" w:lastRow="0" w:firstColumn="1" w:lastColumn="0" w:noHBand="0" w:noVBand="1"/>
      </w:tblPr>
      <w:tblGrid>
        <w:gridCol w:w="1067"/>
        <w:gridCol w:w="638"/>
        <w:gridCol w:w="1117"/>
        <w:gridCol w:w="1134"/>
        <w:gridCol w:w="952"/>
        <w:gridCol w:w="4092"/>
        <w:gridCol w:w="4242"/>
        <w:gridCol w:w="2445"/>
      </w:tblGrid>
      <w:tr w:rsidR="00A05BC3" w:rsidRPr="000A7C4B" w14:paraId="2E12D344"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4316E459" w14:textId="120FE81D" w:rsidR="00A05BC3" w:rsidRPr="003E7532" w:rsidRDefault="00A05BC3"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6042FC87" w14:textId="2193CD65"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63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4DEAADA" w14:textId="3E3B6891"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3.2 Accessories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D4D1E92" w14:textId="08276A75"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Accessories for Annex XVI products are not defined in Article 2 of the MDR.</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429ABBC7" w14:textId="6B2BAD91"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45229B22" w14:textId="05AE942F"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 xml:space="preserve">Could a definition of accessories for Annex XVI products be </w:t>
            </w:r>
            <w:proofErr w:type="gramStart"/>
            <w:r w:rsidRPr="003E7532">
              <w:rPr>
                <w:rFonts w:asciiTheme="minorHAnsi" w:hAnsiTheme="minorHAnsi" w:cstheme="minorHAnsi"/>
                <w:szCs w:val="18"/>
              </w:rPr>
              <w:t>added ?</w:t>
            </w:r>
            <w:proofErr w:type="gramEnd"/>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5BA63906" w14:textId="15776FF8"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Probably it could be based on the definition of “accessory to a medical device”?</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220F4CF8"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12E67492" w14:textId="400891B2"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A guidance document cannot amend the MDR or the CS.</w:t>
            </w:r>
          </w:p>
        </w:tc>
      </w:tr>
      <w:tr w:rsidR="00714EC2" w:rsidRPr="000A7C4B" w14:paraId="56634CC8"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08362ADF" w14:textId="7500F6F3"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211757DF" w14:textId="410EB72C"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63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1792DBF5" w14:textId="77777777" w:rsidR="00714EC2" w:rsidRPr="003E7532" w:rsidRDefault="00714EC2" w:rsidP="00714EC2">
            <w:pPr>
              <w:pStyle w:val="ISOClause"/>
              <w:spacing w:before="60" w:after="60" w:line="240" w:lineRule="auto"/>
              <w:rPr>
                <w:rFonts w:asciiTheme="minorHAnsi" w:hAnsiTheme="minorHAnsi" w:cstheme="minorHAnsi"/>
                <w:szCs w:val="18"/>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80D0697"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26C2BEBA" w14:textId="6C95E63A" w:rsidR="00714EC2" w:rsidRPr="003E7532" w:rsidRDefault="00714EC2" w:rsidP="00714EC2">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4DAE37B4" w14:textId="77777777" w:rsidR="00714EC2" w:rsidRPr="003E7532" w:rsidRDefault="00714EC2" w:rsidP="00714EC2">
            <w:pPr>
              <w:pStyle w:val="ISOComments"/>
              <w:spacing w:before="60" w:after="60"/>
              <w:rPr>
                <w:rFonts w:asciiTheme="minorHAnsi" w:hAnsiTheme="minorHAnsi" w:cstheme="minorHAnsi"/>
                <w:color w:val="000000" w:themeColor="text1"/>
                <w:szCs w:val="18"/>
                <w:lang w:val="en-US"/>
              </w:rPr>
            </w:pPr>
            <w:r w:rsidRPr="003E7532">
              <w:rPr>
                <w:rFonts w:asciiTheme="minorHAnsi" w:hAnsiTheme="minorHAnsi" w:cstheme="minorHAnsi"/>
                <w:color w:val="000000" w:themeColor="text1"/>
                <w:szCs w:val="18"/>
                <w:lang w:val="en-US"/>
              </w:rPr>
              <w:t xml:space="preserve">As stated in line 63, accessories for Annex XVI products are not defined in Article 2 of the MDR. Indeed, in the Chapter I (Scope and definitions), Art. 1, paragraph 4 of 2017/745 Regulation, it makes a clear difference between medical devices, accessories for medical devices and products listed in Annex XVI Therefore, accessories are only considered for medical devices. </w:t>
            </w:r>
          </w:p>
          <w:p w14:paraId="181BA064" w14:textId="2F9BDF51" w:rsidR="00714EC2" w:rsidRPr="003E7532" w:rsidRDefault="00714EC2" w:rsidP="00714EC2">
            <w:pPr>
              <w:pStyle w:val="ISOClause"/>
              <w:spacing w:before="60" w:after="60"/>
              <w:rPr>
                <w:rFonts w:asciiTheme="minorHAnsi" w:hAnsiTheme="minorHAnsi" w:cstheme="minorHAnsi"/>
                <w:szCs w:val="18"/>
              </w:rPr>
            </w:pPr>
            <w:r w:rsidRPr="003E7532">
              <w:rPr>
                <w:rFonts w:asciiTheme="minorHAnsi" w:hAnsiTheme="minorHAnsi" w:cstheme="minorHAnsi"/>
                <w:color w:val="000000" w:themeColor="text1"/>
                <w:szCs w:val="18"/>
                <w:lang w:val="en-US"/>
              </w:rPr>
              <w:t xml:space="preserve">According to line 63 the accessories will be covered by the MDR only if they fall within the descriptions listed in Annex XVI, this can be confusing as most accessories do not have any specific function alone. We suggest </w:t>
            </w:r>
            <w:proofErr w:type="gramStart"/>
            <w:r w:rsidRPr="003E7532">
              <w:rPr>
                <w:rFonts w:asciiTheme="minorHAnsi" w:hAnsiTheme="minorHAnsi" w:cstheme="minorHAnsi"/>
                <w:color w:val="000000" w:themeColor="text1"/>
                <w:szCs w:val="18"/>
                <w:lang w:val="en-US"/>
              </w:rPr>
              <w:t>to clarify</w:t>
            </w:r>
            <w:proofErr w:type="gramEnd"/>
            <w:r w:rsidRPr="003E7532">
              <w:rPr>
                <w:rFonts w:asciiTheme="minorHAnsi" w:hAnsiTheme="minorHAnsi" w:cstheme="minorHAnsi"/>
                <w:color w:val="000000" w:themeColor="text1"/>
                <w:szCs w:val="18"/>
                <w:lang w:val="en-US"/>
              </w:rPr>
              <w:t>.</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76E4E65B" w14:textId="09D2E19F" w:rsidR="00714EC2" w:rsidRPr="003E7532" w:rsidRDefault="00714EC2" w:rsidP="00714EC2">
            <w:pPr>
              <w:pStyle w:val="ISOClause"/>
              <w:rPr>
                <w:rFonts w:asciiTheme="minorHAnsi" w:hAnsiTheme="minorHAnsi" w:cstheme="minorHAnsi"/>
                <w:szCs w:val="18"/>
              </w:rPr>
            </w:pPr>
            <w:r w:rsidRPr="003E7532">
              <w:rPr>
                <w:rFonts w:asciiTheme="minorHAnsi" w:hAnsiTheme="minorHAnsi" w:cstheme="minorHAnsi"/>
                <w:color w:val="000000" w:themeColor="text1"/>
                <w:szCs w:val="18"/>
              </w:rPr>
              <w:t xml:space="preserve">Accessories for Annex XVI products are not defined in Article 2 of the MDR. Nevertheless, such items are covered by the MDR, if they </w:t>
            </w:r>
            <w:r w:rsidRPr="003E7532">
              <w:rPr>
                <w:rFonts w:asciiTheme="minorHAnsi" w:hAnsiTheme="minorHAnsi" w:cstheme="minorHAnsi"/>
                <w:color w:val="0070C0"/>
                <w:szCs w:val="18"/>
              </w:rPr>
              <w:t xml:space="preserve">can operate alone and </w:t>
            </w:r>
            <w:r w:rsidRPr="003E7532">
              <w:rPr>
                <w:rFonts w:asciiTheme="minorHAnsi" w:hAnsiTheme="minorHAnsi" w:cstheme="minorHAnsi"/>
                <w:color w:val="000000" w:themeColor="text1"/>
                <w:szCs w:val="18"/>
              </w:rPr>
              <w:t>fall within the descriptions listed in the Annex XVI of the MDR and fall under the scope of the CS.</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7A265744"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46661C95" w14:textId="2BEEC8FC"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 xml:space="preserve">Section 3.2 </w:t>
            </w:r>
            <w:proofErr w:type="gramStart"/>
            <w:r w:rsidRPr="003E7532">
              <w:rPr>
                <w:rFonts w:asciiTheme="minorHAnsi" w:hAnsiTheme="minorHAnsi" w:cstheme="minorHAnsi"/>
                <w:szCs w:val="18"/>
                <w:lang w:val="en-US"/>
              </w:rPr>
              <w:t>considers also</w:t>
            </w:r>
            <w:proofErr w:type="gramEnd"/>
            <w:r w:rsidRPr="003E7532">
              <w:rPr>
                <w:rFonts w:asciiTheme="minorHAnsi" w:hAnsiTheme="minorHAnsi" w:cstheme="minorHAnsi"/>
                <w:szCs w:val="18"/>
                <w:lang w:val="en-US"/>
              </w:rPr>
              <w:t xml:space="preserve"> item that can be used in combination with an Annex XVI product.</w:t>
            </w:r>
          </w:p>
        </w:tc>
      </w:tr>
      <w:tr w:rsidR="00714EC2" w:rsidRPr="000A7C4B" w14:paraId="6403D11D"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3E0A172A" w14:textId="752F191E"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24276D24" w14:textId="2AE385CB" w:rsidR="00714EC2" w:rsidRPr="003E7532" w:rsidRDefault="00714EC2" w:rsidP="00714EC2">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65</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1792D17A" w14:textId="77777777" w:rsidR="00714EC2" w:rsidRPr="003E7532" w:rsidRDefault="00714EC2" w:rsidP="00714EC2">
            <w:pPr>
              <w:pStyle w:val="ISOClause"/>
              <w:spacing w:before="60" w:after="60" w:line="240" w:lineRule="auto"/>
              <w:rPr>
                <w:rFonts w:asciiTheme="minorHAnsi" w:hAnsiTheme="minorHAnsi" w:cstheme="minorHAnsi"/>
                <w:szCs w:val="18"/>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67AEF29"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53600C9" w14:textId="759073D1" w:rsidR="00714EC2" w:rsidRPr="003E7532" w:rsidRDefault="00714EC2" w:rsidP="00714EC2">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63C919D3" w14:textId="41B8062C" w:rsidR="00714EC2" w:rsidRPr="003E7532" w:rsidRDefault="00714EC2" w:rsidP="00714EC2">
            <w:pPr>
              <w:pStyle w:val="ISOComments"/>
              <w:spacing w:before="60" w:after="60"/>
              <w:rPr>
                <w:rFonts w:asciiTheme="minorHAnsi" w:hAnsiTheme="minorHAnsi" w:cstheme="minorHAnsi"/>
                <w:color w:val="000000" w:themeColor="text1"/>
                <w:szCs w:val="18"/>
                <w:lang w:val="en-US"/>
              </w:rPr>
            </w:pPr>
            <w:r w:rsidRPr="003E7532">
              <w:rPr>
                <w:rFonts w:asciiTheme="minorHAnsi" w:hAnsiTheme="minorHAnsi" w:cstheme="minorHAnsi"/>
                <w:szCs w:val="18"/>
                <w:lang w:val="en-US"/>
              </w:rPr>
              <w:t xml:space="preserve">The item may be used only in combination with an Annex XVI product but as a consumable item, therefore it must be placed in the market alone, not always with the device. </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34F0A8B1" w14:textId="4BD19987" w:rsidR="00714EC2" w:rsidRPr="003E7532" w:rsidRDefault="00714EC2" w:rsidP="00714EC2">
            <w:pPr>
              <w:pStyle w:val="ISOClause"/>
              <w:rPr>
                <w:rFonts w:asciiTheme="minorHAnsi" w:hAnsiTheme="minorHAnsi" w:cstheme="minorHAnsi"/>
                <w:color w:val="000000" w:themeColor="text1"/>
                <w:szCs w:val="18"/>
              </w:rPr>
            </w:pPr>
            <w:r w:rsidRPr="003E7532">
              <w:rPr>
                <w:rFonts w:asciiTheme="minorHAnsi" w:hAnsiTheme="minorHAnsi" w:cstheme="minorHAnsi"/>
                <w:szCs w:val="18"/>
              </w:rPr>
              <w:t xml:space="preserve">If the item can be used only in combination with an Annex XVI product, it should be placed on the market together with that product and considered as a piece of the product </w:t>
            </w:r>
            <w:r w:rsidRPr="003E7532">
              <w:rPr>
                <w:rFonts w:asciiTheme="minorHAnsi" w:hAnsiTheme="minorHAnsi" w:cstheme="minorHAnsi"/>
                <w:color w:val="0070C0"/>
                <w:szCs w:val="18"/>
              </w:rPr>
              <w:t xml:space="preserve">excluding those items which are consumable parts. </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42FBBE30"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0F845D81" w14:textId="4EBC11BA"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Article 22 of the MDR applies, therefore parts and components are already excluded.</w:t>
            </w:r>
          </w:p>
        </w:tc>
      </w:tr>
      <w:tr w:rsidR="00A05BC3" w:rsidRPr="000A7C4B" w14:paraId="7394A15A"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2DB3FA9E"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p w14:paraId="7DAD920B" w14:textId="77777777" w:rsidR="00A05BC3" w:rsidRPr="003E7532" w:rsidRDefault="00A05BC3" w:rsidP="00A05BC3">
            <w:pPr>
              <w:pStyle w:val="ISOClause"/>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06C8B1B3" w14:textId="6CA23DBD"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66</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5C55E3B0" w14:textId="27275A4C"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3.2 Accessories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60CB199" w14:textId="2BBFD8F9"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considered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piece</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1006328C" w14:textId="79F3873E"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ed</w:t>
            </w:r>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8CDD0EB" w14:textId="0E985DF9"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w:t>
            </w:r>
            <w:proofErr w:type="gramStart"/>
            <w:r w:rsidRPr="003E7532">
              <w:rPr>
                <w:rFonts w:asciiTheme="minorHAnsi" w:hAnsiTheme="minorHAnsi" w:cstheme="minorHAnsi"/>
                <w:szCs w:val="18"/>
              </w:rPr>
              <w:t>considered</w:t>
            </w:r>
            <w:proofErr w:type="gramEnd"/>
            <w:r w:rsidRPr="003E7532">
              <w:rPr>
                <w:rFonts w:asciiTheme="minorHAnsi" w:hAnsiTheme="minorHAnsi" w:cstheme="minorHAnsi"/>
                <w:szCs w:val="18"/>
              </w:rPr>
              <w:t xml:space="preserve">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piece</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 – the word “component” would be more fitted here.</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6AD499B7" w14:textId="0659C418"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Replace with “considered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component</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3CC48DC2"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7919F338" w14:textId="5B7F186D"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The term ‘component’ is already used in Article 22 to the MDR with a different meaning, therefore it cannot be used in this context.</w:t>
            </w:r>
          </w:p>
        </w:tc>
      </w:tr>
      <w:tr w:rsidR="00A05BC3" w:rsidRPr="000A7C4B" w14:paraId="644DD2BD"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76E18161"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lastRenderedPageBreak/>
              <w:t>DEKRA (NB)</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442D5894"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66</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1AAC06CD"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48DA290" w14:textId="77777777"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2nd paragraph</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58A26213" w14:textId="77777777"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ge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68996517"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“piece” is not an appropriate technical term</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5FC81CAA"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Change “a piece” to “a part”</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1B008286"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REJECTED</w:t>
            </w:r>
          </w:p>
          <w:p w14:paraId="7D9BFD35"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The term ‘part’ is already used in Article 22 to the MDR with a different meaning, therefore it cannot be used in this context.</w:t>
            </w:r>
          </w:p>
        </w:tc>
      </w:tr>
      <w:tr w:rsidR="00A05BC3" w:rsidRPr="00AF2103" w14:paraId="25935153"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189A7980"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DEKRA (NB)</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7933D8FF"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67 -69</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5518A300"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2.3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D32144A" w14:textId="77777777"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3rd paragraph</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754113D3" w14:textId="77777777"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ge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CA287A7"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 xml:space="preserve">Line 63-64 under Section 3.2 already states that Annex XVI accessories are only covered by the MDR if they fall within the descriptions listed in the Annex XVI of the MDR and fall under the scope of the CS. Furthermore Line 65 also identifies handling an accessory as part of the product. </w:t>
            </w:r>
          </w:p>
          <w:p w14:paraId="623AF133" w14:textId="77777777" w:rsidR="00A05BC3" w:rsidRPr="003E7532" w:rsidRDefault="00A05BC3" w:rsidP="00A05BC3">
            <w:pPr>
              <w:pStyle w:val="ISOClause"/>
              <w:spacing w:before="60" w:after="60"/>
              <w:rPr>
                <w:rFonts w:asciiTheme="minorHAnsi" w:hAnsiTheme="minorHAnsi" w:cstheme="minorHAnsi"/>
                <w:szCs w:val="18"/>
                <w:lang w:val="en-US"/>
              </w:rPr>
            </w:pPr>
            <w:proofErr w:type="gramStart"/>
            <w:r w:rsidRPr="003E7532">
              <w:rPr>
                <w:rFonts w:asciiTheme="minorHAnsi" w:hAnsiTheme="minorHAnsi" w:cstheme="minorHAnsi"/>
                <w:szCs w:val="18"/>
                <w:lang w:val="en-US"/>
              </w:rPr>
              <w:t>Thus</w:t>
            </w:r>
            <w:proofErr w:type="gramEnd"/>
            <w:r w:rsidRPr="003E7532">
              <w:rPr>
                <w:rFonts w:asciiTheme="minorHAnsi" w:hAnsiTheme="minorHAnsi" w:cstheme="minorHAnsi"/>
                <w:szCs w:val="18"/>
                <w:lang w:val="en-US"/>
              </w:rPr>
              <w:t xml:space="preserve"> the information in Line 67 - 69 is both repetition but also potentially confusing as it states “If the item can be used either on its own or in combination with other Annex XVI products, it could be placed on the market either on its own as an Annex XVI product”. It is not clear what “on its own” means (</w:t>
            </w:r>
            <w:proofErr w:type="gramStart"/>
            <w:r w:rsidRPr="003E7532">
              <w:rPr>
                <w:rFonts w:asciiTheme="minorHAnsi" w:hAnsiTheme="minorHAnsi" w:cstheme="minorHAnsi"/>
                <w:szCs w:val="18"/>
                <w:lang w:val="en-US"/>
              </w:rPr>
              <w:t>i.e.</w:t>
            </w:r>
            <w:proofErr w:type="gramEnd"/>
            <w:r w:rsidRPr="003E7532">
              <w:rPr>
                <w:rFonts w:asciiTheme="minorHAnsi" w:hAnsiTheme="minorHAnsi" w:cstheme="minorHAnsi"/>
                <w:szCs w:val="18"/>
                <w:lang w:val="en-US"/>
              </w:rPr>
              <w:t xml:space="preserve"> does it mean that it could be a medical device?). And it is already stated in Line 63- 64 it could be an Annex XVI product. Suggest </w:t>
            </w:r>
            <w:proofErr w:type="gramStart"/>
            <w:r w:rsidRPr="003E7532">
              <w:rPr>
                <w:rFonts w:asciiTheme="minorHAnsi" w:hAnsiTheme="minorHAnsi" w:cstheme="minorHAnsi"/>
                <w:szCs w:val="18"/>
                <w:lang w:val="en-US"/>
              </w:rPr>
              <w:t>to remove</w:t>
            </w:r>
            <w:proofErr w:type="gramEnd"/>
            <w:r w:rsidRPr="003E7532">
              <w:rPr>
                <w:rFonts w:asciiTheme="minorHAnsi" w:hAnsiTheme="minorHAnsi" w:cstheme="minorHAnsi"/>
                <w:szCs w:val="18"/>
                <w:lang w:val="en-US"/>
              </w:rPr>
              <w:t xml:space="preserve"> this as it does not add additional information but rather confusion. </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0A442213"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Remove lines 67 – </w:t>
            </w:r>
            <w:proofErr w:type="gramStart"/>
            <w:r w:rsidRPr="003E7532">
              <w:rPr>
                <w:rFonts w:asciiTheme="minorHAnsi" w:hAnsiTheme="minorHAnsi" w:cstheme="minorHAnsi"/>
                <w:szCs w:val="18"/>
                <w:lang w:val="en-US"/>
              </w:rPr>
              <w:t>69</w:t>
            </w:r>
            <w:proofErr w:type="gramEnd"/>
            <w:r w:rsidRPr="003E7532">
              <w:rPr>
                <w:rFonts w:asciiTheme="minorHAnsi" w:hAnsiTheme="minorHAnsi" w:cstheme="minorHAnsi"/>
                <w:szCs w:val="18"/>
                <w:lang w:val="en-US"/>
              </w:rPr>
              <w:t xml:space="preserve"> </w:t>
            </w:r>
          </w:p>
          <w:p w14:paraId="72DBDFA2" w14:textId="77777777" w:rsidR="00A05BC3" w:rsidRPr="003E7532" w:rsidRDefault="00A05BC3" w:rsidP="00A05BC3">
            <w:pPr>
              <w:pStyle w:val="ISOClause"/>
              <w:rPr>
                <w:rFonts w:asciiTheme="minorHAnsi" w:hAnsiTheme="minorHAnsi" w:cstheme="minorHAnsi"/>
                <w:szCs w:val="18"/>
                <w:lang w:val="en-US"/>
              </w:rPr>
            </w:pP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781F348C"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REJECTED</w:t>
            </w:r>
          </w:p>
          <w:p w14:paraId="602FD1DF"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The term ‘on its own’ is widely used in the MDR (see Article 22, paragraph 4, for example). It means individually and it is not linked to the intended purpose of the products. The additional sentence is aligned to the previous generic one and provides a bit more details.</w:t>
            </w:r>
          </w:p>
        </w:tc>
      </w:tr>
      <w:tr w:rsidR="00A05BC3" w:rsidRPr="00AF2103" w14:paraId="2A4A74DF"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08025218"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p w14:paraId="6881E3DC" w14:textId="77777777" w:rsidR="00A05BC3" w:rsidRPr="003E7532" w:rsidRDefault="00A05BC3" w:rsidP="00A05BC3">
            <w:pPr>
              <w:pStyle w:val="ISOClause"/>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5A0F5DBD" w14:textId="5C141718"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68</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1A8C0E4E" w14:textId="09C6CC4A"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3.2 Accessories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A0D765E" w14:textId="2A97DAD2"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considered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piece</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4182B82F" w14:textId="1EB27D03"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ed</w:t>
            </w:r>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4EE0BA37" w14:textId="4072A3F2"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w:t>
            </w:r>
            <w:proofErr w:type="gramStart"/>
            <w:r w:rsidRPr="003E7532">
              <w:rPr>
                <w:rFonts w:asciiTheme="minorHAnsi" w:hAnsiTheme="minorHAnsi" w:cstheme="minorHAnsi"/>
                <w:szCs w:val="18"/>
              </w:rPr>
              <w:t>considered</w:t>
            </w:r>
            <w:proofErr w:type="gramEnd"/>
            <w:r w:rsidRPr="003E7532">
              <w:rPr>
                <w:rFonts w:asciiTheme="minorHAnsi" w:hAnsiTheme="minorHAnsi" w:cstheme="minorHAnsi"/>
                <w:szCs w:val="18"/>
              </w:rPr>
              <w:t xml:space="preserve">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piece</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 – the word “component” would be more fitted here.</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1E54B356" w14:textId="09085C2D"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Replace with “considered as a</w:t>
            </w:r>
            <w:r w:rsidRPr="003E7532">
              <w:rPr>
                <w:rFonts w:asciiTheme="minorHAnsi" w:hAnsiTheme="minorHAnsi" w:cstheme="minorHAnsi"/>
                <w:b/>
                <w:bCs/>
                <w:szCs w:val="18"/>
              </w:rPr>
              <w:t xml:space="preserve"> </w:t>
            </w:r>
            <w:r w:rsidRPr="003E7532">
              <w:rPr>
                <w:rFonts w:asciiTheme="minorHAnsi" w:hAnsiTheme="minorHAnsi" w:cstheme="minorHAnsi"/>
                <w:b/>
                <w:bCs/>
                <w:szCs w:val="18"/>
                <w:u w:val="single"/>
              </w:rPr>
              <w:t>component</w:t>
            </w:r>
            <w:r w:rsidRPr="003E7532">
              <w:rPr>
                <w:rFonts w:asciiTheme="minorHAnsi" w:hAnsiTheme="minorHAnsi" w:cstheme="minorHAnsi"/>
                <w:b/>
                <w:bCs/>
                <w:szCs w:val="18"/>
              </w:rPr>
              <w:t xml:space="preserve"> </w:t>
            </w:r>
            <w:r w:rsidRPr="003E7532">
              <w:rPr>
                <w:rFonts w:asciiTheme="minorHAnsi" w:hAnsiTheme="minorHAnsi" w:cstheme="minorHAnsi"/>
                <w:szCs w:val="18"/>
              </w:rPr>
              <w:t>of the product”</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20C4D4FC"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3270BE8A" w14:textId="3A2B8896"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The term ‘component’ is already used in Article 22 to the MDR with a different meaning, therefore it cannot be used in this context.</w:t>
            </w:r>
          </w:p>
        </w:tc>
      </w:tr>
      <w:tr w:rsidR="00A05BC3" w:rsidRPr="00AF2103" w14:paraId="60FBD4C5"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4E67B57E"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p w14:paraId="0F606495" w14:textId="77777777" w:rsidR="00A05BC3" w:rsidRPr="003E7532" w:rsidRDefault="00A05BC3" w:rsidP="00A05BC3">
            <w:pPr>
              <w:pStyle w:val="ISOClause"/>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7FFF6C4F" w14:textId="7BAA8DB1"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67-68</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4EB1E25" w14:textId="590AC738"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3.2 Accessories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AF02644" w14:textId="0D899C5E"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lang w:val="en-US"/>
              </w:rPr>
              <w:t>“</w:t>
            </w:r>
            <w:proofErr w:type="gramStart"/>
            <w:r w:rsidRPr="003E7532">
              <w:rPr>
                <w:rFonts w:asciiTheme="minorHAnsi" w:hAnsiTheme="minorHAnsi" w:cstheme="minorHAnsi"/>
                <w:szCs w:val="18"/>
                <w:lang w:val="en-US"/>
              </w:rPr>
              <w:t>it</w:t>
            </w:r>
            <w:proofErr w:type="gramEnd"/>
            <w:r w:rsidRPr="003E7532">
              <w:rPr>
                <w:rFonts w:asciiTheme="minorHAnsi" w:hAnsiTheme="minorHAnsi" w:cstheme="minorHAnsi"/>
                <w:szCs w:val="18"/>
                <w:lang w:val="en-US"/>
              </w:rPr>
              <w:t xml:space="preserve"> could be placed on the market either on its own as an Annex XVI product”</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79F8DAB6" w14:textId="734080A3"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AEB7A6B" w14:textId="0C93D9CA"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 xml:space="preserve">Does the section “it could be placed on the market either on its own as an Annex XVI product” imply that an accessory to an Annex XVI product that is not an Annex XVI product </w:t>
            </w:r>
            <w:proofErr w:type="gramStart"/>
            <w:r w:rsidRPr="003E7532">
              <w:rPr>
                <w:rFonts w:asciiTheme="minorHAnsi" w:hAnsiTheme="minorHAnsi" w:cstheme="minorHAnsi"/>
                <w:szCs w:val="18"/>
              </w:rPr>
              <w:t>in its own right and</w:t>
            </w:r>
            <w:proofErr w:type="gramEnd"/>
            <w:r w:rsidRPr="003E7532">
              <w:rPr>
                <w:rFonts w:asciiTheme="minorHAnsi" w:hAnsiTheme="minorHAnsi" w:cstheme="minorHAnsi"/>
                <w:szCs w:val="18"/>
              </w:rPr>
              <w:t xml:space="preserve"> is not a component of the Annex XVI product must comply with MDR + CS? Or are these products then out of scope?</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16C42FEB" w14:textId="77777777" w:rsidR="00A05BC3" w:rsidRPr="003E7532" w:rsidRDefault="00A05BC3" w:rsidP="00A05BC3">
            <w:pPr>
              <w:pStyle w:val="ISOClause"/>
              <w:rPr>
                <w:rFonts w:asciiTheme="minorHAnsi" w:hAnsiTheme="minorHAnsi" w:cstheme="minorHAnsi"/>
                <w:szCs w:val="18"/>
                <w:lang w:val="en-US"/>
              </w:rPr>
            </w:pP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1F16D581"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No, it does not.</w:t>
            </w:r>
          </w:p>
          <w:p w14:paraId="7F6F0410" w14:textId="4A09756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A</w:t>
            </w:r>
            <w:r w:rsidRPr="003E7532">
              <w:rPr>
                <w:rFonts w:asciiTheme="minorHAnsi" w:hAnsiTheme="minorHAnsi" w:cstheme="minorHAnsi"/>
                <w:szCs w:val="18"/>
              </w:rPr>
              <w:t xml:space="preserve">n accessory to an Annex XVI product that is not an Annex XVI product </w:t>
            </w:r>
            <w:proofErr w:type="gramStart"/>
            <w:r w:rsidRPr="003E7532">
              <w:rPr>
                <w:rFonts w:asciiTheme="minorHAnsi" w:hAnsiTheme="minorHAnsi" w:cstheme="minorHAnsi"/>
                <w:szCs w:val="18"/>
              </w:rPr>
              <w:t>in its own right and</w:t>
            </w:r>
            <w:proofErr w:type="gramEnd"/>
            <w:r w:rsidRPr="003E7532">
              <w:rPr>
                <w:rFonts w:asciiTheme="minorHAnsi" w:hAnsiTheme="minorHAnsi" w:cstheme="minorHAnsi"/>
                <w:szCs w:val="18"/>
              </w:rPr>
              <w:t xml:space="preserve"> is not a component of the Annex XVI product is out of scope.</w:t>
            </w:r>
          </w:p>
        </w:tc>
      </w:tr>
      <w:tr w:rsidR="00A05BC3" w:rsidRPr="00AF2103" w14:paraId="0B8C46A0"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0CB50878"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lastRenderedPageBreak/>
              <w:t>EuromContact</w:t>
            </w:r>
          </w:p>
          <w:p w14:paraId="6E8B98D0" w14:textId="77777777" w:rsidR="00A05BC3" w:rsidRPr="003E7532" w:rsidRDefault="00A05BC3" w:rsidP="00A05BC3">
            <w:pPr>
              <w:pStyle w:val="ISOClause"/>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7C725ED1" w14:textId="18129AAB"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70</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4AAC707C" w14:textId="1CC45901"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3.3 Dual purpose devices</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546428ED" w14:textId="77777777" w:rsidR="00A05BC3" w:rsidRPr="003E7532" w:rsidRDefault="00A05BC3" w:rsidP="00A05BC3">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2182EACF" w14:textId="33974EC2"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3676D174" w14:textId="4EB548AF"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The term ‘dual purpose devices’ is not used in the MDR, and it is ambiguous.</w:t>
            </w:r>
          </w:p>
        </w:tc>
        <w:tc>
          <w:tcPr>
            <w:tcW w:w="4242" w:type="dxa"/>
            <w:tcBorders>
              <w:top w:val="single" w:sz="6" w:space="0" w:color="auto"/>
              <w:left w:val="single" w:sz="6" w:space="0" w:color="auto"/>
              <w:bottom w:val="single" w:sz="6" w:space="0" w:color="auto"/>
              <w:right w:val="single" w:sz="6" w:space="0" w:color="auto"/>
            </w:tcBorders>
            <w:shd w:val="clear" w:color="auto" w:fill="auto"/>
          </w:tcPr>
          <w:p w14:paraId="074E2935" w14:textId="1BB2441C"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Include a definition / clarification of ‘dual purpose devices’ which excludes from its scope products with a medical purpose always used as medical devices (</w:t>
            </w:r>
            <w:proofErr w:type="spellStart"/>
            <w:r w:rsidRPr="003E7532">
              <w:rPr>
                <w:rFonts w:asciiTheme="minorHAnsi" w:hAnsiTheme="minorHAnsi" w:cstheme="minorHAnsi"/>
                <w:szCs w:val="18"/>
              </w:rPr>
              <w:t>eg.</w:t>
            </w:r>
            <w:proofErr w:type="spellEnd"/>
            <w:r w:rsidRPr="003E7532">
              <w:rPr>
                <w:rFonts w:asciiTheme="minorHAnsi" w:hAnsiTheme="minorHAnsi" w:cstheme="minorHAnsi"/>
                <w:szCs w:val="18"/>
              </w:rPr>
              <w:t xml:space="preserve"> coloured corrective contact lenses)</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20EB942E"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PARTIALLY ACCEPTED</w:t>
            </w:r>
          </w:p>
          <w:p w14:paraId="08A0706C"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Added clarification for the term ‘dual-purpose device’.</w:t>
            </w:r>
          </w:p>
          <w:p w14:paraId="5C8F9677" w14:textId="0E058C32"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It is not possible exclude </w:t>
            </w:r>
            <w:proofErr w:type="spellStart"/>
            <w:r w:rsidRPr="003E7532">
              <w:rPr>
                <w:rFonts w:asciiTheme="minorHAnsi" w:hAnsiTheme="minorHAnsi" w:cstheme="minorHAnsi"/>
                <w:szCs w:val="18"/>
                <w:lang w:val="en-US"/>
              </w:rPr>
              <w:t>coloured</w:t>
            </w:r>
            <w:proofErr w:type="spellEnd"/>
            <w:r w:rsidRPr="003E7532">
              <w:rPr>
                <w:rFonts w:asciiTheme="minorHAnsi" w:hAnsiTheme="minorHAnsi" w:cstheme="minorHAnsi"/>
                <w:szCs w:val="18"/>
                <w:lang w:val="en-US"/>
              </w:rPr>
              <w:t xml:space="preserve"> corrective contact lenses because there are no legal bases in the MDR to do so.</w:t>
            </w:r>
          </w:p>
        </w:tc>
      </w:tr>
      <w:tr w:rsidR="00A05BC3" w:rsidRPr="00AF2103" w14:paraId="6FE268D6"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62FD7F2E"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p w14:paraId="4AFE8CD4" w14:textId="77777777" w:rsidR="00A05BC3" w:rsidRPr="003E7532" w:rsidRDefault="00A05BC3" w:rsidP="00A05BC3">
            <w:pPr>
              <w:pStyle w:val="ISOMB"/>
              <w:spacing w:before="60" w:after="60" w:line="240" w:lineRule="auto"/>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226D8DE3" w14:textId="320505E4" w:rsidR="00A05BC3" w:rsidRPr="003E7532" w:rsidRDefault="00A05BC3" w:rsidP="00A05BC3">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rPr>
              <w:t>73-74</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5FE91461" w14:textId="05BFD12D" w:rsidR="00A05BC3" w:rsidRPr="003E7532" w:rsidRDefault="00A05BC3" w:rsidP="00A05BC3">
            <w:pPr>
              <w:pStyle w:val="ISOClause"/>
              <w:spacing w:before="60" w:after="60" w:line="240" w:lineRule="auto"/>
              <w:rPr>
                <w:rFonts w:asciiTheme="minorHAnsi" w:hAnsiTheme="minorHAnsi" w:cstheme="minorHAnsi"/>
                <w:szCs w:val="18"/>
              </w:rPr>
            </w:pPr>
            <w:r w:rsidRPr="003E7532">
              <w:rPr>
                <w:rFonts w:asciiTheme="minorHAnsi" w:hAnsiTheme="minorHAnsi" w:cstheme="minorHAnsi"/>
                <w:b/>
                <w:bCs/>
                <w:szCs w:val="18"/>
              </w:rPr>
              <w:t>“</w:t>
            </w:r>
            <w:r w:rsidRPr="003E7532">
              <w:rPr>
                <w:rFonts w:asciiTheme="minorHAnsi" w:hAnsiTheme="minorHAnsi" w:cstheme="minorHAnsi"/>
                <w:szCs w:val="18"/>
              </w:rPr>
              <w:t>Certain requirements from the CS and the MDR, such as those for the acceptability of risks, may not be the same. In such cases, the most stringent requirements should be applied.</w:t>
            </w:r>
            <w:r w:rsidRPr="003E7532">
              <w:rPr>
                <w:rFonts w:asciiTheme="minorHAnsi" w:hAnsiTheme="minorHAnsi" w:cstheme="minorHAnsi"/>
                <w:b/>
                <w:bCs/>
                <w:szCs w:val="18"/>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BBFC20E" w14:textId="77777777" w:rsidR="00A05BC3" w:rsidRPr="003E7532" w:rsidRDefault="00A05BC3" w:rsidP="00A05BC3">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56844D61" w14:textId="2AC85A8E" w:rsidR="00A05BC3" w:rsidRPr="003E7532" w:rsidRDefault="00A05BC3" w:rsidP="00A05BC3">
            <w:pPr>
              <w:pStyle w:val="ISOClause"/>
              <w:rPr>
                <w:rFonts w:asciiTheme="minorHAnsi" w:hAnsiTheme="minorHAnsi" w:cstheme="minorHAnsi"/>
                <w:szCs w:val="18"/>
              </w:rPr>
            </w:pPr>
            <w:proofErr w:type="spellStart"/>
            <w:r w:rsidRPr="003E7532">
              <w:rPr>
                <w:rFonts w:asciiTheme="minorHAnsi" w:hAnsiTheme="minorHAnsi" w:cstheme="minorHAnsi"/>
                <w:szCs w:val="18"/>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tcPr>
          <w:p w14:paraId="2C996838" w14:textId="6346BDB2" w:rsidR="00A05BC3" w:rsidRPr="003E7532" w:rsidRDefault="00A05BC3" w:rsidP="00A05BC3">
            <w:pPr>
              <w:pStyle w:val="ISOClause"/>
              <w:spacing w:before="60" w:after="60"/>
              <w:rPr>
                <w:rFonts w:asciiTheme="minorHAnsi" w:hAnsiTheme="minorHAnsi" w:cstheme="minorHAnsi"/>
                <w:szCs w:val="18"/>
              </w:rPr>
            </w:pPr>
            <w:r w:rsidRPr="003E7532">
              <w:rPr>
                <w:rFonts w:asciiTheme="minorHAnsi" w:hAnsiTheme="minorHAnsi" w:cstheme="minorHAnsi"/>
                <w:szCs w:val="18"/>
              </w:rPr>
              <w:t>Without a definition of dual purpose devices (see comment above) this clause in lines 73-</w:t>
            </w:r>
            <w:proofErr w:type="gramStart"/>
            <w:r w:rsidRPr="003E7532">
              <w:rPr>
                <w:rFonts w:asciiTheme="minorHAnsi" w:hAnsiTheme="minorHAnsi" w:cstheme="minorHAnsi"/>
                <w:szCs w:val="18"/>
              </w:rPr>
              <w:t>74  refers</w:t>
            </w:r>
            <w:proofErr w:type="gramEnd"/>
            <w:r w:rsidRPr="003E7532">
              <w:rPr>
                <w:rFonts w:asciiTheme="minorHAnsi" w:hAnsiTheme="minorHAnsi" w:cstheme="minorHAnsi"/>
                <w:szCs w:val="18"/>
              </w:rPr>
              <w:t xml:space="preserve"> is confusing.</w:t>
            </w:r>
          </w:p>
        </w:tc>
        <w:tc>
          <w:tcPr>
            <w:tcW w:w="4242" w:type="dxa"/>
            <w:tcBorders>
              <w:top w:val="single" w:sz="6" w:space="0" w:color="auto"/>
              <w:left w:val="single" w:sz="6" w:space="0" w:color="auto"/>
              <w:bottom w:val="single" w:sz="6" w:space="0" w:color="auto"/>
              <w:right w:val="single" w:sz="6" w:space="0" w:color="auto"/>
            </w:tcBorders>
            <w:shd w:val="clear" w:color="auto" w:fill="auto"/>
          </w:tcPr>
          <w:p w14:paraId="143FE7FD" w14:textId="77777777" w:rsidR="00A05BC3" w:rsidRPr="003E7532" w:rsidRDefault="00A05BC3" w:rsidP="00A05BC3">
            <w:pPr>
              <w:pStyle w:val="ISOClause"/>
              <w:rPr>
                <w:rFonts w:asciiTheme="minorHAnsi" w:hAnsiTheme="minorHAnsi" w:cstheme="minorHAnsi"/>
                <w:szCs w:val="18"/>
              </w:rPr>
            </w:pP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2BE833C7"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ACCEPTED</w:t>
            </w:r>
          </w:p>
          <w:p w14:paraId="72B39EDD" w14:textId="0617122B"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See comment above.</w:t>
            </w:r>
          </w:p>
        </w:tc>
      </w:tr>
      <w:tr w:rsidR="00714EC2" w:rsidRPr="00AF2103" w14:paraId="14E76A7F"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50A44A60" w14:textId="649EA261"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49C63651" w14:textId="34C856C7" w:rsidR="00714EC2" w:rsidRPr="003E7532" w:rsidRDefault="00714EC2" w:rsidP="00714EC2">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75-77</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541E9B6A" w14:textId="04B5ED95" w:rsidR="00714EC2" w:rsidRPr="003E7532" w:rsidRDefault="00714EC2" w:rsidP="00714EC2">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53D111E"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02C67D0D" w14:textId="77777777" w:rsidR="00714EC2" w:rsidRPr="003E7532" w:rsidRDefault="00714EC2" w:rsidP="00714EC2">
            <w:pPr>
              <w:pStyle w:val="ISOClause"/>
              <w:rPr>
                <w:rFonts w:asciiTheme="minorHAnsi" w:hAnsiTheme="minorHAnsi" w:cstheme="minorHAnsi"/>
                <w:szCs w:val="18"/>
                <w:lang w:val="en-US"/>
              </w:rPr>
            </w:pPr>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13B80456" w14:textId="52682613" w:rsidR="00714EC2" w:rsidRPr="003E7532" w:rsidRDefault="00714EC2" w:rsidP="00714EC2">
            <w:pPr>
              <w:pStyle w:val="ISOClause"/>
              <w:spacing w:before="60" w:after="60"/>
              <w:rPr>
                <w:rFonts w:asciiTheme="minorHAnsi" w:hAnsiTheme="minorHAnsi" w:cstheme="minorHAnsi"/>
                <w:szCs w:val="18"/>
                <w:lang w:val="en-US"/>
              </w:rPr>
            </w:pPr>
            <w:r w:rsidRPr="003E7532">
              <w:rPr>
                <w:rStyle w:val="cf01"/>
                <w:rFonts w:asciiTheme="minorHAnsi" w:hAnsiTheme="minorHAnsi" w:cstheme="minorHAnsi"/>
              </w:rPr>
              <w:t xml:space="preserve">for breast implants (dual purpose device). the patient for reconstruction can decide having </w:t>
            </w:r>
            <w:proofErr w:type="gramStart"/>
            <w:r w:rsidRPr="003E7532">
              <w:rPr>
                <w:rStyle w:val="cf01"/>
                <w:rFonts w:asciiTheme="minorHAnsi" w:hAnsiTheme="minorHAnsi" w:cstheme="minorHAnsi"/>
              </w:rPr>
              <w:t>a</w:t>
            </w:r>
            <w:proofErr w:type="gramEnd"/>
            <w:r w:rsidRPr="003E7532">
              <w:rPr>
                <w:rStyle w:val="cf01"/>
                <w:rFonts w:asciiTheme="minorHAnsi" w:hAnsiTheme="minorHAnsi" w:cstheme="minorHAnsi"/>
              </w:rPr>
              <w:t xml:space="preserve"> augmentation (e.g. for symmetry</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158B1BF5" w14:textId="0089828B" w:rsidR="00714EC2" w:rsidRPr="003E7532" w:rsidRDefault="00714EC2" w:rsidP="00714EC2">
            <w:pPr>
              <w:pStyle w:val="ISOClause"/>
              <w:rPr>
                <w:rFonts w:asciiTheme="minorHAnsi" w:hAnsiTheme="minorHAnsi" w:cstheme="minorHAnsi"/>
                <w:szCs w:val="18"/>
                <w:lang w:val="en-US"/>
              </w:rPr>
            </w:pPr>
            <w:r w:rsidRPr="003E7532">
              <w:rPr>
                <w:rFonts w:asciiTheme="minorHAnsi" w:eastAsiaTheme="minorHAnsi" w:hAnsiTheme="minorHAnsi" w:cstheme="minorHAnsi"/>
                <w:b/>
                <w:bCs/>
                <w:szCs w:val="18"/>
              </w:rPr>
              <w:t xml:space="preserve">If the dual purpose is </w:t>
            </w:r>
            <w:proofErr w:type="gramStart"/>
            <w:r w:rsidRPr="003E7532">
              <w:rPr>
                <w:rFonts w:asciiTheme="minorHAnsi" w:eastAsiaTheme="minorHAnsi" w:hAnsiTheme="minorHAnsi" w:cstheme="minorHAnsi"/>
                <w:b/>
                <w:bCs/>
                <w:szCs w:val="18"/>
              </w:rPr>
              <w:t>not  able</w:t>
            </w:r>
            <w:proofErr w:type="gramEnd"/>
            <w:r w:rsidRPr="003E7532">
              <w:rPr>
                <w:rFonts w:asciiTheme="minorHAnsi" w:eastAsiaTheme="minorHAnsi" w:hAnsiTheme="minorHAnsi" w:cstheme="minorHAnsi"/>
                <w:b/>
                <w:bCs/>
                <w:szCs w:val="18"/>
              </w:rPr>
              <w:t xml:space="preserve"> to be achieved simultaneously in one patient (e.g., the equipment can be used for the medical purpose or for the non-medical one, but not able to be achieved simultaneously for both</w:t>
            </w:r>
            <w:r w:rsidRPr="003E7532">
              <w:rPr>
                <w:rFonts w:asciiTheme="minorHAnsi" w:eastAsiaTheme="minorHAnsi" w:hAnsiTheme="minorHAnsi" w:cstheme="minorHAnsi"/>
                <w:szCs w:val="18"/>
              </w:rPr>
              <w:t>), the MDR and the CS requirements could be applied separately.</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3661C798"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14BC3FC7" w14:textId="6032D56E"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The proposed wording is more generic than the one suggested and leaves the possibility to decide to the manufacturer of the device. </w:t>
            </w:r>
          </w:p>
        </w:tc>
      </w:tr>
      <w:tr w:rsidR="00A05BC3" w:rsidRPr="00AF2103" w14:paraId="3891BEE5"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1FA3938D"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lastRenderedPageBreak/>
              <w:t>DEKRA (NB)</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61605D1D"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91-93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48E11A05"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EB00EA6" w14:textId="77777777"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2nd paragraph, 2nd bullet point</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432EF888" w14:textId="77777777"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7C01478E"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Most devices without a medical purpose which are marketed as using ‘RF energy’ operate based on high frequency electrical currents. Since these devices do not operate on electromagnetic radiation these devices do not qualify as group 5 devices.</w:t>
            </w:r>
          </w:p>
          <w:p w14:paraId="5822FDBB"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These devices are typically not liposuction devices but lipolysis devices/</w:t>
            </w:r>
            <w:proofErr w:type="spellStart"/>
            <w:r w:rsidRPr="003E7532">
              <w:rPr>
                <w:rFonts w:asciiTheme="minorHAnsi" w:hAnsiTheme="minorHAnsi" w:cstheme="minorHAnsi"/>
                <w:szCs w:val="18"/>
                <w:lang w:val="en-US"/>
              </w:rPr>
              <w:t>lipoplasty</w:t>
            </w:r>
            <w:proofErr w:type="spellEnd"/>
            <w:r w:rsidRPr="003E7532">
              <w:rPr>
                <w:rFonts w:asciiTheme="minorHAnsi" w:hAnsiTheme="minorHAnsi" w:cstheme="minorHAnsi"/>
                <w:szCs w:val="18"/>
                <w:lang w:val="en-US"/>
              </w:rPr>
              <w:t xml:space="preserve"> devices.</w:t>
            </w:r>
          </w:p>
          <w:p w14:paraId="59AEF3F0" w14:textId="68A29ED1" w:rsidR="00A05BC3" w:rsidRPr="003E7532" w:rsidRDefault="00A05BC3" w:rsidP="003E7532">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Please make this clear in a note and/or replace ‘’ ‘radiofrequency assisted liposuction’ with ‘electro-magnetic radiation assisted lipolysis’. And replace ‘radiofrequency radiation’ with ‘electromagnetic radiation.</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27D1345A"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Replace ‘’ ‘radiofrequency assisted liposuction’ with ‘electro-magnetic radiation assisted lipolysis’.</w:t>
            </w:r>
          </w:p>
          <w:p w14:paraId="1FD22555" w14:textId="77777777" w:rsidR="00A05BC3" w:rsidRPr="003E7532" w:rsidRDefault="00A05BC3" w:rsidP="00A05BC3">
            <w:pPr>
              <w:pStyle w:val="ISOClause"/>
              <w:rPr>
                <w:rFonts w:asciiTheme="minorHAnsi" w:hAnsiTheme="minorHAnsi" w:cstheme="minorHAnsi"/>
                <w:szCs w:val="18"/>
                <w:lang w:val="en-US"/>
              </w:rPr>
            </w:pPr>
            <w:proofErr w:type="gramStart"/>
            <w:r w:rsidRPr="003E7532">
              <w:rPr>
                <w:rFonts w:asciiTheme="minorHAnsi" w:hAnsiTheme="minorHAnsi" w:cstheme="minorHAnsi"/>
                <w:szCs w:val="18"/>
                <w:lang w:val="en-US"/>
              </w:rPr>
              <w:t>Replace  ‘</w:t>
            </w:r>
            <w:proofErr w:type="gramEnd"/>
            <w:r w:rsidRPr="003E7532">
              <w:rPr>
                <w:rFonts w:asciiTheme="minorHAnsi" w:hAnsiTheme="minorHAnsi" w:cstheme="minorHAnsi"/>
                <w:szCs w:val="18"/>
                <w:lang w:val="en-US"/>
              </w:rPr>
              <w:t>radiofrequency radiation’ with ‘electromagnetic radiation’</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5BEEF00A"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REJECTED</w:t>
            </w:r>
          </w:p>
          <w:p w14:paraId="787B9861"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The radiofrequency assisted liposuction (RFAL) is a known cosmetic procedure (e.g., </w:t>
            </w:r>
            <w:hyperlink r:id="rId8" w:history="1">
              <w:r w:rsidRPr="003E7532">
                <w:rPr>
                  <w:rStyle w:val="Hyperlink"/>
                  <w:rFonts w:asciiTheme="minorHAnsi" w:hAnsiTheme="minorHAnsi" w:cstheme="minorHAnsi"/>
                  <w:szCs w:val="18"/>
                  <w:lang w:val="en-US"/>
                </w:rPr>
                <w:t>https://rfalipo.com/what-is-rfal.html</w:t>
              </w:r>
            </w:hyperlink>
            <w:r w:rsidRPr="003E7532">
              <w:rPr>
                <w:rFonts w:asciiTheme="minorHAnsi" w:hAnsiTheme="minorHAnsi" w:cstheme="minorHAnsi"/>
                <w:szCs w:val="18"/>
                <w:lang w:val="en-US"/>
              </w:rPr>
              <w:t>). Changing the terminology would make the sentence more general and probably more difficult to be understood.</w:t>
            </w:r>
          </w:p>
        </w:tc>
      </w:tr>
      <w:tr w:rsidR="00A05BC3" w:rsidRPr="00AF2103" w14:paraId="5513B35F"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43F23EF0" w14:textId="77777777"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p w14:paraId="122529F3" w14:textId="77777777" w:rsidR="00A05BC3" w:rsidRPr="003E7532" w:rsidRDefault="00A05BC3" w:rsidP="00A05BC3">
            <w:pPr>
              <w:pStyle w:val="ISOClause"/>
              <w:rPr>
                <w:rFonts w:asciiTheme="minorHAnsi" w:hAnsiTheme="minorHAnsi" w:cstheme="minorHAnsi"/>
                <w:szCs w:val="18"/>
                <w:lang w:val="en-US"/>
              </w:rPr>
            </w:pP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36C71A35" w14:textId="3F654C63"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97</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F452F4F" w14:textId="2B3D0BC8"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b/>
                <w:bCs/>
                <w:szCs w:val="18"/>
              </w:rPr>
              <w:t xml:space="preserve">“Group 1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C34AB2F" w14:textId="77777777" w:rsidR="00A05BC3" w:rsidRPr="003E7532" w:rsidRDefault="00A05BC3" w:rsidP="00A05BC3">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3B9820D6" w14:textId="53D04FE5"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tcPr>
          <w:p w14:paraId="0EFE1717" w14:textId="2A751490" w:rsidR="003E7532" w:rsidRDefault="003E7532" w:rsidP="00A05BC3">
            <w:pPr>
              <w:pStyle w:val="ISOClause"/>
              <w:spacing w:before="60" w:after="60"/>
              <w:rPr>
                <w:rFonts w:asciiTheme="minorHAnsi" w:hAnsiTheme="minorHAnsi" w:cstheme="minorHAnsi"/>
                <w:szCs w:val="18"/>
              </w:rPr>
            </w:pPr>
            <w:r>
              <w:rPr>
                <w:rFonts w:asciiTheme="minorHAnsi" w:hAnsiTheme="minorHAnsi" w:cstheme="minorHAnsi"/>
                <w:szCs w:val="18"/>
              </w:rPr>
              <w:t>“</w:t>
            </w:r>
            <w:r w:rsidRPr="003E7532">
              <w:rPr>
                <w:rFonts w:asciiTheme="minorHAnsi" w:hAnsiTheme="minorHAnsi" w:cstheme="minorHAnsi"/>
                <w:szCs w:val="18"/>
              </w:rPr>
              <w:t>Contact lenses that are coloured or printed to achieve a non-medical purpose and that are also indicated for the purpose of correcting a sight defect, should be considered a dual-purpose device that reaches simultaneously both the medical and the non-medical purpose. The product can be considered a medical device only (not having a non-medical purpose) if the colour or the print achieves a medical intended purpose.”</w:t>
            </w:r>
          </w:p>
          <w:p w14:paraId="563087D5" w14:textId="0CD2D33A"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rPr>
              <w:t xml:space="preserve">The primary intended purpose of coloured corrective contact lenses is sight correction. They cannot be worn by users that do not require sight correction. The colour is a nice-to-have </w:t>
            </w:r>
            <w:proofErr w:type="gramStart"/>
            <w:r w:rsidRPr="003E7532">
              <w:rPr>
                <w:rFonts w:asciiTheme="minorHAnsi" w:hAnsiTheme="minorHAnsi" w:cstheme="minorHAnsi"/>
                <w:szCs w:val="18"/>
              </w:rPr>
              <w:t>addition, but</w:t>
            </w:r>
            <w:proofErr w:type="gramEnd"/>
            <w:r w:rsidRPr="003E7532">
              <w:rPr>
                <w:rFonts w:asciiTheme="minorHAnsi" w:hAnsiTheme="minorHAnsi" w:cstheme="minorHAnsi"/>
                <w:szCs w:val="18"/>
              </w:rPr>
              <w:t xml:space="preserve"> can never be the primary reason to wear these contact lenses. Coloured corrective contact lenses were always fully considered as medical devices </w:t>
            </w:r>
            <w:proofErr w:type="gramStart"/>
            <w:r w:rsidRPr="003E7532">
              <w:rPr>
                <w:rFonts w:asciiTheme="minorHAnsi" w:hAnsiTheme="minorHAnsi" w:cstheme="minorHAnsi"/>
                <w:szCs w:val="18"/>
              </w:rPr>
              <w:t>in their own right even</w:t>
            </w:r>
            <w:proofErr w:type="gramEnd"/>
            <w:r w:rsidRPr="003E7532">
              <w:rPr>
                <w:rFonts w:asciiTheme="minorHAnsi" w:hAnsiTheme="minorHAnsi" w:cstheme="minorHAnsi"/>
                <w:szCs w:val="18"/>
              </w:rPr>
              <w:t xml:space="preserve"> under the MDD, and as such they fully comply with all requirements applicable to medical devices. The presence of colour is </w:t>
            </w:r>
            <w:proofErr w:type="gramStart"/>
            <w:r w:rsidRPr="003E7532">
              <w:rPr>
                <w:rFonts w:asciiTheme="minorHAnsi" w:hAnsiTheme="minorHAnsi" w:cstheme="minorHAnsi"/>
                <w:szCs w:val="18"/>
              </w:rPr>
              <w:t>taken into account</w:t>
            </w:r>
            <w:proofErr w:type="gramEnd"/>
            <w:r w:rsidRPr="003E7532">
              <w:rPr>
                <w:rFonts w:asciiTheme="minorHAnsi" w:hAnsiTheme="minorHAnsi" w:cstheme="minorHAnsi"/>
                <w:szCs w:val="18"/>
              </w:rPr>
              <w:t xml:space="preserve"> in the risk management. Therefore, we believe it is incorrect to consider these products as having a dual intended purpose.</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1ED7EB45" w14:textId="073CB605"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 xml:space="preserve">Delete </w:t>
            </w:r>
            <w:proofErr w:type="gramStart"/>
            <w:r w:rsidRPr="003E7532">
              <w:rPr>
                <w:rFonts w:asciiTheme="minorHAnsi" w:hAnsiTheme="minorHAnsi" w:cstheme="minorHAnsi"/>
                <w:szCs w:val="18"/>
              </w:rPr>
              <w:t>text, or</w:t>
            </w:r>
            <w:proofErr w:type="gramEnd"/>
            <w:r w:rsidRPr="003E7532">
              <w:rPr>
                <w:rFonts w:asciiTheme="minorHAnsi" w:hAnsiTheme="minorHAnsi" w:cstheme="minorHAnsi"/>
                <w:szCs w:val="18"/>
              </w:rPr>
              <w:t xml:space="preserve"> clarify that these products are not “dual purpose” products.</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3F1F8DD9" w14:textId="77777777" w:rsidR="00A05BC3" w:rsidRPr="003E7532" w:rsidRDefault="00A05BC3" w:rsidP="00A05BC3">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5C697754" w14:textId="389181DE"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Article 1(3) of the MDR does not distinguish a primary intended purpose. Therefore, if a non-medical purpose is present, related requirements must be applied and fulfilled.  </w:t>
            </w:r>
          </w:p>
        </w:tc>
      </w:tr>
      <w:tr w:rsidR="00A05BC3" w:rsidRPr="00F651C4" w14:paraId="78DED7CF" w14:textId="77777777" w:rsidTr="008B36CB">
        <w:trPr>
          <w:cantSplit/>
          <w:jc w:val="center"/>
        </w:trPr>
        <w:tc>
          <w:tcPr>
            <w:tcW w:w="1067" w:type="dxa"/>
            <w:shd w:val="clear" w:color="auto" w:fill="auto"/>
            <w:vAlign w:val="center"/>
          </w:tcPr>
          <w:p w14:paraId="24D05CF0"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proofErr w:type="spellStart"/>
            <w:r w:rsidRPr="003E7532">
              <w:rPr>
                <w:rFonts w:asciiTheme="minorHAnsi" w:hAnsiTheme="minorHAnsi" w:cstheme="minorHAnsi"/>
                <w:szCs w:val="18"/>
                <w:lang w:val="en-US"/>
              </w:rPr>
              <w:lastRenderedPageBreak/>
              <w:t>Applia</w:t>
            </w:r>
            <w:proofErr w:type="spellEnd"/>
          </w:p>
        </w:tc>
        <w:tc>
          <w:tcPr>
            <w:tcW w:w="638" w:type="dxa"/>
            <w:shd w:val="clear" w:color="auto" w:fill="auto"/>
            <w:vAlign w:val="center"/>
          </w:tcPr>
          <w:p w14:paraId="688A2FE9"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102</w:t>
            </w:r>
          </w:p>
        </w:tc>
        <w:tc>
          <w:tcPr>
            <w:tcW w:w="1117" w:type="dxa"/>
            <w:shd w:val="clear" w:color="auto" w:fill="auto"/>
            <w:vAlign w:val="center"/>
          </w:tcPr>
          <w:p w14:paraId="185CFDD9"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3.6</w:t>
            </w:r>
          </w:p>
        </w:tc>
        <w:tc>
          <w:tcPr>
            <w:tcW w:w="1134" w:type="dxa"/>
            <w:shd w:val="clear" w:color="auto" w:fill="auto"/>
            <w:vAlign w:val="center"/>
          </w:tcPr>
          <w:p w14:paraId="42833F81" w14:textId="77777777" w:rsidR="00A05BC3" w:rsidRPr="003E7532" w:rsidRDefault="00A05BC3" w:rsidP="00A05BC3">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rPr>
              <w:t>Examples of products that do not qualify as Annex XVI products</w:t>
            </w:r>
          </w:p>
        </w:tc>
        <w:tc>
          <w:tcPr>
            <w:tcW w:w="952" w:type="dxa"/>
            <w:shd w:val="clear" w:color="auto" w:fill="auto"/>
            <w:vAlign w:val="center"/>
          </w:tcPr>
          <w:p w14:paraId="40281141"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proofErr w:type="spellStart"/>
            <w:r w:rsidRPr="003E7532">
              <w:rPr>
                <w:rFonts w:asciiTheme="minorHAnsi" w:hAnsiTheme="minorHAnsi" w:cstheme="minorHAnsi"/>
                <w:szCs w:val="18"/>
                <w:lang w:val="en-US"/>
              </w:rPr>
              <w:t>ge</w:t>
            </w:r>
            <w:proofErr w:type="spellEnd"/>
          </w:p>
        </w:tc>
        <w:tc>
          <w:tcPr>
            <w:tcW w:w="4092" w:type="dxa"/>
            <w:shd w:val="clear" w:color="auto" w:fill="auto"/>
            <w:vAlign w:val="center"/>
          </w:tcPr>
          <w:p w14:paraId="5C2AB8D6"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 xml:space="preserve">Exclusion should also be clarified for items that may be used in combination with IPL devices but should not be considered as a piece of the device since it has not covered by Annex XVI in fact as well as EU CS. For example, in box equipment/articles such as razors, epilators, eyeglasses, pouches/bags and formulated products such as serums/creams/gels that may be used before/after the hair removal session with IPL devices. </w:t>
            </w:r>
          </w:p>
        </w:tc>
        <w:tc>
          <w:tcPr>
            <w:tcW w:w="4242" w:type="dxa"/>
            <w:shd w:val="clear" w:color="auto" w:fill="auto"/>
            <w:vAlign w:val="center"/>
          </w:tcPr>
          <w:p w14:paraId="6E01DBDB"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To add into the table for Group 5:</w:t>
            </w:r>
          </w:p>
          <w:tbl>
            <w:tblPr>
              <w:tblStyle w:val="TableGrid"/>
              <w:tblW w:w="4005" w:type="dxa"/>
              <w:tblLayout w:type="fixed"/>
              <w:tblLook w:val="04A0" w:firstRow="1" w:lastRow="0" w:firstColumn="1" w:lastColumn="0" w:noHBand="0" w:noVBand="1"/>
            </w:tblPr>
            <w:tblGrid>
              <w:gridCol w:w="715"/>
              <w:gridCol w:w="1760"/>
              <w:gridCol w:w="1530"/>
            </w:tblGrid>
            <w:tr w:rsidR="00A05BC3" w:rsidRPr="003E7532" w14:paraId="1AB355AE" w14:textId="77777777" w:rsidTr="00143A6A">
              <w:trPr>
                <w:tblHeader/>
              </w:trPr>
              <w:tc>
                <w:tcPr>
                  <w:tcW w:w="715" w:type="dxa"/>
                </w:tcPr>
                <w:p w14:paraId="585C52E6" w14:textId="77777777" w:rsidR="00A05BC3" w:rsidRPr="003E7532" w:rsidRDefault="00A05BC3" w:rsidP="00A05BC3">
                  <w:pPr>
                    <w:rPr>
                      <w:rFonts w:asciiTheme="minorHAnsi" w:hAnsiTheme="minorHAnsi" w:cstheme="minorHAnsi"/>
                      <w:b/>
                      <w:bCs/>
                      <w:sz w:val="18"/>
                      <w:szCs w:val="18"/>
                    </w:rPr>
                  </w:pPr>
                  <w:r w:rsidRPr="003E7532">
                    <w:rPr>
                      <w:rFonts w:asciiTheme="minorHAnsi" w:hAnsiTheme="minorHAnsi" w:cstheme="minorHAnsi"/>
                      <w:b/>
                      <w:bCs/>
                      <w:sz w:val="18"/>
                      <w:szCs w:val="18"/>
                    </w:rPr>
                    <w:t>Group</w:t>
                  </w:r>
                </w:p>
              </w:tc>
              <w:tc>
                <w:tcPr>
                  <w:tcW w:w="1760" w:type="dxa"/>
                </w:tcPr>
                <w:p w14:paraId="68E52296" w14:textId="77777777" w:rsidR="00A05BC3" w:rsidRPr="003E7532" w:rsidRDefault="00A05BC3" w:rsidP="00A05BC3">
                  <w:pPr>
                    <w:rPr>
                      <w:rFonts w:asciiTheme="minorHAnsi" w:hAnsiTheme="minorHAnsi" w:cstheme="minorHAnsi"/>
                      <w:b/>
                      <w:bCs/>
                      <w:sz w:val="18"/>
                      <w:szCs w:val="18"/>
                    </w:rPr>
                  </w:pPr>
                  <w:r w:rsidRPr="003E7532">
                    <w:rPr>
                      <w:rFonts w:asciiTheme="minorHAnsi" w:hAnsiTheme="minorHAnsi" w:cstheme="minorHAnsi"/>
                      <w:b/>
                      <w:bCs/>
                      <w:sz w:val="18"/>
                      <w:szCs w:val="18"/>
                    </w:rPr>
                    <w:t>Product</w:t>
                  </w:r>
                </w:p>
              </w:tc>
              <w:tc>
                <w:tcPr>
                  <w:tcW w:w="1530" w:type="dxa"/>
                </w:tcPr>
                <w:p w14:paraId="396CB6F3" w14:textId="77777777" w:rsidR="00A05BC3" w:rsidRPr="003E7532" w:rsidRDefault="00A05BC3" w:rsidP="00A05BC3">
                  <w:pPr>
                    <w:rPr>
                      <w:rFonts w:asciiTheme="minorHAnsi" w:hAnsiTheme="minorHAnsi" w:cstheme="minorHAnsi"/>
                      <w:b/>
                      <w:bCs/>
                      <w:sz w:val="18"/>
                      <w:szCs w:val="18"/>
                    </w:rPr>
                  </w:pPr>
                  <w:r w:rsidRPr="003E7532">
                    <w:rPr>
                      <w:rFonts w:asciiTheme="minorHAnsi" w:hAnsiTheme="minorHAnsi" w:cstheme="minorHAnsi"/>
                      <w:b/>
                      <w:bCs/>
                      <w:sz w:val="18"/>
                      <w:szCs w:val="18"/>
                    </w:rPr>
                    <w:t>reasons for exclusion</w:t>
                  </w:r>
                </w:p>
              </w:tc>
            </w:tr>
            <w:tr w:rsidR="00A05BC3" w:rsidRPr="003E7532" w14:paraId="6FB8B3CE" w14:textId="77777777" w:rsidTr="00143A6A">
              <w:tc>
                <w:tcPr>
                  <w:tcW w:w="715" w:type="dxa"/>
                  <w:vMerge w:val="restart"/>
                </w:tcPr>
                <w:p w14:paraId="6CEAC009" w14:textId="77777777" w:rsidR="00A05BC3" w:rsidRPr="003E7532" w:rsidRDefault="00A05BC3" w:rsidP="00A05BC3">
                  <w:pPr>
                    <w:rPr>
                      <w:rFonts w:asciiTheme="minorHAnsi" w:hAnsiTheme="minorHAnsi" w:cstheme="minorHAnsi"/>
                      <w:b/>
                      <w:bCs/>
                      <w:sz w:val="18"/>
                      <w:szCs w:val="18"/>
                    </w:rPr>
                  </w:pPr>
                  <w:r w:rsidRPr="003E7532">
                    <w:rPr>
                      <w:rFonts w:asciiTheme="minorHAnsi" w:hAnsiTheme="minorHAnsi" w:cstheme="minorHAnsi"/>
                      <w:b/>
                      <w:bCs/>
                      <w:sz w:val="18"/>
                      <w:szCs w:val="18"/>
                    </w:rPr>
                    <w:t>5</w:t>
                  </w:r>
                </w:p>
              </w:tc>
              <w:tc>
                <w:tcPr>
                  <w:tcW w:w="1760" w:type="dxa"/>
                </w:tcPr>
                <w:p w14:paraId="04D61295" w14:textId="77777777" w:rsidR="00A05BC3" w:rsidRPr="003E7532" w:rsidRDefault="00A05BC3" w:rsidP="00A05BC3">
                  <w:pPr>
                    <w:rPr>
                      <w:rFonts w:asciiTheme="minorHAnsi" w:hAnsiTheme="minorHAnsi" w:cstheme="minorHAnsi"/>
                      <w:sz w:val="18"/>
                      <w:szCs w:val="18"/>
                    </w:rPr>
                  </w:pPr>
                  <w:r w:rsidRPr="003E7532">
                    <w:rPr>
                      <w:rFonts w:asciiTheme="minorHAnsi" w:hAnsiTheme="minorHAnsi" w:cstheme="minorHAnsi"/>
                      <w:sz w:val="18"/>
                      <w:szCs w:val="18"/>
                    </w:rPr>
                    <w:t xml:space="preserve">Equipment/items of IPL devices such as razors, epilators, eyeglasses, pouches/bags </w:t>
                  </w:r>
                </w:p>
              </w:tc>
              <w:tc>
                <w:tcPr>
                  <w:tcW w:w="1530" w:type="dxa"/>
                </w:tcPr>
                <w:p w14:paraId="2393949B" w14:textId="77777777" w:rsidR="00A05BC3" w:rsidRPr="003E7532" w:rsidRDefault="00A05BC3" w:rsidP="00A05BC3">
                  <w:pPr>
                    <w:rPr>
                      <w:rFonts w:asciiTheme="minorHAnsi" w:hAnsiTheme="minorHAnsi" w:cstheme="minorHAnsi"/>
                      <w:sz w:val="18"/>
                      <w:szCs w:val="18"/>
                    </w:rPr>
                  </w:pPr>
                  <w:r w:rsidRPr="003E7532">
                    <w:rPr>
                      <w:rFonts w:asciiTheme="minorHAnsi" w:hAnsiTheme="minorHAnsi" w:cstheme="minorHAnsi"/>
                      <w:sz w:val="18"/>
                      <w:szCs w:val="18"/>
                    </w:rPr>
                    <w:t>Not part of the device as it can be marketed on its own for general purposes.</w:t>
                  </w:r>
                </w:p>
              </w:tc>
            </w:tr>
            <w:tr w:rsidR="00A05BC3" w:rsidRPr="003E7532" w14:paraId="3C8273A6" w14:textId="77777777" w:rsidTr="00143A6A">
              <w:tc>
                <w:tcPr>
                  <w:tcW w:w="715" w:type="dxa"/>
                  <w:vMerge/>
                </w:tcPr>
                <w:p w14:paraId="1BD6DA34" w14:textId="77777777" w:rsidR="00A05BC3" w:rsidRPr="003E7532" w:rsidRDefault="00A05BC3" w:rsidP="00A05BC3">
                  <w:pPr>
                    <w:rPr>
                      <w:rFonts w:asciiTheme="minorHAnsi" w:hAnsiTheme="minorHAnsi" w:cstheme="minorHAnsi"/>
                      <w:sz w:val="18"/>
                      <w:szCs w:val="18"/>
                    </w:rPr>
                  </w:pPr>
                </w:p>
              </w:tc>
              <w:tc>
                <w:tcPr>
                  <w:tcW w:w="1760" w:type="dxa"/>
                </w:tcPr>
                <w:p w14:paraId="1C7DB3D1" w14:textId="77777777" w:rsidR="00A05BC3" w:rsidRPr="003E7532" w:rsidRDefault="00A05BC3" w:rsidP="00A05BC3">
                  <w:pPr>
                    <w:rPr>
                      <w:rFonts w:asciiTheme="minorHAnsi" w:hAnsiTheme="minorHAnsi" w:cstheme="minorHAnsi"/>
                      <w:sz w:val="18"/>
                      <w:szCs w:val="18"/>
                      <w:lang w:val="en-US"/>
                    </w:rPr>
                  </w:pPr>
                  <w:r w:rsidRPr="003E7532">
                    <w:rPr>
                      <w:rFonts w:asciiTheme="minorHAnsi" w:hAnsiTheme="minorHAnsi" w:cstheme="minorHAnsi"/>
                      <w:sz w:val="18"/>
                      <w:szCs w:val="18"/>
                    </w:rPr>
                    <w:t>Formulated products such as serums, creams, gels to be used before and/or after IPL treatment for hair removal.</w:t>
                  </w:r>
                </w:p>
              </w:tc>
              <w:tc>
                <w:tcPr>
                  <w:tcW w:w="1530" w:type="dxa"/>
                </w:tcPr>
                <w:p w14:paraId="1D6811E0" w14:textId="77777777" w:rsidR="00A05BC3" w:rsidRPr="003E7532" w:rsidRDefault="00A05BC3" w:rsidP="00A05BC3">
                  <w:pPr>
                    <w:rPr>
                      <w:rFonts w:asciiTheme="minorHAnsi" w:hAnsiTheme="minorHAnsi" w:cstheme="minorHAnsi"/>
                      <w:sz w:val="18"/>
                      <w:szCs w:val="18"/>
                    </w:rPr>
                  </w:pPr>
                  <w:r w:rsidRPr="003E7532">
                    <w:rPr>
                      <w:rFonts w:asciiTheme="minorHAnsi" w:hAnsiTheme="minorHAnsi" w:cstheme="minorHAnsi"/>
                      <w:sz w:val="18"/>
                      <w:szCs w:val="18"/>
                    </w:rPr>
                    <w:t>Not covered by CS.</w:t>
                  </w:r>
                </w:p>
              </w:tc>
            </w:tr>
          </w:tbl>
          <w:p w14:paraId="4B8149CD" w14:textId="77777777" w:rsidR="00A05BC3" w:rsidRPr="003E7532" w:rsidRDefault="00A05BC3" w:rsidP="00A05BC3">
            <w:pPr>
              <w:pStyle w:val="ISOClause"/>
              <w:spacing w:before="60" w:after="60" w:line="240" w:lineRule="auto"/>
              <w:rPr>
                <w:rFonts w:asciiTheme="minorHAnsi" w:hAnsiTheme="minorHAnsi" w:cstheme="minorHAnsi"/>
                <w:b/>
                <w:bCs/>
                <w:szCs w:val="18"/>
                <w:lang w:val="en-US"/>
              </w:rPr>
            </w:pPr>
          </w:p>
        </w:tc>
        <w:tc>
          <w:tcPr>
            <w:tcW w:w="2445" w:type="dxa"/>
            <w:shd w:val="clear" w:color="auto" w:fill="auto"/>
            <w:vAlign w:val="center"/>
          </w:tcPr>
          <w:p w14:paraId="39F90867"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PARTIALLY ACCEPTED</w:t>
            </w:r>
          </w:p>
          <w:p w14:paraId="21C42379"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Some of the items listed in the first examples could be considered as an ‘accessory’ of the product. The manufacturer will decide how to qualify those products. For example, the eyeglasses could be placed on the market to be used only with that IPL device.</w:t>
            </w:r>
          </w:p>
          <w:p w14:paraId="7C919A71"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 xml:space="preserve">Second example is accepted. Added to the guidance documents without the reference to IPL, to make the sentence more generic. </w:t>
            </w:r>
          </w:p>
        </w:tc>
      </w:tr>
      <w:tr w:rsidR="00A05BC3" w:rsidRPr="00AF2103" w14:paraId="3A2B07C6"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4A552232"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DEKRA (NB)</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3F0DAB2F"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102-103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A6D0DCF"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4B7689D" w14:textId="77777777"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Table</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5B34FB2B" w14:textId="77777777"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1A9479F0"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Equipment emitting cold plasma reason for exclusion: the fact that cold plasma is not only electromagnetic radiation is not a reason for exclusion from group 5.</w:t>
            </w:r>
          </w:p>
          <w:p w14:paraId="4D16B372" w14:textId="77777777" w:rsidR="00A05BC3" w:rsidRPr="003E7532" w:rsidRDefault="00A05BC3" w:rsidP="00A05BC3">
            <w:pPr>
              <w:pStyle w:val="ISOClause"/>
              <w:spacing w:before="60" w:after="60"/>
              <w:rPr>
                <w:rFonts w:asciiTheme="minorHAnsi" w:hAnsiTheme="minorHAnsi" w:cstheme="minorHAnsi"/>
                <w:szCs w:val="18"/>
                <w:lang w:val="en-US"/>
              </w:rPr>
            </w:pPr>
            <w:r w:rsidRPr="003E7532">
              <w:rPr>
                <w:rFonts w:asciiTheme="minorHAnsi" w:hAnsiTheme="minorHAnsi" w:cstheme="minorHAnsi"/>
                <w:szCs w:val="18"/>
                <w:lang w:val="en-US"/>
              </w:rPr>
              <w:t>If the intended effect is not based on the emitted electromagnetic radiation this could be a valid reason for exclusion.</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7AEEEC49"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Change reason for exclusion to: ‘the intended effect is not based on the emitted electromagnetic radiation’.</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3AEB9E7C"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ACCEPTED</w:t>
            </w:r>
          </w:p>
          <w:p w14:paraId="7C2BDF86"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Sentence changed in “The intended purpose is achieved by </w:t>
            </w:r>
            <w:proofErr w:type="gramStart"/>
            <w:r w:rsidRPr="003E7532">
              <w:rPr>
                <w:rFonts w:asciiTheme="minorHAnsi" w:hAnsiTheme="minorHAnsi" w:cstheme="minorHAnsi"/>
                <w:szCs w:val="18"/>
                <w:lang w:val="en-US"/>
              </w:rPr>
              <w:t>a</w:t>
            </w:r>
            <w:proofErr w:type="gramEnd"/>
            <w:r w:rsidRPr="003E7532">
              <w:rPr>
                <w:rFonts w:asciiTheme="minorHAnsi" w:hAnsiTheme="minorHAnsi" w:cstheme="minorHAnsi"/>
                <w:szCs w:val="18"/>
                <w:lang w:val="en-US"/>
              </w:rPr>
              <w:t xml:space="preserve"> ionized gas and not by </w:t>
            </w:r>
            <w:proofErr w:type="spellStart"/>
            <w:r w:rsidRPr="003E7532">
              <w:rPr>
                <w:rFonts w:asciiTheme="minorHAnsi" w:hAnsiTheme="minorHAnsi" w:cstheme="minorHAnsi"/>
                <w:szCs w:val="18"/>
                <w:lang w:val="en-US"/>
              </w:rPr>
              <w:t>a</w:t>
            </w:r>
            <w:proofErr w:type="spellEnd"/>
            <w:r w:rsidRPr="003E7532">
              <w:rPr>
                <w:rFonts w:asciiTheme="minorHAnsi" w:hAnsiTheme="minorHAnsi" w:cstheme="minorHAnsi"/>
                <w:szCs w:val="18"/>
                <w:lang w:val="en-US"/>
              </w:rPr>
              <w:t xml:space="preserve"> electromagnetic radiation”.</w:t>
            </w:r>
          </w:p>
        </w:tc>
      </w:tr>
      <w:tr w:rsidR="00A05BC3" w:rsidRPr="00AF2103" w14:paraId="471C3C57"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1FD60695"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DEKRA (NB)</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70C738D3"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102-103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25DBE76C"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3.6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049DBF3" w14:textId="77777777" w:rsidR="00A05BC3" w:rsidRPr="003E7532" w:rsidRDefault="00A05BC3" w:rsidP="00A05BC3">
            <w:pPr>
              <w:pStyle w:val="ISOClause"/>
              <w:rPr>
                <w:rFonts w:asciiTheme="minorHAnsi" w:hAnsiTheme="minorHAnsi" w:cstheme="minorHAnsi"/>
                <w:szCs w:val="18"/>
              </w:rPr>
            </w:pPr>
            <w:r w:rsidRPr="003E7532">
              <w:rPr>
                <w:rFonts w:asciiTheme="minorHAnsi" w:hAnsiTheme="minorHAnsi" w:cstheme="minorHAnsi"/>
                <w:szCs w:val="18"/>
              </w:rPr>
              <w:t>Table</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2C87B838" w14:textId="77777777" w:rsidR="00A05BC3" w:rsidRPr="003E7532" w:rsidRDefault="00A05BC3" w:rsidP="00A05BC3">
            <w:pPr>
              <w:pStyle w:val="ISOClause"/>
              <w:rPr>
                <w:rFonts w:asciiTheme="minorHAnsi" w:hAnsiTheme="minorHAnsi" w:cstheme="minorHAnsi"/>
                <w:szCs w:val="18"/>
                <w:lang w:val="en-US"/>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6DB305FF" w14:textId="77777777" w:rsidR="00A05BC3" w:rsidRPr="003E7532" w:rsidRDefault="00A05BC3" w:rsidP="00A05BC3">
            <w:pPr>
              <w:pStyle w:val="ISOClause"/>
              <w:spacing w:line="240" w:lineRule="auto"/>
              <w:rPr>
                <w:rFonts w:asciiTheme="minorHAnsi" w:hAnsiTheme="minorHAnsi" w:cstheme="minorHAnsi"/>
                <w:szCs w:val="18"/>
                <w:lang w:val="en-US"/>
              </w:rPr>
            </w:pPr>
            <w:r w:rsidRPr="003E7532">
              <w:rPr>
                <w:rFonts w:asciiTheme="minorHAnsi" w:hAnsiTheme="minorHAnsi" w:cstheme="minorHAnsi"/>
                <w:szCs w:val="18"/>
                <w:lang w:val="en-US"/>
              </w:rPr>
              <w:t>As described above, the term radio frequency (RF) is confusing terminology, which can describe both group 5 devices as devices not covered by Annex VIII</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07FA0512"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Add:</w:t>
            </w:r>
          </w:p>
          <w:p w14:paraId="1DA139B7"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Product: equipment using high frequency (‘radio frequency’) alternating electrical currents for skin rejuvenation, skin tightening </w:t>
            </w:r>
            <w:proofErr w:type="spellStart"/>
            <w:r w:rsidRPr="003E7532">
              <w:rPr>
                <w:rFonts w:asciiTheme="minorHAnsi" w:hAnsiTheme="minorHAnsi" w:cstheme="minorHAnsi"/>
                <w:szCs w:val="18"/>
                <w:lang w:val="en-US"/>
              </w:rPr>
              <w:t>etc</w:t>
            </w:r>
            <w:proofErr w:type="spellEnd"/>
          </w:p>
          <w:p w14:paraId="4D2FE178"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Reason for exclusion: </w:t>
            </w:r>
            <w:proofErr w:type="gramStart"/>
            <w:r w:rsidRPr="003E7532">
              <w:rPr>
                <w:rFonts w:asciiTheme="minorHAnsi" w:hAnsiTheme="minorHAnsi" w:cstheme="minorHAnsi"/>
                <w:szCs w:val="18"/>
                <w:lang w:val="en-US"/>
              </w:rPr>
              <w:t>High  frequency</w:t>
            </w:r>
            <w:proofErr w:type="gramEnd"/>
            <w:r w:rsidRPr="003E7532">
              <w:rPr>
                <w:rFonts w:asciiTheme="minorHAnsi" w:hAnsiTheme="minorHAnsi" w:cstheme="minorHAnsi"/>
                <w:szCs w:val="18"/>
                <w:lang w:val="en-US"/>
              </w:rPr>
              <w:t xml:space="preserve"> alternating electric currents are not electromagnetic radiation</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40E99714"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REJECTED</w:t>
            </w:r>
          </w:p>
          <w:p w14:paraId="5C55B5FA"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Proposed example is confusing because the term ‘radio frequency’ is defined as high frequency alternating electrical current.</w:t>
            </w:r>
          </w:p>
          <w:p w14:paraId="5F331E3F" w14:textId="7777777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 xml:space="preserve">Footnote 21 clarifies what is intended with radiofrequency. </w:t>
            </w:r>
          </w:p>
        </w:tc>
      </w:tr>
      <w:tr w:rsidR="00A05BC3" w:rsidRPr="00AF2103" w14:paraId="27C91A3B"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025243A5" w14:textId="0C62829D" w:rsidR="00A05BC3" w:rsidRPr="003E7532" w:rsidRDefault="00A05BC3" w:rsidP="00A05BC3">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EuromContact</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28F9BDD3" w14:textId="04C47DD3" w:rsidR="00A05BC3" w:rsidRPr="003E7532" w:rsidRDefault="00A05BC3" w:rsidP="00A05BC3">
            <w:pPr>
              <w:pStyle w:val="ISOClause"/>
              <w:spacing w:before="60" w:after="60" w:line="240" w:lineRule="auto"/>
              <w:rPr>
                <w:rFonts w:asciiTheme="minorHAnsi" w:hAnsiTheme="minorHAnsi" w:cstheme="minorHAnsi"/>
                <w:szCs w:val="18"/>
                <w:lang w:val="en-US"/>
              </w:rPr>
            </w:pPr>
            <w:r w:rsidRPr="003E7532">
              <w:rPr>
                <w:rFonts w:asciiTheme="minorHAnsi" w:hAnsiTheme="minorHAnsi" w:cstheme="minorHAnsi"/>
                <w:szCs w:val="18"/>
              </w:rPr>
              <w:t>121</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FF419EE" w14:textId="77777777" w:rsidR="00A05BC3" w:rsidRPr="003E7532" w:rsidRDefault="00A05BC3" w:rsidP="00A05BC3">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2937483" w14:textId="77777777" w:rsidR="00A05BC3" w:rsidRPr="003E7532" w:rsidRDefault="00A05BC3" w:rsidP="00A05BC3">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0DE99026" w14:textId="011BAAA6"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ed</w:t>
            </w:r>
          </w:p>
        </w:tc>
        <w:tc>
          <w:tcPr>
            <w:tcW w:w="4092" w:type="dxa"/>
            <w:tcBorders>
              <w:top w:val="single" w:sz="6" w:space="0" w:color="auto"/>
              <w:left w:val="single" w:sz="6" w:space="0" w:color="auto"/>
              <w:bottom w:val="single" w:sz="6" w:space="0" w:color="auto"/>
              <w:right w:val="single" w:sz="6" w:space="0" w:color="auto"/>
            </w:tcBorders>
            <w:shd w:val="clear" w:color="auto" w:fill="auto"/>
          </w:tcPr>
          <w:p w14:paraId="544BAB04" w14:textId="1D6E4F1D" w:rsidR="00A05BC3" w:rsidRPr="003E7532" w:rsidRDefault="00A05BC3" w:rsidP="00A05BC3">
            <w:pPr>
              <w:pStyle w:val="ISOClause"/>
              <w:spacing w:line="240" w:lineRule="auto"/>
              <w:rPr>
                <w:rFonts w:asciiTheme="minorHAnsi" w:hAnsiTheme="minorHAnsi" w:cstheme="minorHAnsi"/>
                <w:szCs w:val="18"/>
                <w:lang w:val="en-US"/>
              </w:rPr>
            </w:pPr>
            <w:r w:rsidRPr="003E7532">
              <w:rPr>
                <w:rFonts w:asciiTheme="minorHAnsi" w:hAnsiTheme="minorHAnsi" w:cstheme="minorHAnsi"/>
                <w:szCs w:val="18"/>
              </w:rPr>
              <w:t xml:space="preserve">Non-corrective is given in two different notations, either as “non corrective </w:t>
            </w:r>
            <w:proofErr w:type="gramStart"/>
            <w:r w:rsidRPr="003E7532">
              <w:rPr>
                <w:rFonts w:asciiTheme="minorHAnsi" w:hAnsiTheme="minorHAnsi" w:cstheme="minorHAnsi"/>
                <w:szCs w:val="18"/>
              </w:rPr>
              <w:t>“ or</w:t>
            </w:r>
            <w:proofErr w:type="gramEnd"/>
            <w:r w:rsidRPr="003E7532">
              <w:rPr>
                <w:rFonts w:asciiTheme="minorHAnsi" w:hAnsiTheme="minorHAnsi" w:cstheme="minorHAnsi"/>
                <w:szCs w:val="18"/>
              </w:rPr>
              <w:t xml:space="preserve"> “non-corrective”.</w:t>
            </w:r>
          </w:p>
        </w:tc>
        <w:tc>
          <w:tcPr>
            <w:tcW w:w="4242" w:type="dxa"/>
            <w:tcBorders>
              <w:top w:val="single" w:sz="6" w:space="0" w:color="auto"/>
              <w:left w:val="single" w:sz="6" w:space="0" w:color="auto"/>
              <w:bottom w:val="single" w:sz="6" w:space="0" w:color="auto"/>
              <w:right w:val="single" w:sz="6" w:space="0" w:color="auto"/>
            </w:tcBorders>
            <w:shd w:val="clear" w:color="auto" w:fill="auto"/>
          </w:tcPr>
          <w:p w14:paraId="75EC8E8B" w14:textId="2BDDD6D7"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rPr>
              <w:t>Consider aligning the spelling of ‘non-corrective’.</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0F255F63" w14:textId="7887CA22" w:rsidR="00A05BC3" w:rsidRPr="003E7532" w:rsidRDefault="00A05BC3" w:rsidP="00A05BC3">
            <w:pPr>
              <w:pStyle w:val="ISOClause"/>
              <w:rPr>
                <w:rFonts w:asciiTheme="minorHAnsi" w:hAnsiTheme="minorHAnsi" w:cstheme="minorHAnsi"/>
                <w:szCs w:val="18"/>
                <w:lang w:val="en-US"/>
              </w:rPr>
            </w:pPr>
            <w:r w:rsidRPr="003E7532">
              <w:rPr>
                <w:rFonts w:asciiTheme="minorHAnsi" w:hAnsiTheme="minorHAnsi" w:cstheme="minorHAnsi"/>
                <w:szCs w:val="18"/>
                <w:lang w:val="en-US"/>
              </w:rPr>
              <w:t>ACCEPTED</w:t>
            </w:r>
          </w:p>
        </w:tc>
      </w:tr>
      <w:tr w:rsidR="00714EC2" w:rsidRPr="00AF2103" w14:paraId="55E3D724"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28609C15" w14:textId="5F77A976"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lastRenderedPageBreak/>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1D50A7F3" w14:textId="0CACF67A"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129</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3A47D258" w14:textId="77777777" w:rsidR="00714EC2" w:rsidRPr="003E7532" w:rsidRDefault="00714EC2" w:rsidP="00714EC2">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05D553B"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479B9B6A" w14:textId="77777777" w:rsidR="00714EC2" w:rsidRPr="003E7532" w:rsidRDefault="00714EC2" w:rsidP="00714EC2">
            <w:pPr>
              <w:pStyle w:val="ISOClause"/>
              <w:rPr>
                <w:rFonts w:asciiTheme="minorHAnsi" w:hAnsiTheme="minorHAnsi" w:cstheme="minorHAnsi"/>
                <w:szCs w:val="18"/>
              </w:rPr>
            </w:pPr>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37A60966" w14:textId="62785B4B" w:rsidR="00714EC2" w:rsidRPr="003E7532" w:rsidRDefault="00714EC2" w:rsidP="00714EC2">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No class indicated for breast implants and surgical meshes</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77C36A5D" w14:textId="3E533632" w:rsidR="00714EC2" w:rsidRPr="003E7532" w:rsidRDefault="00714EC2" w:rsidP="00714EC2">
            <w:pPr>
              <w:pStyle w:val="ISOClause"/>
              <w:rPr>
                <w:rFonts w:asciiTheme="minorHAnsi" w:hAnsiTheme="minorHAnsi" w:cstheme="minorHAnsi"/>
                <w:szCs w:val="18"/>
              </w:rPr>
            </w:pPr>
            <w:r w:rsidRPr="003E7532">
              <w:rPr>
                <w:rFonts w:asciiTheme="minorHAnsi" w:hAnsiTheme="minorHAnsi" w:cstheme="minorHAnsi"/>
                <w:szCs w:val="18"/>
                <w:lang w:val="en-US"/>
              </w:rPr>
              <w:t>Add class III in the Column titled ‘class’</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1952EFDD"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PARTIALLY ACCEPTED</w:t>
            </w:r>
          </w:p>
          <w:p w14:paraId="1ED46999" w14:textId="1DC8A0A4"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Combined the cells to avoid the need to repeat the class reference.</w:t>
            </w:r>
          </w:p>
        </w:tc>
      </w:tr>
      <w:tr w:rsidR="00714EC2" w:rsidRPr="00AF2103" w14:paraId="344283A1"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38415443" w14:textId="77777777" w:rsidR="00714EC2" w:rsidRPr="003E7532" w:rsidRDefault="00714EC2" w:rsidP="00143A6A">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3D4A57C5" w14:textId="77777777" w:rsidR="00714EC2" w:rsidRPr="003E7532" w:rsidRDefault="00714EC2" w:rsidP="00143A6A">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153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6815FAB4" w14:textId="77777777" w:rsidR="00714EC2" w:rsidRPr="003E7532" w:rsidRDefault="00714EC2" w:rsidP="00143A6A">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E3FB8F0" w14:textId="77777777" w:rsidR="00714EC2" w:rsidRPr="003E7532" w:rsidRDefault="00714EC2" w:rsidP="00143A6A">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5DA69817" w14:textId="77777777" w:rsidR="00714EC2" w:rsidRPr="003E7532" w:rsidRDefault="00714EC2" w:rsidP="00143A6A">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B25A071" w14:textId="77777777" w:rsidR="00714EC2" w:rsidRPr="003E7532" w:rsidRDefault="00714EC2" w:rsidP="00143A6A">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 xml:space="preserve">LED therapy is less dangerous than HIFU. HIFU is not included in the CS. </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4D88F314" w14:textId="77777777" w:rsidR="00714EC2" w:rsidRPr="003E7532" w:rsidRDefault="00714EC2" w:rsidP="00143A6A">
            <w:pPr>
              <w:pStyle w:val="ISOClause"/>
              <w:rPr>
                <w:rFonts w:asciiTheme="minorHAnsi" w:hAnsiTheme="minorHAnsi" w:cstheme="minorHAnsi"/>
                <w:szCs w:val="18"/>
              </w:rPr>
            </w:pP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19E232EA" w14:textId="77777777" w:rsidR="00714EC2" w:rsidRPr="003E7532" w:rsidRDefault="00714EC2" w:rsidP="00143A6A">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15C7FD06" w14:textId="77777777" w:rsidR="00714EC2" w:rsidRPr="003E7532" w:rsidRDefault="00714EC2" w:rsidP="00143A6A">
            <w:pPr>
              <w:pStyle w:val="ISOClause"/>
              <w:rPr>
                <w:rFonts w:asciiTheme="minorHAnsi" w:hAnsiTheme="minorHAnsi" w:cstheme="minorHAnsi"/>
                <w:szCs w:val="18"/>
                <w:lang w:val="en-US"/>
              </w:rPr>
            </w:pPr>
            <w:r w:rsidRPr="003E7532">
              <w:rPr>
                <w:rFonts w:asciiTheme="minorHAnsi" w:hAnsiTheme="minorHAnsi" w:cstheme="minorHAnsi"/>
                <w:szCs w:val="18"/>
                <w:lang w:val="en-US"/>
              </w:rPr>
              <w:t>The guidance document cannot amend Regulation (EU) 2022/2347 on reclassification.</w:t>
            </w:r>
          </w:p>
        </w:tc>
      </w:tr>
      <w:tr w:rsidR="00714EC2" w:rsidRPr="00AF2103" w14:paraId="2D6B38BF"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76C09705" w14:textId="77777777" w:rsidR="00714EC2" w:rsidRPr="003E7532" w:rsidRDefault="00714EC2" w:rsidP="00143A6A">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556E8B5C" w14:textId="77777777" w:rsidR="00714EC2" w:rsidRPr="003E7532" w:rsidRDefault="00714EC2" w:rsidP="00143A6A">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153</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CE51BAC" w14:textId="77777777" w:rsidR="00714EC2" w:rsidRPr="003E7532" w:rsidRDefault="00714EC2" w:rsidP="00143A6A">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C634164" w14:textId="77777777" w:rsidR="00714EC2" w:rsidRPr="003E7532" w:rsidRDefault="00714EC2" w:rsidP="00143A6A">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16D0841B" w14:textId="77777777" w:rsidR="00714EC2" w:rsidRPr="003E7532" w:rsidRDefault="00714EC2" w:rsidP="00143A6A">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868AD10" w14:textId="77777777" w:rsidR="00714EC2" w:rsidRPr="003E7532" w:rsidRDefault="00714EC2" w:rsidP="00143A6A">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Skin rejuvenation includes skin resurfacing. In the CS text is written the other way round. Please clarify the skin resurfacing/skin rejuvenation. All the devices that produce skin resurfacing, produce skin rejuvenation but not all the skin rejuvenation devices produce skin resurfacing.</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42C433ED" w14:textId="77777777" w:rsidR="00714EC2" w:rsidRPr="003E7532" w:rsidRDefault="00714EC2" w:rsidP="00143A6A">
            <w:pPr>
              <w:pStyle w:val="ISOClause"/>
              <w:rPr>
                <w:rFonts w:asciiTheme="minorHAnsi" w:hAnsiTheme="minorHAnsi" w:cstheme="minorHAnsi"/>
                <w:szCs w:val="18"/>
              </w:rPr>
            </w:pPr>
            <w:r w:rsidRPr="003E7532">
              <w:rPr>
                <w:rFonts w:asciiTheme="minorHAnsi" w:hAnsiTheme="minorHAnsi" w:cstheme="minorHAnsi"/>
                <w:szCs w:val="18"/>
                <w:lang w:val="en-US"/>
              </w:rPr>
              <w:t>Make both documents coherent with each other.</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7C08E143" w14:textId="77777777" w:rsidR="00714EC2" w:rsidRPr="003E7532" w:rsidRDefault="00714EC2" w:rsidP="00143A6A">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7BB6C331" w14:textId="77777777" w:rsidR="00714EC2" w:rsidRPr="003E7532" w:rsidRDefault="00714EC2" w:rsidP="00143A6A">
            <w:pPr>
              <w:pStyle w:val="ISOClause"/>
              <w:rPr>
                <w:rFonts w:asciiTheme="minorHAnsi" w:hAnsiTheme="minorHAnsi" w:cstheme="minorHAnsi"/>
                <w:szCs w:val="18"/>
                <w:lang w:val="en-US"/>
              </w:rPr>
            </w:pPr>
            <w:r w:rsidRPr="003E7532">
              <w:rPr>
                <w:rFonts w:asciiTheme="minorHAnsi" w:hAnsiTheme="minorHAnsi" w:cstheme="minorHAnsi"/>
                <w:szCs w:val="18"/>
                <w:lang w:val="en-US"/>
              </w:rPr>
              <w:t>As in the CS scope section, the guidance document mentions first skin resurfacing and then skin rejuvenation. No need to align.</w:t>
            </w:r>
          </w:p>
        </w:tc>
      </w:tr>
      <w:tr w:rsidR="00714EC2" w:rsidRPr="00AF2103" w14:paraId="01CD775A"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71DCCAB4" w14:textId="34C785A0"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3E594A0F" w14:textId="655E20FE"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153-159 //</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27B063B" w14:textId="77777777" w:rsidR="00714EC2" w:rsidRPr="003E7532" w:rsidRDefault="00714EC2" w:rsidP="00714EC2">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4AAC4AC"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6647E003" w14:textId="67249041" w:rsidR="00714EC2" w:rsidRPr="003E7532" w:rsidRDefault="00714EC2" w:rsidP="00714EC2">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00BF019B" w14:textId="77777777" w:rsidR="00714EC2" w:rsidRPr="003E7532" w:rsidRDefault="00714EC2" w:rsidP="00714EC2">
            <w:pPr>
              <w:pStyle w:val="ISOComments"/>
              <w:spacing w:before="60" w:after="60"/>
              <w:rPr>
                <w:rFonts w:asciiTheme="minorHAnsi" w:hAnsiTheme="minorHAnsi" w:cstheme="minorHAnsi"/>
                <w:szCs w:val="18"/>
                <w:lang w:val="en-US"/>
              </w:rPr>
            </w:pPr>
            <w:r w:rsidRPr="003E7532">
              <w:rPr>
                <w:rFonts w:asciiTheme="minorHAnsi" w:hAnsiTheme="minorHAnsi" w:cstheme="minorHAnsi"/>
                <w:szCs w:val="18"/>
                <w:lang w:val="en-US"/>
              </w:rPr>
              <w:t xml:space="preserve">As an example, they mention light platforms whose operation is based on selective </w:t>
            </w:r>
            <w:proofErr w:type="spellStart"/>
            <w:r w:rsidRPr="003E7532">
              <w:rPr>
                <w:rFonts w:asciiTheme="minorHAnsi" w:hAnsiTheme="minorHAnsi" w:cstheme="minorHAnsi"/>
                <w:szCs w:val="18"/>
                <w:lang w:val="en-US"/>
              </w:rPr>
              <w:t>photothermolysis</w:t>
            </w:r>
            <w:proofErr w:type="spellEnd"/>
            <w:r w:rsidRPr="003E7532">
              <w:rPr>
                <w:rFonts w:asciiTheme="minorHAnsi" w:hAnsiTheme="minorHAnsi" w:cstheme="minorHAnsi"/>
                <w:szCs w:val="18"/>
                <w:lang w:val="en-US"/>
              </w:rPr>
              <w:t xml:space="preserve"> which heats or burns skin structures. </w:t>
            </w:r>
          </w:p>
          <w:p w14:paraId="3AAD51AE" w14:textId="77777777" w:rsidR="00714EC2" w:rsidRPr="003E7532" w:rsidRDefault="00714EC2" w:rsidP="00714EC2">
            <w:pPr>
              <w:pStyle w:val="ISOComments"/>
              <w:spacing w:before="60" w:after="60"/>
              <w:rPr>
                <w:rFonts w:asciiTheme="minorHAnsi" w:hAnsiTheme="minorHAnsi" w:cstheme="minorHAnsi"/>
                <w:szCs w:val="18"/>
                <w:lang w:val="en-US"/>
              </w:rPr>
            </w:pPr>
            <w:r w:rsidRPr="003E7532">
              <w:rPr>
                <w:rFonts w:asciiTheme="minorHAnsi" w:hAnsiTheme="minorHAnsi" w:cstheme="minorHAnsi"/>
                <w:szCs w:val="18"/>
                <w:lang w:val="en-US"/>
              </w:rPr>
              <w:t xml:space="preserve">This kind of devices has risk of burning the skin, damaging the </w:t>
            </w:r>
            <w:proofErr w:type="gramStart"/>
            <w:r w:rsidRPr="003E7532">
              <w:rPr>
                <w:rFonts w:asciiTheme="minorHAnsi" w:hAnsiTheme="minorHAnsi" w:cstheme="minorHAnsi"/>
                <w:szCs w:val="18"/>
                <w:lang w:val="en-US"/>
              </w:rPr>
              <w:t>eyes</w:t>
            </w:r>
            <w:proofErr w:type="gramEnd"/>
            <w:r w:rsidRPr="003E7532">
              <w:rPr>
                <w:rFonts w:asciiTheme="minorHAnsi" w:hAnsiTheme="minorHAnsi" w:cstheme="minorHAnsi"/>
                <w:szCs w:val="18"/>
                <w:lang w:val="en-US"/>
              </w:rPr>
              <w:t xml:space="preserve"> or causing hyper/hypopigmentation for example.</w:t>
            </w:r>
          </w:p>
          <w:p w14:paraId="262346CC" w14:textId="77777777" w:rsidR="00714EC2" w:rsidRPr="003E7532" w:rsidRDefault="00714EC2" w:rsidP="00714EC2">
            <w:pPr>
              <w:pStyle w:val="ISOComments"/>
              <w:spacing w:before="60" w:after="60"/>
              <w:rPr>
                <w:rFonts w:asciiTheme="minorHAnsi" w:hAnsiTheme="minorHAnsi" w:cstheme="minorHAnsi"/>
                <w:szCs w:val="18"/>
                <w:lang w:val="en-US"/>
              </w:rPr>
            </w:pPr>
            <w:r w:rsidRPr="003E7532">
              <w:rPr>
                <w:rFonts w:asciiTheme="minorHAnsi" w:hAnsiTheme="minorHAnsi" w:cstheme="minorHAnsi"/>
                <w:szCs w:val="18"/>
                <w:lang w:val="en-US"/>
              </w:rPr>
              <w:t xml:space="preserve"> </w:t>
            </w:r>
          </w:p>
          <w:p w14:paraId="6E69C8A6" w14:textId="325FC319" w:rsidR="00714EC2" w:rsidRPr="003E7532" w:rsidRDefault="00714EC2" w:rsidP="00714EC2">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LED based devices use very low energy (</w:t>
            </w:r>
            <w:proofErr w:type="spellStart"/>
            <w:r w:rsidRPr="003E7532">
              <w:rPr>
                <w:rFonts w:asciiTheme="minorHAnsi" w:hAnsiTheme="minorHAnsi" w:cstheme="minorHAnsi"/>
                <w:szCs w:val="18"/>
                <w:lang w:val="en-US"/>
              </w:rPr>
              <w:t>miliwatts</w:t>
            </w:r>
            <w:proofErr w:type="spellEnd"/>
            <w:r w:rsidRPr="003E7532">
              <w:rPr>
                <w:rFonts w:asciiTheme="minorHAnsi" w:hAnsiTheme="minorHAnsi" w:cstheme="minorHAnsi"/>
                <w:szCs w:val="18"/>
                <w:lang w:val="en-US"/>
              </w:rPr>
              <w:t xml:space="preserve"> vs. Kilowatts if we compare them to diode lasers). They produce chemical </w:t>
            </w:r>
            <w:proofErr w:type="spellStart"/>
            <w:r w:rsidRPr="003E7532">
              <w:rPr>
                <w:rFonts w:asciiTheme="minorHAnsi" w:hAnsiTheme="minorHAnsi" w:cstheme="minorHAnsi"/>
                <w:szCs w:val="18"/>
                <w:lang w:val="en-US"/>
              </w:rPr>
              <w:t>photobiomodulation</w:t>
            </w:r>
            <w:proofErr w:type="spellEnd"/>
            <w:r w:rsidRPr="003E7532">
              <w:rPr>
                <w:rFonts w:asciiTheme="minorHAnsi" w:hAnsiTheme="minorHAnsi" w:cstheme="minorHAnsi"/>
                <w:szCs w:val="18"/>
                <w:lang w:val="en-US"/>
              </w:rPr>
              <w:t xml:space="preserve"> but in </w:t>
            </w:r>
            <w:proofErr w:type="spellStart"/>
            <w:r w:rsidRPr="003E7532">
              <w:rPr>
                <w:rFonts w:asciiTheme="minorHAnsi" w:hAnsiTheme="minorHAnsi" w:cstheme="minorHAnsi"/>
                <w:szCs w:val="18"/>
                <w:lang w:val="en-US"/>
              </w:rPr>
              <w:t>athermic</w:t>
            </w:r>
            <w:proofErr w:type="spellEnd"/>
            <w:r w:rsidRPr="003E7532">
              <w:rPr>
                <w:rFonts w:asciiTheme="minorHAnsi" w:hAnsiTheme="minorHAnsi" w:cstheme="minorHAnsi"/>
                <w:szCs w:val="18"/>
                <w:lang w:val="en-US"/>
              </w:rPr>
              <w:t xml:space="preserve"> conditions. The associated risks cannot be </w:t>
            </w:r>
            <w:proofErr w:type="gramStart"/>
            <w:r w:rsidRPr="003E7532">
              <w:rPr>
                <w:rFonts w:asciiTheme="minorHAnsi" w:hAnsiTheme="minorHAnsi" w:cstheme="minorHAnsi"/>
                <w:szCs w:val="18"/>
                <w:lang w:val="en-US"/>
              </w:rPr>
              <w:t>similar to</w:t>
            </w:r>
            <w:proofErr w:type="gramEnd"/>
            <w:r w:rsidRPr="003E7532">
              <w:rPr>
                <w:rFonts w:asciiTheme="minorHAnsi" w:hAnsiTheme="minorHAnsi" w:cstheme="minorHAnsi"/>
                <w:szCs w:val="18"/>
                <w:lang w:val="en-US"/>
              </w:rPr>
              <w:t xml:space="preserve"> those for laser or IPL platforms.</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6B438848" w14:textId="1ECC5865" w:rsidR="00714EC2" w:rsidRPr="003E7532" w:rsidRDefault="00714EC2" w:rsidP="00714EC2">
            <w:pPr>
              <w:pStyle w:val="ISOClause"/>
              <w:rPr>
                <w:rFonts w:asciiTheme="minorHAnsi" w:hAnsiTheme="minorHAnsi" w:cstheme="minorHAnsi"/>
                <w:szCs w:val="18"/>
              </w:rPr>
            </w:pPr>
            <w:r w:rsidRPr="003E7532">
              <w:rPr>
                <w:rFonts w:asciiTheme="minorHAnsi" w:hAnsiTheme="minorHAnsi" w:cstheme="minorHAnsi"/>
                <w:szCs w:val="18"/>
                <w:lang w:val="en-US"/>
              </w:rPr>
              <w:t>Risks and classifications are excessive for the LED therapy.</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2067EB04"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18D0154A" w14:textId="4DAFC781"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The guidance document cannot amend Regulation (EU) 2022/2347 on reclassification.</w:t>
            </w:r>
          </w:p>
        </w:tc>
      </w:tr>
      <w:tr w:rsidR="00714EC2" w:rsidRPr="00AF2103" w14:paraId="7BC82447"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5EF1E0D2" w14:textId="6B856B8A"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004AD3ED" w14:textId="787B7880"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160</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51B0D355" w14:textId="77777777" w:rsidR="00714EC2" w:rsidRPr="003E7532" w:rsidRDefault="00714EC2" w:rsidP="00714EC2">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7A8527A"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5F70D814" w14:textId="33CAD1F1" w:rsidR="00714EC2" w:rsidRPr="003E7532" w:rsidRDefault="00714EC2" w:rsidP="00714EC2">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071E553B" w14:textId="06E4E5BE" w:rsidR="00714EC2" w:rsidRPr="003E7532" w:rsidRDefault="00714EC2" w:rsidP="00714EC2">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 xml:space="preserve">Are we giving the same classification to a diode laser that can cause a third degree burnt and to a LED based device that works in </w:t>
            </w:r>
            <w:proofErr w:type="spellStart"/>
            <w:r w:rsidRPr="003E7532">
              <w:rPr>
                <w:rFonts w:asciiTheme="minorHAnsi" w:hAnsiTheme="minorHAnsi" w:cstheme="minorHAnsi"/>
                <w:szCs w:val="18"/>
                <w:lang w:val="en-US"/>
              </w:rPr>
              <w:t>subthermal</w:t>
            </w:r>
            <w:proofErr w:type="spellEnd"/>
            <w:r w:rsidRPr="003E7532">
              <w:rPr>
                <w:rFonts w:asciiTheme="minorHAnsi" w:hAnsiTheme="minorHAnsi" w:cstheme="minorHAnsi"/>
                <w:szCs w:val="18"/>
                <w:lang w:val="en-US"/>
              </w:rPr>
              <w:t xml:space="preserve"> therapies? Are the risk comparable?</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31B8635E" w14:textId="164E5FAD" w:rsidR="00714EC2" w:rsidRPr="003E7532" w:rsidRDefault="00714EC2" w:rsidP="00714EC2">
            <w:pPr>
              <w:pStyle w:val="ISOClause"/>
              <w:rPr>
                <w:rFonts w:asciiTheme="minorHAnsi" w:hAnsiTheme="minorHAnsi" w:cstheme="minorHAnsi"/>
                <w:szCs w:val="18"/>
              </w:rPr>
            </w:pPr>
            <w:r w:rsidRPr="003E7532">
              <w:rPr>
                <w:rFonts w:asciiTheme="minorHAnsi" w:hAnsiTheme="minorHAnsi" w:cstheme="minorHAnsi"/>
                <w:szCs w:val="18"/>
                <w:lang w:val="en-US"/>
              </w:rPr>
              <w:t>Reconsider LED therapy classification.</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57B9256C"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09C8EA10" w14:textId="74DD7533"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The guidance document cannot amend Regulation (EU) 2022/2347 on reclassification.</w:t>
            </w:r>
          </w:p>
        </w:tc>
      </w:tr>
      <w:tr w:rsidR="00714EC2" w:rsidRPr="00AF2103" w14:paraId="08F19994"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537B271B" w14:textId="6EE624FA"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lastRenderedPageBreak/>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36981080" w14:textId="0E2589FA"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160</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2BDC23D" w14:textId="77777777" w:rsidR="00714EC2" w:rsidRPr="003E7532" w:rsidRDefault="00714EC2" w:rsidP="00714EC2">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4D1596E"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2E609E71" w14:textId="512AF8BC" w:rsidR="00714EC2" w:rsidRPr="003E7532" w:rsidRDefault="00714EC2" w:rsidP="00714EC2">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4BAB187C" w14:textId="789537FC" w:rsidR="00714EC2" w:rsidRPr="003E7532" w:rsidRDefault="00714EC2" w:rsidP="00714EC2">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How should we classify a non-ablative radiofrequency? One that does not cause skin resurfacing but skin rejuvenation due to the stimulation of collagen content in an electric-dependent manner?</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0F91A9C6" w14:textId="77777777" w:rsidR="00714EC2" w:rsidRPr="003E7532" w:rsidRDefault="00714EC2" w:rsidP="00714EC2">
            <w:pPr>
              <w:pStyle w:val="ISOChange"/>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Explain non-ablative radiofrequency-based diathermia classification.</w:t>
            </w:r>
          </w:p>
          <w:p w14:paraId="7DD7392A" w14:textId="622AC1B5" w:rsidR="00714EC2" w:rsidRPr="003E7532" w:rsidRDefault="00714EC2" w:rsidP="00714EC2">
            <w:pPr>
              <w:pStyle w:val="ISOClause"/>
              <w:rPr>
                <w:rFonts w:asciiTheme="minorHAnsi" w:hAnsiTheme="minorHAnsi" w:cstheme="minorHAnsi"/>
                <w:szCs w:val="18"/>
              </w:rPr>
            </w:pPr>
            <w:r w:rsidRPr="003E7532">
              <w:rPr>
                <w:rFonts w:asciiTheme="minorHAnsi" w:hAnsiTheme="minorHAnsi" w:cstheme="minorHAnsi"/>
                <w:szCs w:val="18"/>
                <w:lang w:val="en-US"/>
              </w:rPr>
              <w:t xml:space="preserve">Please clarify whether a </w:t>
            </w:r>
            <w:proofErr w:type="spellStart"/>
            <w:r w:rsidRPr="003E7532">
              <w:rPr>
                <w:rFonts w:asciiTheme="minorHAnsi" w:hAnsiTheme="minorHAnsi" w:cstheme="minorHAnsi"/>
                <w:szCs w:val="18"/>
                <w:lang w:val="en-US"/>
              </w:rPr>
              <w:t>non ablative</w:t>
            </w:r>
            <w:proofErr w:type="spellEnd"/>
            <w:r w:rsidRPr="003E7532">
              <w:rPr>
                <w:rFonts w:asciiTheme="minorHAnsi" w:hAnsiTheme="minorHAnsi" w:cstheme="minorHAnsi"/>
                <w:szCs w:val="18"/>
                <w:lang w:val="en-US"/>
              </w:rPr>
              <w:t xml:space="preserve"> fractional radiofrequency that produces a </w:t>
            </w:r>
            <w:proofErr w:type="spellStart"/>
            <w:r w:rsidRPr="003E7532">
              <w:rPr>
                <w:rFonts w:asciiTheme="minorHAnsi" w:hAnsiTheme="minorHAnsi" w:cstheme="minorHAnsi"/>
                <w:szCs w:val="18"/>
                <w:lang w:val="en-US"/>
              </w:rPr>
              <w:t>microburnt</w:t>
            </w:r>
            <w:proofErr w:type="spellEnd"/>
            <w:r w:rsidRPr="003E7532">
              <w:rPr>
                <w:rFonts w:asciiTheme="minorHAnsi" w:hAnsiTheme="minorHAnsi" w:cstheme="minorHAnsi"/>
                <w:szCs w:val="18"/>
                <w:lang w:val="en-US"/>
              </w:rPr>
              <w:t xml:space="preserve"> inside the dermis without affecting the epidermis has the same classification of a </w:t>
            </w:r>
            <w:proofErr w:type="gramStart"/>
            <w:r w:rsidRPr="003E7532">
              <w:rPr>
                <w:rFonts w:asciiTheme="minorHAnsi" w:hAnsiTheme="minorHAnsi" w:cstheme="minorHAnsi"/>
                <w:szCs w:val="18"/>
                <w:lang w:val="en-US"/>
              </w:rPr>
              <w:t>radiofrequency based</w:t>
            </w:r>
            <w:proofErr w:type="gramEnd"/>
            <w:r w:rsidRPr="003E7532">
              <w:rPr>
                <w:rFonts w:asciiTheme="minorHAnsi" w:hAnsiTheme="minorHAnsi" w:cstheme="minorHAnsi"/>
                <w:szCs w:val="18"/>
                <w:lang w:val="en-US"/>
              </w:rPr>
              <w:t xml:space="preserve"> diathermia working up to 40ºC performing volumetric heating.</w:t>
            </w: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1D56201C"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44B90495" w14:textId="0C1AA678"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IE"/>
              </w:rPr>
              <w:t>The guidance document provides examples of products for classification purposes. It cannot be exhaustive, but it could be revised after having gained sufficient experience.</w:t>
            </w:r>
          </w:p>
        </w:tc>
      </w:tr>
      <w:tr w:rsidR="00714EC2" w:rsidRPr="00AF2103" w14:paraId="074F59A9" w14:textId="77777777" w:rsidTr="008B36CB">
        <w:trPr>
          <w:cantSplit/>
          <w:jc w:val="center"/>
        </w:trPr>
        <w:tc>
          <w:tcPr>
            <w:tcW w:w="1067" w:type="dxa"/>
            <w:tcBorders>
              <w:top w:val="single" w:sz="6" w:space="0" w:color="auto"/>
              <w:left w:val="single" w:sz="4" w:space="0" w:color="auto"/>
              <w:bottom w:val="single" w:sz="6" w:space="0" w:color="auto"/>
              <w:right w:val="single" w:sz="6" w:space="0" w:color="auto"/>
            </w:tcBorders>
            <w:shd w:val="clear" w:color="auto" w:fill="auto"/>
            <w:vAlign w:val="center"/>
          </w:tcPr>
          <w:p w14:paraId="412C0844" w14:textId="75710A54" w:rsidR="00714EC2" w:rsidRPr="003E7532" w:rsidRDefault="00714EC2" w:rsidP="00714EC2">
            <w:pPr>
              <w:pStyle w:val="ISOMB"/>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MTE</w:t>
            </w:r>
          </w:p>
        </w:tc>
        <w:tc>
          <w:tcPr>
            <w:tcW w:w="638" w:type="dxa"/>
            <w:tcBorders>
              <w:top w:val="single" w:sz="6" w:space="0" w:color="auto"/>
              <w:left w:val="single" w:sz="6" w:space="0" w:color="auto"/>
              <w:bottom w:val="single" w:sz="6" w:space="0" w:color="auto"/>
              <w:right w:val="single" w:sz="6" w:space="0" w:color="auto"/>
            </w:tcBorders>
            <w:shd w:val="clear" w:color="auto" w:fill="auto"/>
            <w:vAlign w:val="center"/>
          </w:tcPr>
          <w:p w14:paraId="5145FB75" w14:textId="0CA63653" w:rsidR="00714EC2" w:rsidRPr="003E7532" w:rsidRDefault="00714EC2" w:rsidP="00714EC2">
            <w:pPr>
              <w:pStyle w:val="ISOClause"/>
              <w:spacing w:before="60" w:after="60" w:line="240" w:lineRule="auto"/>
              <w:rPr>
                <w:rFonts w:asciiTheme="minorHAnsi" w:hAnsiTheme="minorHAnsi" w:cstheme="minorHAnsi"/>
                <w:szCs w:val="18"/>
              </w:rPr>
            </w:pPr>
            <w:r w:rsidRPr="003E7532">
              <w:rPr>
                <w:rFonts w:asciiTheme="minorHAnsi" w:hAnsiTheme="minorHAnsi" w:cstheme="minorHAnsi"/>
                <w:szCs w:val="18"/>
                <w:lang w:val="en-US"/>
              </w:rPr>
              <w:t>167-169</w:t>
            </w:r>
          </w:p>
        </w:tc>
        <w:tc>
          <w:tcPr>
            <w:tcW w:w="1117" w:type="dxa"/>
            <w:tcBorders>
              <w:top w:val="single" w:sz="6" w:space="0" w:color="auto"/>
              <w:left w:val="single" w:sz="6" w:space="0" w:color="auto"/>
              <w:bottom w:val="single" w:sz="6" w:space="0" w:color="auto"/>
              <w:right w:val="single" w:sz="6" w:space="0" w:color="auto"/>
            </w:tcBorders>
            <w:shd w:val="clear" w:color="auto" w:fill="auto"/>
            <w:vAlign w:val="center"/>
          </w:tcPr>
          <w:p w14:paraId="04CCA0C8" w14:textId="77777777" w:rsidR="00714EC2" w:rsidRPr="003E7532" w:rsidRDefault="00714EC2" w:rsidP="00714EC2">
            <w:pPr>
              <w:pStyle w:val="ISOClause"/>
              <w:spacing w:before="60" w:after="60" w:line="240" w:lineRule="auto"/>
              <w:rPr>
                <w:rFonts w:asciiTheme="minorHAnsi" w:hAnsiTheme="minorHAnsi" w:cstheme="minorHAnsi"/>
                <w:szCs w:val="18"/>
                <w:lang w:val="en-US"/>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940D400" w14:textId="77777777" w:rsidR="00714EC2" w:rsidRPr="003E7532" w:rsidRDefault="00714EC2" w:rsidP="00714EC2">
            <w:pPr>
              <w:pStyle w:val="ISOClause"/>
              <w:rPr>
                <w:rFonts w:asciiTheme="minorHAnsi" w:hAnsiTheme="minorHAnsi" w:cstheme="minorHAnsi"/>
                <w:szCs w:val="18"/>
              </w:rPr>
            </w:pP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14:paraId="0711D873" w14:textId="5F7EC0BA" w:rsidR="00714EC2" w:rsidRPr="003E7532" w:rsidRDefault="00714EC2" w:rsidP="00714EC2">
            <w:pPr>
              <w:pStyle w:val="ISOClause"/>
              <w:rPr>
                <w:rFonts w:asciiTheme="minorHAnsi" w:hAnsiTheme="minorHAnsi" w:cstheme="minorHAnsi"/>
                <w:szCs w:val="18"/>
              </w:rPr>
            </w:pPr>
            <w:proofErr w:type="spellStart"/>
            <w:r w:rsidRPr="003E7532">
              <w:rPr>
                <w:rFonts w:asciiTheme="minorHAnsi" w:hAnsiTheme="minorHAnsi" w:cstheme="minorHAnsi"/>
                <w:szCs w:val="18"/>
                <w:lang w:val="en-US"/>
              </w:rPr>
              <w:t>te</w:t>
            </w:r>
            <w:proofErr w:type="spellEnd"/>
          </w:p>
        </w:tc>
        <w:tc>
          <w:tcPr>
            <w:tcW w:w="4092" w:type="dxa"/>
            <w:tcBorders>
              <w:top w:val="single" w:sz="6" w:space="0" w:color="auto"/>
              <w:left w:val="single" w:sz="6" w:space="0" w:color="auto"/>
              <w:bottom w:val="single" w:sz="6" w:space="0" w:color="auto"/>
              <w:right w:val="single" w:sz="6" w:space="0" w:color="auto"/>
            </w:tcBorders>
            <w:shd w:val="clear" w:color="auto" w:fill="auto"/>
            <w:vAlign w:val="center"/>
          </w:tcPr>
          <w:p w14:paraId="52A95C17" w14:textId="1CB490B7" w:rsidR="00714EC2" w:rsidRPr="003E7532" w:rsidRDefault="00714EC2" w:rsidP="00714EC2">
            <w:pPr>
              <w:pStyle w:val="ISOClause"/>
              <w:spacing w:line="240" w:lineRule="auto"/>
              <w:rPr>
                <w:rFonts w:asciiTheme="minorHAnsi" w:hAnsiTheme="minorHAnsi" w:cstheme="minorHAnsi"/>
                <w:szCs w:val="18"/>
              </w:rPr>
            </w:pPr>
            <w:r w:rsidRPr="003E7532">
              <w:rPr>
                <w:rFonts w:asciiTheme="minorHAnsi" w:hAnsiTheme="minorHAnsi" w:cstheme="minorHAnsi"/>
                <w:szCs w:val="18"/>
                <w:lang w:val="en-US"/>
              </w:rPr>
              <w:t xml:space="preserve">If “having an effect on the target tissue” is the definition of high intensity energy, then the specific risk measures should be separated into categories. For those in which there is a real risk of burns, scattering, </w:t>
            </w:r>
            <w:proofErr w:type="spellStart"/>
            <w:r w:rsidRPr="003E7532">
              <w:rPr>
                <w:rFonts w:asciiTheme="minorHAnsi" w:hAnsiTheme="minorHAnsi" w:cstheme="minorHAnsi"/>
                <w:szCs w:val="18"/>
                <w:lang w:val="en-US"/>
              </w:rPr>
              <w:t>etc</w:t>
            </w:r>
            <w:proofErr w:type="spellEnd"/>
            <w:r w:rsidRPr="003E7532">
              <w:rPr>
                <w:rFonts w:asciiTheme="minorHAnsi" w:hAnsiTheme="minorHAnsi" w:cstheme="minorHAnsi"/>
                <w:szCs w:val="18"/>
                <w:lang w:val="en-US"/>
              </w:rPr>
              <w:t xml:space="preserve">, and for those like the LED therapies in which there are no such risks, or there is no contact between the device and the skin. </w:t>
            </w:r>
          </w:p>
        </w:tc>
        <w:tc>
          <w:tcPr>
            <w:tcW w:w="4242" w:type="dxa"/>
            <w:tcBorders>
              <w:top w:val="single" w:sz="6" w:space="0" w:color="auto"/>
              <w:left w:val="single" w:sz="6" w:space="0" w:color="auto"/>
              <w:bottom w:val="single" w:sz="6" w:space="0" w:color="auto"/>
              <w:right w:val="single" w:sz="6" w:space="0" w:color="auto"/>
            </w:tcBorders>
            <w:shd w:val="clear" w:color="auto" w:fill="auto"/>
            <w:vAlign w:val="center"/>
          </w:tcPr>
          <w:p w14:paraId="463EAD8E" w14:textId="77777777" w:rsidR="00714EC2" w:rsidRPr="003E7532" w:rsidRDefault="00714EC2" w:rsidP="00714EC2">
            <w:pPr>
              <w:pStyle w:val="ISOClause"/>
              <w:rPr>
                <w:rFonts w:asciiTheme="minorHAnsi" w:hAnsiTheme="minorHAnsi" w:cstheme="minorHAnsi"/>
                <w:szCs w:val="18"/>
              </w:rPr>
            </w:pPr>
          </w:p>
        </w:tc>
        <w:tc>
          <w:tcPr>
            <w:tcW w:w="2445" w:type="dxa"/>
            <w:tcBorders>
              <w:top w:val="single" w:sz="6" w:space="0" w:color="auto"/>
              <w:left w:val="single" w:sz="6" w:space="0" w:color="auto"/>
              <w:bottom w:val="single" w:sz="6" w:space="0" w:color="auto"/>
              <w:right w:val="single" w:sz="4" w:space="0" w:color="auto"/>
            </w:tcBorders>
            <w:shd w:val="clear" w:color="auto" w:fill="auto"/>
            <w:vAlign w:val="center"/>
          </w:tcPr>
          <w:p w14:paraId="56207A98" w14:textId="77777777" w:rsidR="00714EC2" w:rsidRPr="003E7532" w:rsidRDefault="00714EC2" w:rsidP="00714EC2">
            <w:pPr>
              <w:pStyle w:val="ISOSecretObservations"/>
              <w:spacing w:before="60" w:after="60" w:line="240" w:lineRule="auto"/>
              <w:rPr>
                <w:rFonts w:asciiTheme="minorHAnsi" w:hAnsiTheme="minorHAnsi" w:cstheme="minorHAnsi"/>
                <w:szCs w:val="18"/>
                <w:lang w:val="en-US"/>
              </w:rPr>
            </w:pPr>
            <w:r w:rsidRPr="003E7532">
              <w:rPr>
                <w:rFonts w:asciiTheme="minorHAnsi" w:hAnsiTheme="minorHAnsi" w:cstheme="minorHAnsi"/>
                <w:szCs w:val="18"/>
                <w:lang w:val="en-US"/>
              </w:rPr>
              <w:t>REJECTED</w:t>
            </w:r>
          </w:p>
          <w:p w14:paraId="6D94FA33" w14:textId="370C0950" w:rsidR="00714EC2" w:rsidRPr="003E7532" w:rsidRDefault="00714EC2" w:rsidP="00714EC2">
            <w:pPr>
              <w:pStyle w:val="ISOClause"/>
              <w:rPr>
                <w:rFonts w:asciiTheme="minorHAnsi" w:hAnsiTheme="minorHAnsi" w:cstheme="minorHAnsi"/>
                <w:szCs w:val="18"/>
                <w:lang w:val="en-US"/>
              </w:rPr>
            </w:pPr>
            <w:r w:rsidRPr="003E7532">
              <w:rPr>
                <w:rFonts w:asciiTheme="minorHAnsi" w:hAnsiTheme="minorHAnsi" w:cstheme="minorHAnsi"/>
                <w:szCs w:val="18"/>
                <w:lang w:val="en-US"/>
              </w:rPr>
              <w:t>The guidance document does not cover risk management and cannot amend Regulation (EU) 2022/2346.</w:t>
            </w:r>
          </w:p>
        </w:tc>
      </w:tr>
    </w:tbl>
    <w:p w14:paraId="62FA01FE" w14:textId="77777777" w:rsidR="00A05BC3" w:rsidRPr="00AF2103" w:rsidRDefault="00A05BC3" w:rsidP="00A05BC3">
      <w:pPr>
        <w:rPr>
          <w:rFonts w:ascii="Segoe UI" w:hAnsi="Segoe UI" w:cs="Segoe UI"/>
        </w:rPr>
      </w:pPr>
    </w:p>
    <w:sectPr w:rsidR="00A05BC3" w:rsidRPr="00AF2103" w:rsidSect="002E5B02">
      <w:headerReference w:type="even" r:id="rId9"/>
      <w:headerReference w:type="default" r:id="rId10"/>
      <w:footerReference w:type="even" r:id="rId11"/>
      <w:footerReference w:type="default" r:id="rId12"/>
      <w:headerReference w:type="first" r:id="rId13"/>
      <w:footerReference w:type="first" r:id="rId14"/>
      <w:type w:val="continuous"/>
      <w:pgSz w:w="16838" w:h="11906" w:orient="landscape"/>
      <w:pgMar w:top="850" w:right="567" w:bottom="850" w:left="567" w:header="567"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CEDBA" w14:textId="77777777" w:rsidR="00ED1836" w:rsidRDefault="00ED1836" w:rsidP="00F6054D">
      <w:pPr>
        <w:spacing w:after="0" w:line="240" w:lineRule="auto"/>
      </w:pPr>
      <w:r>
        <w:separator/>
      </w:r>
    </w:p>
  </w:endnote>
  <w:endnote w:type="continuationSeparator" w:id="0">
    <w:p w14:paraId="08B75A4B" w14:textId="77777777" w:rsidR="00ED1836" w:rsidRDefault="00ED1836" w:rsidP="00F60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EUAlbertina">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E6FE" w14:textId="77777777" w:rsidR="00107ECD" w:rsidRDefault="00107E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9ABD2" w14:textId="77777777" w:rsidR="00F6054D" w:rsidRDefault="00F6054D" w:rsidP="00F6054D">
    <w:pPr>
      <w:pStyle w:val="Footer"/>
      <w:tabs>
        <w:tab w:val="clear" w:pos="4536"/>
        <w:tab w:val="clear" w:pos="9072"/>
        <w:tab w:val="left" w:pos="300"/>
        <w:tab w:val="left" w:pos="2100"/>
        <w:tab w:val="left" w:pos="3300"/>
        <w:tab w:val="left" w:pos="4500"/>
      </w:tabs>
      <w:rPr>
        <w:rFonts w:cs="Arial"/>
        <w:sz w:val="16"/>
      </w:rPr>
    </w:pPr>
    <w:r>
      <w:rPr>
        <w:rFonts w:cs="Arial"/>
        <w:sz w:val="16"/>
      </w:rPr>
      <w:t>1</w:t>
    </w:r>
    <w:r>
      <w:rPr>
        <w:rFonts w:cs="Arial"/>
        <w:sz w:val="16"/>
      </w:rPr>
      <w:tab/>
    </w:r>
    <w:r w:rsidR="00BE5990">
      <w:rPr>
        <w:rFonts w:cs="Arial"/>
        <w:b/>
        <w:sz w:val="16"/>
      </w:rPr>
      <w:t>NCA</w:t>
    </w:r>
    <w:r w:rsidR="00BE5990">
      <w:rPr>
        <w:rFonts w:cs="Arial"/>
        <w:sz w:val="16"/>
      </w:rPr>
      <w:t xml:space="preserve"> = National Competent Authority</w:t>
    </w:r>
  </w:p>
  <w:p w14:paraId="36916165" w14:textId="77777777" w:rsidR="00F6054D" w:rsidRDefault="00F6054D" w:rsidP="00F6054D">
    <w:pPr>
      <w:pStyle w:val="Footer"/>
      <w:tabs>
        <w:tab w:val="clear" w:pos="4536"/>
        <w:tab w:val="clear" w:pos="9072"/>
        <w:tab w:val="left" w:pos="300"/>
        <w:tab w:val="left" w:pos="2100"/>
        <w:tab w:val="left" w:pos="3300"/>
        <w:tab w:val="left" w:pos="4500"/>
      </w:tabs>
      <w:rPr>
        <w:rFonts w:cs="Arial"/>
        <w:sz w:val="16"/>
      </w:rPr>
    </w:pPr>
    <w:r>
      <w:rPr>
        <w:rFonts w:cs="Arial"/>
        <w:sz w:val="16"/>
      </w:rPr>
      <w:t>2</w:t>
    </w:r>
    <w:r>
      <w:rPr>
        <w:rFonts w:cs="Arial"/>
        <w:sz w:val="16"/>
      </w:rPr>
      <w:tab/>
    </w:r>
    <w:r>
      <w:rPr>
        <w:rFonts w:cs="Arial"/>
        <w:b/>
        <w:sz w:val="16"/>
      </w:rPr>
      <w:t>Type of comment:</w:t>
    </w:r>
    <w:r>
      <w:rPr>
        <w:rFonts w:cs="Arial"/>
        <w:b/>
        <w:sz w:val="16"/>
      </w:rPr>
      <w:tab/>
    </w:r>
    <w:proofErr w:type="spellStart"/>
    <w:r>
      <w:rPr>
        <w:rFonts w:cs="Arial"/>
        <w:b/>
        <w:sz w:val="16"/>
      </w:rPr>
      <w:t>ge</w:t>
    </w:r>
    <w:proofErr w:type="spellEnd"/>
    <w:r>
      <w:rPr>
        <w:rFonts w:cs="Arial"/>
        <w:sz w:val="16"/>
      </w:rPr>
      <w:t xml:space="preserve"> = general</w:t>
    </w:r>
    <w:r>
      <w:rPr>
        <w:rFonts w:cs="Arial"/>
        <w:sz w:val="16"/>
      </w:rPr>
      <w:tab/>
    </w:r>
    <w:proofErr w:type="spellStart"/>
    <w:proofErr w:type="gramStart"/>
    <w:r>
      <w:rPr>
        <w:rFonts w:cs="Arial"/>
        <w:b/>
        <w:sz w:val="16"/>
      </w:rPr>
      <w:t>te</w:t>
    </w:r>
    <w:proofErr w:type="spellEnd"/>
    <w:r>
      <w:rPr>
        <w:rFonts w:cs="Arial"/>
        <w:b/>
        <w:sz w:val="16"/>
      </w:rPr>
      <w:t xml:space="preserve"> </w:t>
    </w:r>
    <w:r>
      <w:rPr>
        <w:rFonts w:cs="Arial"/>
        <w:sz w:val="16"/>
      </w:rPr>
      <w:t xml:space="preserve"> =</w:t>
    </w:r>
    <w:proofErr w:type="gramEnd"/>
    <w:r>
      <w:rPr>
        <w:rFonts w:cs="Arial"/>
        <w:sz w:val="16"/>
      </w:rPr>
      <w:t xml:space="preserve"> technical</w:t>
    </w:r>
    <w:r>
      <w:rPr>
        <w:rFonts w:cs="Arial"/>
        <w:sz w:val="16"/>
      </w:rPr>
      <w:tab/>
    </w:r>
    <w:r>
      <w:rPr>
        <w:rFonts w:cs="Arial"/>
        <w:b/>
        <w:sz w:val="16"/>
      </w:rPr>
      <w:t>ed</w:t>
    </w:r>
    <w:r>
      <w:rPr>
        <w:rFonts w:cs="Arial"/>
        <w:sz w:val="16"/>
      </w:rPr>
      <w:t xml:space="preserve"> = editorial</w:t>
    </w:r>
  </w:p>
  <w:p w14:paraId="02522BD3" w14:textId="77777777" w:rsidR="00BE5990" w:rsidRDefault="00BE5990" w:rsidP="00F6054D">
    <w:pPr>
      <w:pStyle w:val="Footer"/>
      <w:tabs>
        <w:tab w:val="clear" w:pos="4536"/>
        <w:tab w:val="clear" w:pos="9072"/>
        <w:tab w:val="left" w:pos="300"/>
        <w:tab w:val="left" w:pos="2100"/>
        <w:tab w:val="left" w:pos="3300"/>
        <w:tab w:val="left" w:pos="4500"/>
      </w:tabs>
      <w:rPr>
        <w:rFonts w:cs="Arial"/>
        <w:sz w:val="16"/>
      </w:rPr>
    </w:pPr>
    <w:r>
      <w:rPr>
        <w:rFonts w:cs="Arial"/>
        <w:sz w:val="16"/>
      </w:rPr>
      <w:t>3</w:t>
    </w:r>
    <w:r>
      <w:rPr>
        <w:rFonts w:cs="Arial"/>
        <w:sz w:val="16"/>
      </w:rPr>
      <w:tab/>
    </w:r>
    <w:r w:rsidRPr="00BE5990">
      <w:rPr>
        <w:rFonts w:cs="Arial"/>
        <w:b/>
        <w:sz w:val="16"/>
      </w:rPr>
      <w:t>Subgroup comment</w:t>
    </w:r>
    <w:r>
      <w:rPr>
        <w:rFonts w:cs="Arial"/>
        <w:sz w:val="16"/>
      </w:rPr>
      <w:t xml:space="preserve">: </w:t>
    </w:r>
    <w:r>
      <w:rPr>
        <w:rFonts w:cs="Arial"/>
        <w:sz w:val="16"/>
      </w:rPr>
      <w:tab/>
    </w:r>
    <w:proofErr w:type="gramStart"/>
    <w:r>
      <w:rPr>
        <w:rFonts w:cs="Arial"/>
        <w:sz w:val="16"/>
      </w:rPr>
      <w:t>i.e.</w:t>
    </w:r>
    <w:proofErr w:type="gramEnd"/>
    <w:r>
      <w:rPr>
        <w:rFonts w:cs="Arial"/>
        <w:sz w:val="16"/>
      </w:rPr>
      <w:t xml:space="preserve"> ACCEPT / REJECT / PARTIALLY ACCEPT. Subgroup to provide rationale where </w:t>
    </w:r>
    <w:proofErr w:type="gramStart"/>
    <w:r>
      <w:rPr>
        <w:rFonts w:cs="Arial"/>
        <w:sz w:val="16"/>
      </w:rPr>
      <w:t>possible</w:t>
    </w:r>
    <w:proofErr w:type="gramEnd"/>
  </w:p>
  <w:p w14:paraId="2567DFBF" w14:textId="77777777" w:rsidR="00F6054D" w:rsidRPr="00F6054D" w:rsidRDefault="00F6054D" w:rsidP="00F6054D">
    <w:pPr>
      <w:pStyle w:val="Footer"/>
      <w:tabs>
        <w:tab w:val="clear" w:pos="4536"/>
        <w:tab w:val="clear" w:pos="9072"/>
        <w:tab w:val="left" w:pos="300"/>
        <w:tab w:val="left" w:pos="2100"/>
        <w:tab w:val="left" w:pos="3300"/>
        <w:tab w:val="left" w:pos="4500"/>
      </w:tabs>
      <w:jc w:val="right"/>
      <w:rPr>
        <w:rFonts w:cs="Arial"/>
        <w:sz w:val="16"/>
      </w:rPr>
    </w:pPr>
    <w:r>
      <w:rPr>
        <w:rFonts w:cs="Arial"/>
        <w:sz w:val="16"/>
      </w:rPr>
      <w:t xml:space="preserve">Page </w:t>
    </w:r>
    <w:r>
      <w:rPr>
        <w:rFonts w:cs="Arial"/>
        <w:sz w:val="16"/>
      </w:rPr>
      <w:fldChar w:fldCharType="begin"/>
    </w:r>
    <w:r>
      <w:rPr>
        <w:rFonts w:cs="Arial"/>
        <w:sz w:val="16"/>
      </w:rPr>
      <w:instrText xml:space="preserve"> PAGE  \* MERGEFORMAT </w:instrText>
    </w:r>
    <w:r>
      <w:rPr>
        <w:rFonts w:cs="Arial"/>
        <w:sz w:val="16"/>
      </w:rPr>
      <w:fldChar w:fldCharType="separate"/>
    </w:r>
    <w:r w:rsidR="00107ECD">
      <w:rPr>
        <w:rFonts w:cs="Arial"/>
        <w:noProof/>
        <w:sz w:val="16"/>
      </w:rPr>
      <w:t>1</w:t>
    </w:r>
    <w:r>
      <w:rPr>
        <w:rFonts w:cs="Arial"/>
        <w:sz w:val="16"/>
      </w:rPr>
      <w:fldChar w:fldCharType="end"/>
    </w:r>
    <w:r>
      <w:rPr>
        <w:rFonts w:cs="Arial"/>
        <w:sz w:val="16"/>
      </w:rPr>
      <w:t xml:space="preserve"> of </w:t>
    </w:r>
    <w:r>
      <w:rPr>
        <w:rFonts w:cs="Arial"/>
        <w:sz w:val="16"/>
      </w:rPr>
      <w:fldChar w:fldCharType="begin"/>
    </w:r>
    <w:r>
      <w:rPr>
        <w:rFonts w:cs="Arial"/>
        <w:sz w:val="16"/>
      </w:rPr>
      <w:instrText xml:space="preserve"> NUMPAGES  \* MERGEFORMAT </w:instrText>
    </w:r>
    <w:r>
      <w:rPr>
        <w:rFonts w:cs="Arial"/>
        <w:sz w:val="16"/>
      </w:rPr>
      <w:fldChar w:fldCharType="separate"/>
    </w:r>
    <w:r w:rsidR="00107ECD">
      <w:rPr>
        <w:rFonts w:cs="Arial"/>
        <w:noProof/>
        <w:sz w:val="16"/>
      </w:rPr>
      <w:t>1</w:t>
    </w:r>
    <w:r>
      <w:rPr>
        <w:rFonts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24078" w14:textId="77777777" w:rsidR="00107ECD" w:rsidRDefault="00107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605AB" w14:textId="77777777" w:rsidR="00ED1836" w:rsidRDefault="00ED1836" w:rsidP="00F6054D">
      <w:pPr>
        <w:spacing w:after="0" w:line="240" w:lineRule="auto"/>
      </w:pPr>
      <w:r>
        <w:separator/>
      </w:r>
    </w:p>
  </w:footnote>
  <w:footnote w:type="continuationSeparator" w:id="0">
    <w:p w14:paraId="08775E3C" w14:textId="77777777" w:rsidR="00ED1836" w:rsidRDefault="00ED1836" w:rsidP="00F60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D576D" w14:textId="77777777" w:rsidR="00107ECD" w:rsidRDefault="00107E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783" w:type="dxa"/>
      <w:tblLayout w:type="fixed"/>
      <w:tblCellMar>
        <w:left w:w="48" w:type="dxa"/>
        <w:right w:w="48" w:type="dxa"/>
      </w:tblCellMar>
      <w:tblLook w:val="0000" w:firstRow="0" w:lastRow="0" w:firstColumn="0" w:lastColumn="0" w:noHBand="0" w:noVBand="0"/>
    </w:tblPr>
    <w:tblGrid>
      <w:gridCol w:w="7136"/>
      <w:gridCol w:w="1984"/>
      <w:gridCol w:w="2835"/>
      <w:gridCol w:w="3828"/>
    </w:tblGrid>
    <w:tr w:rsidR="00F6054D" w:rsidRPr="002E5B02" w14:paraId="7C1A6365" w14:textId="77777777" w:rsidTr="002E5B02">
      <w:trPr>
        <w:trHeight w:val="340"/>
      </w:trPr>
      <w:tc>
        <w:tcPr>
          <w:tcW w:w="7136" w:type="dxa"/>
          <w:tcBorders>
            <w:right w:val="single" w:sz="4" w:space="0" w:color="auto"/>
          </w:tcBorders>
          <w:shd w:val="clear" w:color="auto" w:fill="auto"/>
          <w:vAlign w:val="center"/>
        </w:tcPr>
        <w:p w14:paraId="201D460B" w14:textId="77777777" w:rsidR="00F6054D" w:rsidRPr="002E5B02" w:rsidRDefault="00F6054D" w:rsidP="00BE5990">
          <w:pPr>
            <w:pStyle w:val="Header"/>
            <w:rPr>
              <w:rFonts w:cs="Arial"/>
              <w:b/>
            </w:rPr>
          </w:pPr>
          <w:r w:rsidRPr="002E5B02">
            <w:rPr>
              <w:rFonts w:cs="Arial"/>
              <w:b/>
            </w:rPr>
            <w:t xml:space="preserve">Template for comments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14E8E4" w14:textId="54A8068F" w:rsidR="00F6054D" w:rsidRPr="002E5B02" w:rsidRDefault="00F6054D" w:rsidP="00A60A0F">
          <w:pPr>
            <w:pStyle w:val="Header"/>
            <w:rPr>
              <w:rFonts w:cs="Arial"/>
              <w:sz w:val="16"/>
            </w:rPr>
          </w:pPr>
          <w:r w:rsidRPr="002E5B02">
            <w:rPr>
              <w:rFonts w:cs="Arial"/>
              <w:sz w:val="16"/>
            </w:rPr>
            <w:t>D</w:t>
          </w:r>
          <w:r w:rsidR="00BE5990" w:rsidRPr="002E5B02">
            <w:rPr>
              <w:rFonts w:cs="Arial"/>
              <w:sz w:val="16"/>
            </w:rPr>
            <w:t>ate:</w:t>
          </w:r>
          <w:r w:rsidR="007F1FB5" w:rsidRPr="002E5B02">
            <w:rPr>
              <w:rFonts w:cs="Arial"/>
              <w:sz w:val="16"/>
            </w:rPr>
            <w:t xml:space="preserve"> </w:t>
          </w:r>
          <w:r w:rsidR="00075F02">
            <w:rPr>
              <w:rFonts w:cs="Arial"/>
              <w:sz w:val="16"/>
            </w:rPr>
            <w:t>17</w:t>
          </w:r>
          <w:r w:rsidR="00BC1F08" w:rsidRPr="002E5B02">
            <w:rPr>
              <w:rFonts w:cs="Arial"/>
              <w:sz w:val="16"/>
            </w:rPr>
            <w:t xml:space="preserve"> </w:t>
          </w:r>
          <w:r w:rsidR="00075F02">
            <w:rPr>
              <w:rFonts w:cs="Arial"/>
              <w:sz w:val="16"/>
            </w:rPr>
            <w:t>October</w:t>
          </w:r>
          <w:r w:rsidR="00BC1F08" w:rsidRPr="002E5B02">
            <w:rPr>
              <w:rFonts w:cs="Arial"/>
              <w:sz w:val="16"/>
            </w:rPr>
            <w:t xml:space="preserve"> 202</w:t>
          </w:r>
          <w:r w:rsidR="00A60A0F">
            <w:rPr>
              <w:rFonts w:cs="Arial"/>
              <w:sz w:val="16"/>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3744F4" w14:textId="0F312A80" w:rsidR="00F6054D" w:rsidRPr="00B338AC" w:rsidRDefault="00F6054D" w:rsidP="00A60A0F">
          <w:pPr>
            <w:pStyle w:val="Header"/>
            <w:rPr>
              <w:rFonts w:cs="Arial"/>
              <w:sz w:val="16"/>
              <w:lang w:val="fr-BE"/>
            </w:rPr>
          </w:pPr>
          <w:proofErr w:type="gramStart"/>
          <w:r w:rsidRPr="00B338AC">
            <w:rPr>
              <w:rFonts w:cs="Arial"/>
              <w:sz w:val="16"/>
              <w:lang w:val="fr-BE"/>
            </w:rPr>
            <w:t>Document:</w:t>
          </w:r>
          <w:proofErr w:type="gramEnd"/>
          <w:r w:rsidRPr="00B338AC">
            <w:rPr>
              <w:rFonts w:cs="Arial"/>
              <w:sz w:val="16"/>
              <w:lang w:val="fr-BE"/>
            </w:rPr>
            <w:t xml:space="preserve"> </w:t>
          </w:r>
          <w:r w:rsidR="00A60A0F" w:rsidRPr="00B338AC">
            <w:rPr>
              <w:rFonts w:cs="Arial"/>
              <w:sz w:val="16"/>
              <w:lang w:val="fr-BE"/>
            </w:rPr>
            <w:t xml:space="preserve">draft </w:t>
          </w:r>
          <w:r w:rsidR="00075F02" w:rsidRPr="00B338AC">
            <w:rPr>
              <w:rFonts w:cs="Arial"/>
              <w:sz w:val="16"/>
              <w:lang w:val="fr-BE"/>
            </w:rPr>
            <w:t xml:space="preserve">guidance document on </w:t>
          </w:r>
          <w:r w:rsidR="00B338AC">
            <w:rPr>
              <w:rFonts w:cs="Arial"/>
              <w:sz w:val="16"/>
              <w:lang w:val="fr-BE"/>
            </w:rPr>
            <w:t xml:space="preserve">qualification and classification of </w:t>
          </w:r>
          <w:r w:rsidR="000C48B8" w:rsidRPr="00B338AC">
            <w:rPr>
              <w:rFonts w:cs="Arial"/>
              <w:sz w:val="16"/>
              <w:lang w:val="fr-BE"/>
            </w:rPr>
            <w:t xml:space="preserve">Annex XVI </w:t>
          </w:r>
          <w:proofErr w:type="spellStart"/>
          <w:r w:rsidR="000C48B8" w:rsidRPr="00B338AC">
            <w:rPr>
              <w:rFonts w:cs="Arial"/>
              <w:sz w:val="16"/>
              <w:lang w:val="fr-BE"/>
            </w:rPr>
            <w:t>produc</w:t>
          </w:r>
          <w:r w:rsidR="00782475" w:rsidRPr="00B338AC">
            <w:rPr>
              <w:rFonts w:cs="Arial"/>
              <w:sz w:val="16"/>
              <w:lang w:val="fr-BE"/>
            </w:rPr>
            <w:t>t</w:t>
          </w:r>
          <w:r w:rsidR="000C48B8" w:rsidRPr="00B338AC">
            <w:rPr>
              <w:rFonts w:cs="Arial"/>
              <w:sz w:val="16"/>
              <w:lang w:val="fr-BE"/>
            </w:rPr>
            <w:t>s</w:t>
          </w:r>
          <w:proofErr w:type="spellEnd"/>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A5CFB1E" w14:textId="77777777" w:rsidR="00F6054D" w:rsidRPr="002E5B02" w:rsidRDefault="002E5B02" w:rsidP="002E5B02">
          <w:pPr>
            <w:pStyle w:val="Header"/>
            <w:rPr>
              <w:rFonts w:cs="Arial"/>
              <w:sz w:val="16"/>
            </w:rPr>
          </w:pPr>
          <w:r>
            <w:rPr>
              <w:rFonts w:cs="Arial"/>
              <w:sz w:val="16"/>
            </w:rPr>
            <w:t>C</w:t>
          </w:r>
          <w:r w:rsidR="00434948" w:rsidRPr="002E5B02">
            <w:rPr>
              <w:rFonts w:cs="Arial"/>
              <w:sz w:val="16"/>
            </w:rPr>
            <w:t xml:space="preserve">onsultation of </w:t>
          </w:r>
          <w:r w:rsidRPr="002E5B02">
            <w:rPr>
              <w:rFonts w:cs="Arial"/>
              <w:sz w:val="16"/>
            </w:rPr>
            <w:t>Annex XVI</w:t>
          </w:r>
          <w:r w:rsidR="007F1FB5" w:rsidRPr="002E5B02">
            <w:rPr>
              <w:rFonts w:cs="Arial"/>
              <w:sz w:val="16"/>
            </w:rPr>
            <w:t xml:space="preserve"> </w:t>
          </w:r>
          <w:r>
            <w:rPr>
              <w:rFonts w:cs="Arial"/>
              <w:sz w:val="16"/>
            </w:rPr>
            <w:t xml:space="preserve">Subgroup </w:t>
          </w:r>
          <w:r w:rsidRPr="002E5B02">
            <w:rPr>
              <w:rFonts w:cs="Arial"/>
              <w:sz w:val="16"/>
            </w:rPr>
            <w:t xml:space="preserve">(NCAs + </w:t>
          </w:r>
          <w:proofErr w:type="spellStart"/>
          <w:r w:rsidRPr="002E5B02">
            <w:rPr>
              <w:rFonts w:cs="Arial"/>
              <w:sz w:val="16"/>
            </w:rPr>
            <w:t>S</w:t>
          </w:r>
          <w:r w:rsidR="00BC1F08" w:rsidRPr="002E5B02">
            <w:rPr>
              <w:rFonts w:cs="Arial"/>
              <w:sz w:val="16"/>
            </w:rPr>
            <w:t>tks</w:t>
          </w:r>
          <w:proofErr w:type="spellEnd"/>
          <w:r w:rsidRPr="002E5B02">
            <w:rPr>
              <w:rFonts w:cs="Arial"/>
              <w:sz w:val="16"/>
            </w:rPr>
            <w:t>)</w:t>
          </w:r>
        </w:p>
      </w:tc>
    </w:tr>
  </w:tbl>
  <w:p w14:paraId="1B640E0F" w14:textId="77777777" w:rsidR="00F6054D" w:rsidRPr="002E5B02" w:rsidRDefault="00F6054D">
    <w:pPr>
      <w:pStyle w:val="Header"/>
      <w:rPr>
        <w:rFonts w:cs="Arial"/>
        <w:sz w:val="18"/>
      </w:rPr>
    </w:pPr>
  </w:p>
  <w:tbl>
    <w:tblPr>
      <w:tblW w:w="15805"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8" w:type="dxa"/>
        <w:right w:w="48" w:type="dxa"/>
      </w:tblCellMar>
      <w:tblLook w:val="0000" w:firstRow="0" w:lastRow="0" w:firstColumn="0" w:lastColumn="0" w:noHBand="0" w:noVBand="0"/>
    </w:tblPr>
    <w:tblGrid>
      <w:gridCol w:w="1063"/>
      <w:gridCol w:w="708"/>
      <w:gridCol w:w="1134"/>
      <w:gridCol w:w="1134"/>
      <w:gridCol w:w="940"/>
      <w:gridCol w:w="4110"/>
      <w:gridCol w:w="4253"/>
      <w:gridCol w:w="2463"/>
    </w:tblGrid>
    <w:tr w:rsidR="00F6054D" w:rsidRPr="002E5B02" w14:paraId="4210E715" w14:textId="77777777" w:rsidTr="002E5B02">
      <w:trPr>
        <w:trHeight w:val="283"/>
      </w:trPr>
      <w:tc>
        <w:tcPr>
          <w:tcW w:w="1063" w:type="dxa"/>
          <w:shd w:val="clear" w:color="auto" w:fill="auto"/>
          <w:vAlign w:val="center"/>
        </w:tcPr>
        <w:p w14:paraId="687C0C5F" w14:textId="77777777" w:rsidR="00F6054D" w:rsidRPr="002E5B02" w:rsidRDefault="00BE5990" w:rsidP="002E5B02">
          <w:pPr>
            <w:pStyle w:val="Header"/>
            <w:spacing w:before="60" w:after="60" w:line="240" w:lineRule="exact"/>
            <w:jc w:val="center"/>
            <w:rPr>
              <w:rFonts w:cs="Arial"/>
              <w:b/>
              <w:sz w:val="16"/>
            </w:rPr>
          </w:pPr>
          <w:r w:rsidRPr="002E5B02">
            <w:rPr>
              <w:rFonts w:cs="Arial"/>
              <w:b/>
              <w:sz w:val="16"/>
            </w:rPr>
            <w:t>NCA / Stakeholder</w:t>
          </w:r>
          <w:r w:rsidR="00F6054D" w:rsidRPr="002E5B02">
            <w:rPr>
              <w:rFonts w:cs="Arial"/>
              <w:b/>
              <w:sz w:val="14"/>
              <w:vertAlign w:val="superscript"/>
            </w:rPr>
            <w:t>1</w:t>
          </w:r>
        </w:p>
      </w:tc>
      <w:tc>
        <w:tcPr>
          <w:tcW w:w="708" w:type="dxa"/>
          <w:shd w:val="clear" w:color="auto" w:fill="auto"/>
          <w:vAlign w:val="center"/>
        </w:tcPr>
        <w:p w14:paraId="79F377D1"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Line number</w:t>
          </w:r>
        </w:p>
      </w:tc>
      <w:tc>
        <w:tcPr>
          <w:tcW w:w="1134" w:type="dxa"/>
          <w:shd w:val="clear" w:color="auto" w:fill="auto"/>
          <w:vAlign w:val="center"/>
        </w:tcPr>
        <w:p w14:paraId="0C488EEE"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Clause/</w:t>
          </w:r>
          <w:r w:rsidRPr="002E5B02">
            <w:rPr>
              <w:rFonts w:cs="Arial"/>
              <w:b/>
              <w:sz w:val="16"/>
            </w:rPr>
            <w:br/>
            <w:t>Subclause</w:t>
          </w:r>
        </w:p>
      </w:tc>
      <w:tc>
        <w:tcPr>
          <w:tcW w:w="1134" w:type="dxa"/>
          <w:shd w:val="clear" w:color="auto" w:fill="auto"/>
          <w:vAlign w:val="center"/>
        </w:tcPr>
        <w:p w14:paraId="569FF9A1"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Paragraph/</w:t>
          </w:r>
          <w:r w:rsidRPr="002E5B02">
            <w:rPr>
              <w:rFonts w:cs="Arial"/>
              <w:b/>
              <w:sz w:val="16"/>
            </w:rPr>
            <w:br/>
            <w:t>Figure/Table</w:t>
          </w:r>
        </w:p>
      </w:tc>
      <w:tc>
        <w:tcPr>
          <w:tcW w:w="940" w:type="dxa"/>
          <w:shd w:val="clear" w:color="auto" w:fill="auto"/>
          <w:vAlign w:val="center"/>
        </w:tcPr>
        <w:p w14:paraId="52388608" w14:textId="77777777" w:rsidR="00F6054D" w:rsidRPr="002E5B02" w:rsidRDefault="00F6054D" w:rsidP="002E5B02">
          <w:pPr>
            <w:pStyle w:val="Header"/>
            <w:spacing w:before="60" w:after="60" w:line="240" w:lineRule="exact"/>
            <w:jc w:val="center"/>
            <w:rPr>
              <w:rFonts w:cs="Arial"/>
              <w:b/>
              <w:sz w:val="16"/>
              <w:vertAlign w:val="superscript"/>
            </w:rPr>
          </w:pPr>
          <w:r w:rsidRPr="002E5B02">
            <w:rPr>
              <w:rFonts w:cs="Arial"/>
              <w:b/>
              <w:sz w:val="16"/>
            </w:rPr>
            <w:t>Type of comment</w:t>
          </w:r>
          <w:r w:rsidRPr="002E5B02">
            <w:rPr>
              <w:rFonts w:cs="Arial"/>
              <w:b/>
              <w:sz w:val="16"/>
              <w:vertAlign w:val="superscript"/>
            </w:rPr>
            <w:t>2</w:t>
          </w:r>
        </w:p>
      </w:tc>
      <w:tc>
        <w:tcPr>
          <w:tcW w:w="4110" w:type="dxa"/>
          <w:shd w:val="clear" w:color="auto" w:fill="auto"/>
          <w:vAlign w:val="center"/>
        </w:tcPr>
        <w:p w14:paraId="5D7AB400"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Comments</w:t>
          </w:r>
        </w:p>
      </w:tc>
      <w:tc>
        <w:tcPr>
          <w:tcW w:w="4253" w:type="dxa"/>
          <w:shd w:val="clear" w:color="auto" w:fill="auto"/>
          <w:vAlign w:val="center"/>
        </w:tcPr>
        <w:p w14:paraId="47584EB3"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Proposed change</w:t>
          </w:r>
        </w:p>
      </w:tc>
      <w:tc>
        <w:tcPr>
          <w:tcW w:w="2463" w:type="dxa"/>
          <w:shd w:val="clear" w:color="auto" w:fill="auto"/>
          <w:vAlign w:val="center"/>
        </w:tcPr>
        <w:p w14:paraId="21CFF5AE" w14:textId="77777777" w:rsidR="00F6054D" w:rsidRPr="002E5B02" w:rsidRDefault="00BE5990" w:rsidP="002E5B02">
          <w:pPr>
            <w:pStyle w:val="Header"/>
            <w:spacing w:before="60" w:after="60" w:line="240" w:lineRule="exact"/>
            <w:jc w:val="center"/>
            <w:rPr>
              <w:rFonts w:cs="Arial"/>
              <w:b/>
              <w:sz w:val="16"/>
            </w:rPr>
          </w:pPr>
          <w:r w:rsidRPr="002E5B02">
            <w:rPr>
              <w:rFonts w:cs="Arial"/>
              <w:b/>
              <w:sz w:val="16"/>
            </w:rPr>
            <w:t>Subgroup comment</w:t>
          </w:r>
          <w:r w:rsidRPr="002E5B02">
            <w:rPr>
              <w:rFonts w:cs="Arial"/>
              <w:b/>
              <w:sz w:val="16"/>
              <w:vertAlign w:val="superscript"/>
            </w:rPr>
            <w:t>3</w:t>
          </w:r>
        </w:p>
      </w:tc>
    </w:tr>
  </w:tbl>
  <w:p w14:paraId="1D7DE66D" w14:textId="77777777" w:rsidR="00F6054D" w:rsidRPr="00AF2103" w:rsidRDefault="00F6054D">
    <w:pPr>
      <w:pStyle w:val="Header"/>
      <w:rPr>
        <w:rFonts w:ascii="Segoe UI" w:hAnsi="Segoe UI" w:cs="Segoe UI"/>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55D28" w14:textId="77777777" w:rsidR="00107ECD" w:rsidRDefault="00107E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04434"/>
    <w:multiLevelType w:val="hybridMultilevel"/>
    <w:tmpl w:val="D076E5E6"/>
    <w:lvl w:ilvl="0" w:tplc="05E6AAF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1150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F6054D"/>
    <w:rsid w:val="000011B0"/>
    <w:rsid w:val="00005377"/>
    <w:rsid w:val="00051422"/>
    <w:rsid w:val="00060E38"/>
    <w:rsid w:val="00075F02"/>
    <w:rsid w:val="000841B0"/>
    <w:rsid w:val="00092B60"/>
    <w:rsid w:val="00092F23"/>
    <w:rsid w:val="000A636C"/>
    <w:rsid w:val="000B0803"/>
    <w:rsid w:val="000C3005"/>
    <w:rsid w:val="000C48B8"/>
    <w:rsid w:val="000E7A26"/>
    <w:rsid w:val="000F53BF"/>
    <w:rsid w:val="000F588E"/>
    <w:rsid w:val="00107ECD"/>
    <w:rsid w:val="0011581F"/>
    <w:rsid w:val="00123735"/>
    <w:rsid w:val="00125401"/>
    <w:rsid w:val="00130889"/>
    <w:rsid w:val="001366E0"/>
    <w:rsid w:val="001554C4"/>
    <w:rsid w:val="00165810"/>
    <w:rsid w:val="0017425D"/>
    <w:rsid w:val="00177BB9"/>
    <w:rsid w:val="001A117C"/>
    <w:rsid w:val="001C5698"/>
    <w:rsid w:val="001C6F53"/>
    <w:rsid w:val="001D5CC3"/>
    <w:rsid w:val="001E7A52"/>
    <w:rsid w:val="001F7E27"/>
    <w:rsid w:val="00207C60"/>
    <w:rsid w:val="0021763A"/>
    <w:rsid w:val="00233ED2"/>
    <w:rsid w:val="00256F80"/>
    <w:rsid w:val="002717B2"/>
    <w:rsid w:val="00273735"/>
    <w:rsid w:val="002963DD"/>
    <w:rsid w:val="002B3E77"/>
    <w:rsid w:val="002C403C"/>
    <w:rsid w:val="002D6CCC"/>
    <w:rsid w:val="002E16B8"/>
    <w:rsid w:val="002E28E5"/>
    <w:rsid w:val="002E5B02"/>
    <w:rsid w:val="002F77CD"/>
    <w:rsid w:val="00323B50"/>
    <w:rsid w:val="003454DD"/>
    <w:rsid w:val="00346F8C"/>
    <w:rsid w:val="00360105"/>
    <w:rsid w:val="00360753"/>
    <w:rsid w:val="00363906"/>
    <w:rsid w:val="0036544D"/>
    <w:rsid w:val="003704BD"/>
    <w:rsid w:val="00372C68"/>
    <w:rsid w:val="003757F1"/>
    <w:rsid w:val="00394AB6"/>
    <w:rsid w:val="00397DE2"/>
    <w:rsid w:val="003A16DD"/>
    <w:rsid w:val="003C5301"/>
    <w:rsid w:val="003C72C4"/>
    <w:rsid w:val="003E74D3"/>
    <w:rsid w:val="003E7532"/>
    <w:rsid w:val="00402E8C"/>
    <w:rsid w:val="00412D61"/>
    <w:rsid w:val="0041307D"/>
    <w:rsid w:val="00422258"/>
    <w:rsid w:val="00422DA7"/>
    <w:rsid w:val="00434948"/>
    <w:rsid w:val="004415A4"/>
    <w:rsid w:val="004747FB"/>
    <w:rsid w:val="00486F4D"/>
    <w:rsid w:val="004B05FC"/>
    <w:rsid w:val="004B6C89"/>
    <w:rsid w:val="004B7B94"/>
    <w:rsid w:val="004D7AD3"/>
    <w:rsid w:val="00502B93"/>
    <w:rsid w:val="00502EC7"/>
    <w:rsid w:val="00531BF2"/>
    <w:rsid w:val="00540D39"/>
    <w:rsid w:val="00560329"/>
    <w:rsid w:val="00564C7B"/>
    <w:rsid w:val="00566543"/>
    <w:rsid w:val="005729E8"/>
    <w:rsid w:val="00574A5C"/>
    <w:rsid w:val="00593B59"/>
    <w:rsid w:val="005B05B6"/>
    <w:rsid w:val="005D7AD5"/>
    <w:rsid w:val="005E56FA"/>
    <w:rsid w:val="005F225B"/>
    <w:rsid w:val="005F6844"/>
    <w:rsid w:val="006005A6"/>
    <w:rsid w:val="00602ED3"/>
    <w:rsid w:val="00626071"/>
    <w:rsid w:val="006305EB"/>
    <w:rsid w:val="00632B66"/>
    <w:rsid w:val="0064230C"/>
    <w:rsid w:val="006510DC"/>
    <w:rsid w:val="00676C6B"/>
    <w:rsid w:val="0068196C"/>
    <w:rsid w:val="00697CF9"/>
    <w:rsid w:val="006A015A"/>
    <w:rsid w:val="006B2D30"/>
    <w:rsid w:val="006C4838"/>
    <w:rsid w:val="006D2ED3"/>
    <w:rsid w:val="006E07DD"/>
    <w:rsid w:val="006E7021"/>
    <w:rsid w:val="006F250E"/>
    <w:rsid w:val="006F4B4A"/>
    <w:rsid w:val="006F4E3E"/>
    <w:rsid w:val="007019FD"/>
    <w:rsid w:val="0070259C"/>
    <w:rsid w:val="00704154"/>
    <w:rsid w:val="00704AD7"/>
    <w:rsid w:val="007123C6"/>
    <w:rsid w:val="00714EC2"/>
    <w:rsid w:val="0072490B"/>
    <w:rsid w:val="00736F86"/>
    <w:rsid w:val="00741E4B"/>
    <w:rsid w:val="00752B79"/>
    <w:rsid w:val="00755A93"/>
    <w:rsid w:val="0076372C"/>
    <w:rsid w:val="0077089D"/>
    <w:rsid w:val="00782475"/>
    <w:rsid w:val="00793CCC"/>
    <w:rsid w:val="00795E84"/>
    <w:rsid w:val="007C259E"/>
    <w:rsid w:val="007D074A"/>
    <w:rsid w:val="007D2EDD"/>
    <w:rsid w:val="007E6EFF"/>
    <w:rsid w:val="007F061F"/>
    <w:rsid w:val="007F1FB5"/>
    <w:rsid w:val="007F31A6"/>
    <w:rsid w:val="00800E43"/>
    <w:rsid w:val="00802E99"/>
    <w:rsid w:val="00864271"/>
    <w:rsid w:val="008723EA"/>
    <w:rsid w:val="008754C8"/>
    <w:rsid w:val="00876313"/>
    <w:rsid w:val="008A6109"/>
    <w:rsid w:val="008B36CB"/>
    <w:rsid w:val="008B411D"/>
    <w:rsid w:val="008C0D0E"/>
    <w:rsid w:val="008C2D20"/>
    <w:rsid w:val="008C3814"/>
    <w:rsid w:val="008D356C"/>
    <w:rsid w:val="008D6062"/>
    <w:rsid w:val="008E2FD2"/>
    <w:rsid w:val="008E42A6"/>
    <w:rsid w:val="008F3AB5"/>
    <w:rsid w:val="008F5F28"/>
    <w:rsid w:val="008F61BD"/>
    <w:rsid w:val="0090404F"/>
    <w:rsid w:val="00932A2A"/>
    <w:rsid w:val="00932C7C"/>
    <w:rsid w:val="00941B48"/>
    <w:rsid w:val="00957707"/>
    <w:rsid w:val="009642FC"/>
    <w:rsid w:val="00967869"/>
    <w:rsid w:val="009B090C"/>
    <w:rsid w:val="009B547B"/>
    <w:rsid w:val="009B6684"/>
    <w:rsid w:val="009C1A56"/>
    <w:rsid w:val="009C4B72"/>
    <w:rsid w:val="009C50DF"/>
    <w:rsid w:val="009C51ED"/>
    <w:rsid w:val="009D32B2"/>
    <w:rsid w:val="009E228A"/>
    <w:rsid w:val="009E5AAF"/>
    <w:rsid w:val="009F5A1F"/>
    <w:rsid w:val="00A05BC3"/>
    <w:rsid w:val="00A06484"/>
    <w:rsid w:val="00A1434F"/>
    <w:rsid w:val="00A33373"/>
    <w:rsid w:val="00A367A0"/>
    <w:rsid w:val="00A417F3"/>
    <w:rsid w:val="00A60A0F"/>
    <w:rsid w:val="00A82529"/>
    <w:rsid w:val="00A8544D"/>
    <w:rsid w:val="00A92DAB"/>
    <w:rsid w:val="00AA262F"/>
    <w:rsid w:val="00AA2B76"/>
    <w:rsid w:val="00AB21C0"/>
    <w:rsid w:val="00AB3D9F"/>
    <w:rsid w:val="00AC69AB"/>
    <w:rsid w:val="00AD1443"/>
    <w:rsid w:val="00AE1924"/>
    <w:rsid w:val="00AE29D1"/>
    <w:rsid w:val="00AE3A36"/>
    <w:rsid w:val="00AE6CEF"/>
    <w:rsid w:val="00AF2103"/>
    <w:rsid w:val="00B010C7"/>
    <w:rsid w:val="00B05DC2"/>
    <w:rsid w:val="00B2158C"/>
    <w:rsid w:val="00B2168D"/>
    <w:rsid w:val="00B266F1"/>
    <w:rsid w:val="00B338AC"/>
    <w:rsid w:val="00B60B47"/>
    <w:rsid w:val="00B67F37"/>
    <w:rsid w:val="00B72E01"/>
    <w:rsid w:val="00B73C44"/>
    <w:rsid w:val="00B8218A"/>
    <w:rsid w:val="00B837AC"/>
    <w:rsid w:val="00B87076"/>
    <w:rsid w:val="00B94779"/>
    <w:rsid w:val="00BA10A8"/>
    <w:rsid w:val="00BA4636"/>
    <w:rsid w:val="00BB19F8"/>
    <w:rsid w:val="00BB35C6"/>
    <w:rsid w:val="00BB5155"/>
    <w:rsid w:val="00BC1F08"/>
    <w:rsid w:val="00BC4321"/>
    <w:rsid w:val="00BD20BD"/>
    <w:rsid w:val="00BE5990"/>
    <w:rsid w:val="00C20E9D"/>
    <w:rsid w:val="00C237B3"/>
    <w:rsid w:val="00C57BC4"/>
    <w:rsid w:val="00C63205"/>
    <w:rsid w:val="00C71224"/>
    <w:rsid w:val="00C73A08"/>
    <w:rsid w:val="00C74A22"/>
    <w:rsid w:val="00C77914"/>
    <w:rsid w:val="00C87A49"/>
    <w:rsid w:val="00C93A40"/>
    <w:rsid w:val="00CA1696"/>
    <w:rsid w:val="00CC4B17"/>
    <w:rsid w:val="00CD748D"/>
    <w:rsid w:val="00CF49CB"/>
    <w:rsid w:val="00D15B67"/>
    <w:rsid w:val="00D43AB4"/>
    <w:rsid w:val="00D44864"/>
    <w:rsid w:val="00D44BF6"/>
    <w:rsid w:val="00D53AEA"/>
    <w:rsid w:val="00D53D66"/>
    <w:rsid w:val="00D630C5"/>
    <w:rsid w:val="00D839FF"/>
    <w:rsid w:val="00D925A6"/>
    <w:rsid w:val="00DA5A02"/>
    <w:rsid w:val="00DB1855"/>
    <w:rsid w:val="00DE269A"/>
    <w:rsid w:val="00E00BC8"/>
    <w:rsid w:val="00E02C73"/>
    <w:rsid w:val="00E068B3"/>
    <w:rsid w:val="00E150A6"/>
    <w:rsid w:val="00E21DED"/>
    <w:rsid w:val="00E32350"/>
    <w:rsid w:val="00E33D2F"/>
    <w:rsid w:val="00E377A8"/>
    <w:rsid w:val="00E535C1"/>
    <w:rsid w:val="00E933F3"/>
    <w:rsid w:val="00EA2C51"/>
    <w:rsid w:val="00EB3D9B"/>
    <w:rsid w:val="00EB5D8E"/>
    <w:rsid w:val="00EC145A"/>
    <w:rsid w:val="00ED1836"/>
    <w:rsid w:val="00EF0D8D"/>
    <w:rsid w:val="00EF46F7"/>
    <w:rsid w:val="00EF56A6"/>
    <w:rsid w:val="00F0465A"/>
    <w:rsid w:val="00F14470"/>
    <w:rsid w:val="00F36DA7"/>
    <w:rsid w:val="00F40828"/>
    <w:rsid w:val="00F470F1"/>
    <w:rsid w:val="00F47E5E"/>
    <w:rsid w:val="00F52DEE"/>
    <w:rsid w:val="00F52EDD"/>
    <w:rsid w:val="00F54AF3"/>
    <w:rsid w:val="00F6054D"/>
    <w:rsid w:val="00F651C4"/>
    <w:rsid w:val="00F7271A"/>
    <w:rsid w:val="00F9582B"/>
    <w:rsid w:val="00FA01B8"/>
    <w:rsid w:val="00FA34FE"/>
    <w:rsid w:val="00FB09BA"/>
    <w:rsid w:val="00FB4873"/>
    <w:rsid w:val="00FD57E4"/>
    <w:rsid w:val="00FD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1087081"/>
  <w15:docId w15:val="{442C0A7D-3861-46FF-B24A-9D9ACEA66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B02"/>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054D"/>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054D"/>
  </w:style>
  <w:style w:type="paragraph" w:styleId="Footer">
    <w:name w:val="footer"/>
    <w:basedOn w:val="Normal"/>
    <w:link w:val="FooterChar"/>
    <w:uiPriority w:val="99"/>
    <w:unhideWhenUsed/>
    <w:rsid w:val="00F6054D"/>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054D"/>
  </w:style>
  <w:style w:type="paragraph" w:customStyle="1" w:styleId="ISOMB">
    <w:name w:val="ISO_MB"/>
    <w:basedOn w:val="Normal"/>
    <w:rsid w:val="00F6054D"/>
    <w:pPr>
      <w:spacing w:before="210" w:after="0" w:line="210" w:lineRule="exact"/>
    </w:pPr>
    <w:rPr>
      <w:rFonts w:eastAsia="Times New Roman" w:cs="Times New Roman"/>
      <w:sz w:val="18"/>
      <w:szCs w:val="20"/>
      <w:lang w:val="en-GB"/>
    </w:rPr>
  </w:style>
  <w:style w:type="paragraph" w:customStyle="1" w:styleId="ISOClause">
    <w:name w:val="ISO_Clause"/>
    <w:basedOn w:val="Normal"/>
    <w:rsid w:val="00F6054D"/>
    <w:pPr>
      <w:spacing w:before="210" w:after="0" w:line="210" w:lineRule="exact"/>
    </w:pPr>
    <w:rPr>
      <w:rFonts w:eastAsia="Times New Roman" w:cs="Times New Roman"/>
      <w:sz w:val="18"/>
      <w:szCs w:val="20"/>
      <w:lang w:val="en-GB"/>
    </w:rPr>
  </w:style>
  <w:style w:type="paragraph" w:customStyle="1" w:styleId="ISOParagraph">
    <w:name w:val="ISO_Paragraph"/>
    <w:basedOn w:val="Normal"/>
    <w:rsid w:val="00F6054D"/>
    <w:pPr>
      <w:spacing w:before="210" w:after="0" w:line="210" w:lineRule="exact"/>
    </w:pPr>
    <w:rPr>
      <w:rFonts w:eastAsia="Times New Roman" w:cs="Times New Roman"/>
      <w:sz w:val="18"/>
      <w:szCs w:val="20"/>
      <w:lang w:val="en-GB"/>
    </w:rPr>
  </w:style>
  <w:style w:type="paragraph" w:customStyle="1" w:styleId="ISOCommType">
    <w:name w:val="ISO_Comm_Type"/>
    <w:basedOn w:val="Normal"/>
    <w:rsid w:val="00F6054D"/>
    <w:pPr>
      <w:spacing w:before="210" w:after="0" w:line="210" w:lineRule="exact"/>
    </w:pPr>
    <w:rPr>
      <w:rFonts w:eastAsia="Times New Roman" w:cs="Times New Roman"/>
      <w:sz w:val="18"/>
      <w:szCs w:val="20"/>
      <w:lang w:val="en-GB"/>
    </w:rPr>
  </w:style>
  <w:style w:type="paragraph" w:customStyle="1" w:styleId="ISOComments">
    <w:name w:val="ISO_Comments"/>
    <w:basedOn w:val="Normal"/>
    <w:rsid w:val="00F6054D"/>
    <w:pPr>
      <w:spacing w:before="210" w:after="0" w:line="210" w:lineRule="exact"/>
    </w:pPr>
    <w:rPr>
      <w:rFonts w:eastAsia="Times New Roman" w:cs="Times New Roman"/>
      <w:sz w:val="18"/>
      <w:szCs w:val="20"/>
      <w:lang w:val="en-GB"/>
    </w:rPr>
  </w:style>
  <w:style w:type="paragraph" w:customStyle="1" w:styleId="ISOChange">
    <w:name w:val="ISO_Change"/>
    <w:basedOn w:val="Normal"/>
    <w:rsid w:val="00F6054D"/>
    <w:pPr>
      <w:spacing w:before="210" w:after="0" w:line="210" w:lineRule="exact"/>
    </w:pPr>
    <w:rPr>
      <w:rFonts w:eastAsia="Times New Roman" w:cs="Times New Roman"/>
      <w:sz w:val="18"/>
      <w:szCs w:val="20"/>
      <w:lang w:val="en-GB"/>
    </w:rPr>
  </w:style>
  <w:style w:type="paragraph" w:customStyle="1" w:styleId="ISOSecretObservations">
    <w:name w:val="ISO_Secret_Observations"/>
    <w:basedOn w:val="Normal"/>
    <w:rsid w:val="00F6054D"/>
    <w:pPr>
      <w:spacing w:before="210" w:after="0" w:line="210" w:lineRule="exact"/>
    </w:pPr>
    <w:rPr>
      <w:rFonts w:eastAsia="Times New Roman" w:cs="Times New Roman"/>
      <w:sz w:val="18"/>
      <w:szCs w:val="20"/>
      <w:lang w:val="en-GB"/>
    </w:rPr>
  </w:style>
  <w:style w:type="character" w:styleId="CommentReference">
    <w:name w:val="annotation reference"/>
    <w:uiPriority w:val="99"/>
    <w:semiHidden/>
    <w:unhideWhenUsed/>
    <w:rsid w:val="00F6054D"/>
    <w:rPr>
      <w:sz w:val="16"/>
      <w:szCs w:val="16"/>
    </w:rPr>
  </w:style>
  <w:style w:type="table" w:customStyle="1" w:styleId="PlainTable11">
    <w:name w:val="Plain Table 11"/>
    <w:basedOn w:val="TableNormal"/>
    <w:uiPriority w:val="41"/>
    <w:rsid w:val="00F605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F6054D"/>
    <w:pPr>
      <w:spacing w:after="120" w:line="240" w:lineRule="atLeast"/>
      <w:jc w:val="both"/>
    </w:pPr>
    <w:rPr>
      <w:rFonts w:ascii="Cambria" w:eastAsia="Calibri" w:hAnsi="Cambria" w:cs="Times New Roman"/>
      <w:lang w:val="en-GB"/>
    </w:rPr>
  </w:style>
  <w:style w:type="character" w:customStyle="1" w:styleId="BodyTextChar">
    <w:name w:val="Body Text Char"/>
    <w:basedOn w:val="DefaultParagraphFont"/>
    <w:link w:val="BodyText"/>
    <w:uiPriority w:val="99"/>
    <w:semiHidden/>
    <w:rsid w:val="00F6054D"/>
    <w:rPr>
      <w:rFonts w:ascii="Cambria" w:eastAsia="Calibri" w:hAnsi="Cambria" w:cs="Times New Roman"/>
      <w:lang w:val="en-GB"/>
    </w:rPr>
  </w:style>
  <w:style w:type="paragraph" w:customStyle="1" w:styleId="Tablebody">
    <w:name w:val="Table body"/>
    <w:basedOn w:val="Normal"/>
    <w:link w:val="TablebodyChar"/>
    <w:rsid w:val="00F6054D"/>
    <w:pPr>
      <w:spacing w:before="60" w:after="60" w:line="210" w:lineRule="atLeast"/>
    </w:pPr>
    <w:rPr>
      <w:rFonts w:ascii="Cambria" w:eastAsia="Calibri" w:hAnsi="Cambria" w:cs="Times New Roman"/>
      <w:sz w:val="20"/>
      <w:lang w:val="en-GB"/>
    </w:rPr>
  </w:style>
  <w:style w:type="character" w:customStyle="1" w:styleId="TablebodyChar">
    <w:name w:val="Table body Char"/>
    <w:link w:val="Tablebody"/>
    <w:locked/>
    <w:rsid w:val="00F6054D"/>
    <w:rPr>
      <w:rFonts w:ascii="Cambria" w:eastAsia="Calibri" w:hAnsi="Cambria" w:cs="Times New Roman"/>
      <w:sz w:val="20"/>
      <w:lang w:val="en-GB"/>
    </w:rPr>
  </w:style>
  <w:style w:type="character" w:styleId="Hyperlink">
    <w:name w:val="Hyperlink"/>
    <w:uiPriority w:val="99"/>
    <w:rsid w:val="00F6054D"/>
    <w:rPr>
      <w:color w:val="0000FF"/>
      <w:u w:val="single"/>
    </w:rPr>
  </w:style>
  <w:style w:type="character" w:customStyle="1" w:styleId="ui-provider">
    <w:name w:val="ui-provider"/>
    <w:basedOn w:val="DefaultParagraphFont"/>
    <w:rsid w:val="009642FC"/>
  </w:style>
  <w:style w:type="paragraph" w:styleId="ListParagraph">
    <w:name w:val="List Paragraph"/>
    <w:basedOn w:val="Normal"/>
    <w:uiPriority w:val="34"/>
    <w:qFormat/>
    <w:rsid w:val="00AA262F"/>
    <w:pPr>
      <w:ind w:left="720"/>
      <w:contextualSpacing/>
    </w:pPr>
  </w:style>
  <w:style w:type="table" w:styleId="TableGrid">
    <w:name w:val="Table Grid"/>
    <w:basedOn w:val="TableNormal"/>
    <w:uiPriority w:val="59"/>
    <w:rsid w:val="00F0465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A05BC3"/>
    <w:pPr>
      <w:spacing w:line="240" w:lineRule="auto"/>
      <w:jc w:val="both"/>
    </w:pPr>
    <w:rPr>
      <w:rFonts w:asciiTheme="minorHAnsi" w:hAnsiTheme="minorHAnsi"/>
      <w:sz w:val="20"/>
      <w:szCs w:val="20"/>
      <w:lang w:val="en-GB"/>
    </w:rPr>
  </w:style>
  <w:style w:type="character" w:customStyle="1" w:styleId="CommentTextChar">
    <w:name w:val="Comment Text Char"/>
    <w:basedOn w:val="DefaultParagraphFont"/>
    <w:link w:val="CommentText"/>
    <w:uiPriority w:val="99"/>
    <w:semiHidden/>
    <w:rsid w:val="00A05BC3"/>
    <w:rPr>
      <w:sz w:val="20"/>
      <w:szCs w:val="20"/>
      <w:lang w:val="en-GB"/>
    </w:rPr>
  </w:style>
  <w:style w:type="character" w:styleId="UnresolvedMention">
    <w:name w:val="Unresolved Mention"/>
    <w:basedOn w:val="DefaultParagraphFont"/>
    <w:uiPriority w:val="99"/>
    <w:semiHidden/>
    <w:unhideWhenUsed/>
    <w:rsid w:val="00A05BC3"/>
    <w:rPr>
      <w:color w:val="605E5C"/>
      <w:shd w:val="clear" w:color="auto" w:fill="E1DFDD"/>
    </w:rPr>
  </w:style>
  <w:style w:type="paragraph" w:customStyle="1" w:styleId="Default">
    <w:name w:val="Default"/>
    <w:basedOn w:val="Normal"/>
    <w:rsid w:val="00A05BC3"/>
    <w:pPr>
      <w:autoSpaceDE w:val="0"/>
      <w:autoSpaceDN w:val="0"/>
      <w:spacing w:after="0" w:line="240" w:lineRule="auto"/>
    </w:pPr>
    <w:rPr>
      <w:rFonts w:ascii="EUAlbertina" w:hAnsi="EUAlbertina" w:cs="Calibri"/>
      <w:color w:val="000000"/>
      <w:sz w:val="24"/>
      <w:szCs w:val="24"/>
    </w:rPr>
  </w:style>
  <w:style w:type="paragraph" w:customStyle="1" w:styleId="CM1">
    <w:name w:val="CM1"/>
    <w:basedOn w:val="Normal"/>
    <w:uiPriority w:val="99"/>
    <w:rsid w:val="00A05BC3"/>
    <w:pPr>
      <w:autoSpaceDE w:val="0"/>
      <w:autoSpaceDN w:val="0"/>
      <w:spacing w:after="0" w:line="240" w:lineRule="auto"/>
    </w:pPr>
    <w:rPr>
      <w:rFonts w:ascii="Times New Roman" w:hAnsi="Times New Roman" w:cs="Times New Roman"/>
      <w:sz w:val="24"/>
      <w:szCs w:val="24"/>
    </w:rPr>
  </w:style>
  <w:style w:type="character" w:customStyle="1" w:styleId="cf01">
    <w:name w:val="cf01"/>
    <w:basedOn w:val="DefaultParagraphFont"/>
    <w:rsid w:val="00714EC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falipo.com/what-is-rfal.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C5455-504D-408E-9CA0-CA414412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2286</Words>
  <Characters>11777</Characters>
  <Application>Microsoft Office Word</Application>
  <DocSecurity>0</DocSecurity>
  <Lines>588</Lines>
  <Paragraphs>246</Paragraphs>
  <ScaleCrop>false</ScaleCrop>
  <HeadingPairs>
    <vt:vector size="2" baseType="variant">
      <vt:variant>
        <vt:lpstr>Title</vt:lpstr>
      </vt:variant>
      <vt:variant>
        <vt:i4>1</vt:i4>
      </vt:variant>
    </vt:vector>
  </HeadingPairs>
  <TitlesOfParts>
    <vt:vector size="1" baseType="lpstr">
      <vt:lpstr/>
    </vt:vector>
  </TitlesOfParts>
  <Company>ISO Central Secretariat</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LLIAdmin</dc:creator>
  <cp:keywords/>
  <dc:description/>
  <cp:lastModifiedBy>CALLIGARO Gabriele (SANTE)</cp:lastModifiedBy>
  <cp:revision>5</cp:revision>
  <dcterms:created xsi:type="dcterms:W3CDTF">2023-11-08T10:00:00Z</dcterms:created>
  <dcterms:modified xsi:type="dcterms:W3CDTF">2023-11-08T10:51:00Z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2023-06-22T07:11:25Z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d161c654-821a-4d16-ae3b-09de00e510b6</vt:lpwstr>
  </property>
  <property fmtid="{D5CDD505-2E9C-101B-9397-08002B2CF9AE}" pid="8" name="MSIP_Label_6bd9ddd1-4d20-43f6-abfa-fc3c07406f94_ContentBits">
    <vt:lpwstr>0</vt:lpwstr>
  </property>
</Properties>
</file>