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791A8" w14:textId="77777777" w:rsidR="00642D72" w:rsidRDefault="00CB48C9" w:rsidP="00642D72">
      <w:bookmarkStart w:id="0" w:name="_GoBack"/>
      <w:bookmarkEnd w:id="0"/>
      <w:r w:rsidRPr="00642D72">
        <w:rPr>
          <w:noProof/>
          <w:lang w:eastAsia="de-DE"/>
        </w:rPr>
        <w:drawing>
          <wp:anchor distT="0" distB="0" distL="114300" distR="114300" simplePos="0" relativeHeight="251659264" behindDoc="0" locked="0" layoutInCell="1" allowOverlap="1" wp14:anchorId="740F7D32" wp14:editId="1142DF94">
            <wp:simplePos x="0" y="0"/>
            <wp:positionH relativeFrom="margin">
              <wp:posOffset>4900930</wp:posOffset>
            </wp:positionH>
            <wp:positionV relativeFrom="margin">
              <wp:posOffset>-285750</wp:posOffset>
            </wp:positionV>
            <wp:extent cx="917365" cy="1385570"/>
            <wp:effectExtent l="0" t="0" r="0" b="5080"/>
            <wp:wrapSquare wrapText="bothSides"/>
            <wp:docPr id="2" name="Grafik 2" descr="C:\Users\vahnert\AppData\Local\Microsoft\Windows\INetCache\Content.Outlook\3TQZOHNM\Blaue H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ahnert\AppData\Local\Microsoft\Windows\INetCache\Content.Outlook\3TQZOHNM\Blaue Ha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7365" cy="1385570"/>
                    </a:xfrm>
                    <a:prstGeom prst="rect">
                      <a:avLst/>
                    </a:prstGeom>
                    <a:noFill/>
                    <a:ln>
                      <a:noFill/>
                    </a:ln>
                  </pic:spPr>
                </pic:pic>
              </a:graphicData>
            </a:graphic>
          </wp:anchor>
        </w:drawing>
      </w:r>
    </w:p>
    <w:p w14:paraId="59FB9346" w14:textId="77777777" w:rsidR="00642D72" w:rsidRDefault="00642D72" w:rsidP="00642D72"/>
    <w:p w14:paraId="234DDBF1" w14:textId="77777777" w:rsidR="00CB48C9" w:rsidRDefault="00CB48C9" w:rsidP="00642D72"/>
    <w:p w14:paraId="7CFB7B86" w14:textId="77777777" w:rsidR="00CB48C9" w:rsidRDefault="00CB48C9" w:rsidP="00642D72"/>
    <w:p w14:paraId="56BEAEC0" w14:textId="77777777" w:rsidR="00CB48C9" w:rsidRDefault="00CB48C9" w:rsidP="00642D72"/>
    <w:p w14:paraId="6C42EB51" w14:textId="77777777" w:rsidR="00CB48C9" w:rsidRDefault="00CB48C9" w:rsidP="00CB48C9">
      <w:pPr>
        <w:pBdr>
          <w:top w:val="single" w:sz="4" w:space="0" w:color="auto"/>
          <w:left w:val="single" w:sz="4" w:space="4" w:color="auto"/>
          <w:bottom w:val="single" w:sz="4" w:space="1" w:color="auto"/>
          <w:right w:val="single" w:sz="4" w:space="0" w:color="auto"/>
        </w:pBdr>
        <w:ind w:right="-566"/>
      </w:pPr>
      <w:r>
        <w:t xml:space="preserve">Dieser Leitfaden wurde als verpflichtender Teil der Zulassung erstellt und mit dem Bundesinstitut für Arzneimittel und Medizinprodukte abgestimmt. Dieser wurde als zusätzliche risikominimierende Maßnahme beauflagt, um sicherzustellen, dass Angehörige der Heilberufe, die </w:t>
      </w:r>
      <w:proofErr w:type="spellStart"/>
      <w:r>
        <w:t>Testosteronundecanoat</w:t>
      </w:r>
      <w:proofErr w:type="spellEnd"/>
      <w:r>
        <w:t xml:space="preserve"> </w:t>
      </w:r>
      <w:r w:rsidRPr="00CC6D80">
        <w:t xml:space="preserve">1000 mg Injektionslösung </w:t>
      </w:r>
      <w:r>
        <w:t>verschreiben und zur Anwendung bringen, die besonderen Sicherheitsanforderungen kennen und berücksichtigen.</w:t>
      </w:r>
    </w:p>
    <w:p w14:paraId="5E4A6E05" w14:textId="77777777" w:rsidR="00642D72" w:rsidRDefault="00642D72" w:rsidP="00642D72">
      <w:pPr>
        <w:ind w:right="-2692"/>
        <w:rPr>
          <w:b/>
          <w:sz w:val="44"/>
          <w:szCs w:val="44"/>
        </w:rPr>
      </w:pPr>
    </w:p>
    <w:p w14:paraId="686BAFB9" w14:textId="77777777" w:rsidR="00642D72" w:rsidRPr="00642D72" w:rsidRDefault="00642D72" w:rsidP="00642D72">
      <w:pPr>
        <w:ind w:right="-2692"/>
        <w:rPr>
          <w:b/>
          <w:sz w:val="44"/>
          <w:szCs w:val="44"/>
        </w:rPr>
      </w:pPr>
      <w:r w:rsidRPr="00642D72">
        <w:rPr>
          <w:b/>
          <w:sz w:val="44"/>
          <w:szCs w:val="44"/>
        </w:rPr>
        <w:t>Leitfaden zur Verringerung von Arzneimittel- und Anwendungsrisiken – Angehörige der Heilberufe</w:t>
      </w:r>
    </w:p>
    <w:p w14:paraId="06413A5B" w14:textId="77777777" w:rsidR="00642D72" w:rsidRDefault="00642D72" w:rsidP="00CC6D80"/>
    <w:p w14:paraId="0F6868FD" w14:textId="77777777" w:rsidR="00642D72" w:rsidRPr="00513910" w:rsidRDefault="00642D72" w:rsidP="00642D72">
      <w:pPr>
        <w:ind w:right="-2692"/>
        <w:rPr>
          <w:sz w:val="32"/>
          <w:szCs w:val="32"/>
        </w:rPr>
      </w:pPr>
      <w:r w:rsidRPr="00513910">
        <w:rPr>
          <w:sz w:val="32"/>
          <w:szCs w:val="32"/>
        </w:rPr>
        <w:t>B</w:t>
      </w:r>
      <w:r w:rsidR="00CC6D80" w:rsidRPr="00513910">
        <w:rPr>
          <w:sz w:val="32"/>
          <w:szCs w:val="32"/>
        </w:rPr>
        <w:t xml:space="preserve">itte beachten Sie auch die Fachinformation zu </w:t>
      </w:r>
      <w:bookmarkStart w:id="1" w:name="_Hlk118377045"/>
      <w:r w:rsidR="009D2BDA" w:rsidRPr="00513910">
        <w:rPr>
          <w:sz w:val="32"/>
          <w:szCs w:val="32"/>
          <w:highlight w:val="yellow"/>
        </w:rPr>
        <w:t>&lt;Handelsname®&gt;</w:t>
      </w:r>
    </w:p>
    <w:p w14:paraId="339060AB" w14:textId="77777777" w:rsidR="00642D72" w:rsidRDefault="00642D72">
      <w:r>
        <w:br w:type="page"/>
      </w:r>
    </w:p>
    <w:p w14:paraId="44D940C9" w14:textId="77777777" w:rsidR="00642D72" w:rsidRPr="00642D72" w:rsidRDefault="00642D72" w:rsidP="001F0840">
      <w:pPr>
        <w:tabs>
          <w:tab w:val="left" w:pos="6237"/>
        </w:tabs>
        <w:ind w:right="-2409"/>
        <w:contextualSpacing/>
        <w:rPr>
          <w:b/>
        </w:rPr>
      </w:pPr>
      <w:r w:rsidRPr="001F0840">
        <w:rPr>
          <w:b/>
        </w:rPr>
        <w:lastRenderedPageBreak/>
        <w:t xml:space="preserve">Indikation von </w:t>
      </w:r>
      <w:proofErr w:type="spellStart"/>
      <w:r w:rsidRPr="00642D72">
        <w:rPr>
          <w:b/>
        </w:rPr>
        <w:t>Testosteronundecanoat</w:t>
      </w:r>
      <w:proofErr w:type="spellEnd"/>
    </w:p>
    <w:p w14:paraId="5D972F7E" w14:textId="77777777" w:rsidR="001740DA" w:rsidRDefault="001740DA" w:rsidP="001F0840">
      <w:pPr>
        <w:tabs>
          <w:tab w:val="left" w:pos="6237"/>
        </w:tabs>
        <w:ind w:right="-2409"/>
        <w:contextualSpacing/>
      </w:pPr>
    </w:p>
    <w:p w14:paraId="0C05D1C3" w14:textId="77777777" w:rsidR="001F0840" w:rsidRDefault="00642D72" w:rsidP="001F0840">
      <w:pPr>
        <w:tabs>
          <w:tab w:val="left" w:pos="6237"/>
        </w:tabs>
        <w:ind w:right="-2409"/>
        <w:contextualSpacing/>
      </w:pPr>
      <w:proofErr w:type="spellStart"/>
      <w:r w:rsidRPr="00642D72">
        <w:t>Testosteronundecanoat</w:t>
      </w:r>
      <w:proofErr w:type="spellEnd"/>
      <w:r w:rsidRPr="00642D72">
        <w:t xml:space="preserve"> ist ein langwirkendes Testosteronpräparat zur </w:t>
      </w:r>
      <w:r>
        <w:t>T</w:t>
      </w:r>
      <w:r w:rsidRPr="00642D72">
        <w:t>estosteronersatztherapie</w:t>
      </w:r>
    </w:p>
    <w:p w14:paraId="564CE946" w14:textId="77777777" w:rsidR="001F0840" w:rsidRDefault="00EF0635" w:rsidP="001F0840">
      <w:pPr>
        <w:tabs>
          <w:tab w:val="left" w:pos="6237"/>
        </w:tabs>
        <w:ind w:right="-2409"/>
        <w:contextualSpacing/>
      </w:pPr>
      <w:r>
        <w:t>b</w:t>
      </w:r>
      <w:r w:rsidR="00642D72" w:rsidRPr="00642D72">
        <w:t>ei</w:t>
      </w:r>
      <w:r w:rsidR="001F0840">
        <w:t xml:space="preserve"> </w:t>
      </w:r>
      <w:r w:rsidR="00642D72" w:rsidRPr="00642D72">
        <w:t xml:space="preserve">männlichem </w:t>
      </w:r>
      <w:proofErr w:type="spellStart"/>
      <w:r w:rsidR="00642D72" w:rsidRPr="00642D72">
        <w:t>Hypogonadismus</w:t>
      </w:r>
      <w:proofErr w:type="spellEnd"/>
      <w:r w:rsidR="00642D72" w:rsidRPr="00642D72">
        <w:t xml:space="preserve">, wenn </w:t>
      </w:r>
      <w:r w:rsidR="001F0840">
        <w:t>d</w:t>
      </w:r>
      <w:r w:rsidR="00642D72" w:rsidRPr="00642D72">
        <w:t>er Testosteronmangel klinisch und labormedizinisch</w:t>
      </w:r>
    </w:p>
    <w:p w14:paraId="5F9E0E8D" w14:textId="77777777" w:rsidR="00642D72" w:rsidRPr="00642D72" w:rsidRDefault="00642D72" w:rsidP="001F0840">
      <w:pPr>
        <w:tabs>
          <w:tab w:val="left" w:pos="6237"/>
        </w:tabs>
        <w:ind w:right="-2409"/>
        <w:contextualSpacing/>
      </w:pPr>
      <w:r w:rsidRPr="00642D72">
        <w:t xml:space="preserve">bestätigt wurde. </w:t>
      </w:r>
    </w:p>
    <w:p w14:paraId="4DA1152F" w14:textId="77777777" w:rsidR="00642D72" w:rsidRPr="001F0840" w:rsidRDefault="00642D72" w:rsidP="001F0840">
      <w:pPr>
        <w:contextualSpacing/>
        <w:rPr>
          <w:b/>
        </w:rPr>
      </w:pPr>
      <w:r w:rsidRPr="001F0840">
        <w:rPr>
          <w:b/>
        </w:rPr>
        <w:t>Beachten Sie die Kontraindikationen und die besonderen</w:t>
      </w:r>
      <w:r w:rsidR="001F0840" w:rsidRPr="001F0840">
        <w:rPr>
          <w:b/>
        </w:rPr>
        <w:t xml:space="preserve"> </w:t>
      </w:r>
      <w:r w:rsidRPr="001F0840">
        <w:rPr>
          <w:b/>
        </w:rPr>
        <w:t>Warnhinweise in der Fachinformation bevor Sie die Injektion durchführen.</w:t>
      </w:r>
    </w:p>
    <w:p w14:paraId="37B67D5F" w14:textId="77777777" w:rsidR="00642D72" w:rsidRPr="00642D72" w:rsidRDefault="00642D72" w:rsidP="001F0840">
      <w:pPr>
        <w:contextualSpacing/>
      </w:pPr>
    </w:p>
    <w:p w14:paraId="6EF4826C" w14:textId="77777777" w:rsidR="001F0840" w:rsidRDefault="001F0840" w:rsidP="001F0840">
      <w:pPr>
        <w:contextualSpacing/>
        <w:rPr>
          <w:b/>
        </w:rPr>
      </w:pPr>
    </w:p>
    <w:p w14:paraId="353C4C11" w14:textId="77777777" w:rsidR="00642D72" w:rsidRPr="001F0840" w:rsidRDefault="00642D72" w:rsidP="009D2BDA">
      <w:pPr>
        <w:contextualSpacing/>
        <w:jc w:val="both"/>
        <w:rPr>
          <w:b/>
        </w:rPr>
      </w:pPr>
      <w:r w:rsidRPr="001F0840">
        <w:rPr>
          <w:b/>
        </w:rPr>
        <w:t xml:space="preserve">Vorbereitung der Injektion </w:t>
      </w:r>
    </w:p>
    <w:p w14:paraId="653EF221" w14:textId="77777777" w:rsidR="001740DA" w:rsidRDefault="001740DA" w:rsidP="009D2BDA">
      <w:pPr>
        <w:contextualSpacing/>
        <w:jc w:val="both"/>
      </w:pPr>
    </w:p>
    <w:p w14:paraId="3ADBC08B" w14:textId="77777777" w:rsidR="00642D72" w:rsidRPr="00642D72" w:rsidRDefault="00642D72" w:rsidP="009D2BDA">
      <w:pPr>
        <w:contextualSpacing/>
        <w:jc w:val="both"/>
      </w:pPr>
      <w:r w:rsidRPr="00642D72">
        <w:t>Die zur intramuskulären Injektion bestimmte Lösung ist vor der Anwendung visuell zu</w:t>
      </w:r>
      <w:r w:rsidR="001F0840">
        <w:t xml:space="preserve"> </w:t>
      </w:r>
      <w:r w:rsidRPr="00642D72">
        <w:t xml:space="preserve">prüfen; nur klare, partikelfreie Lösungen dürfen verwendet werden. </w:t>
      </w:r>
    </w:p>
    <w:p w14:paraId="1B766532" w14:textId="77777777" w:rsidR="001F0840" w:rsidRDefault="001F0840" w:rsidP="009D2BDA">
      <w:pPr>
        <w:contextualSpacing/>
        <w:jc w:val="both"/>
      </w:pPr>
    </w:p>
    <w:p w14:paraId="2814FAB2" w14:textId="77777777" w:rsidR="001F0840" w:rsidRPr="00642D72" w:rsidRDefault="00642D72" w:rsidP="009D2BDA">
      <w:pPr>
        <w:contextualSpacing/>
        <w:jc w:val="both"/>
      </w:pPr>
      <w:r w:rsidRPr="001F0840">
        <w:rPr>
          <w:b/>
        </w:rPr>
        <w:t xml:space="preserve">Keine gekühlte Lösung injizieren! </w:t>
      </w:r>
      <w:r w:rsidRPr="00642D72">
        <w:t>Bei kalten Lagertemperaturen können sich die Eigenschaften</w:t>
      </w:r>
      <w:r w:rsidR="001F0840">
        <w:t xml:space="preserve"> d</w:t>
      </w:r>
      <w:r w:rsidRPr="00642D72">
        <w:t xml:space="preserve">er ölbasierten Lösung vorübergehend ändern (z. B. höhere Viskosität, Trübung), weshalb das </w:t>
      </w:r>
      <w:r w:rsidR="001F0840">
        <w:t>A</w:t>
      </w:r>
      <w:r w:rsidRPr="00642D72">
        <w:t>rzneimittel bei Lagerung bei kalter Temperatur vor Gebrauch auf Raum- oder Körpertemperatur</w:t>
      </w:r>
      <w:r w:rsidR="001F0840">
        <w:t xml:space="preserve"> g</w:t>
      </w:r>
      <w:r w:rsidRPr="00642D72">
        <w:t xml:space="preserve">ebracht werden sollte. </w:t>
      </w:r>
    </w:p>
    <w:p w14:paraId="47E235BC" w14:textId="77777777" w:rsidR="00642D72" w:rsidRPr="00642D72" w:rsidRDefault="00642D72" w:rsidP="009D2BDA">
      <w:pPr>
        <w:pStyle w:val="Listenabsatz"/>
        <w:numPr>
          <w:ilvl w:val="0"/>
          <w:numId w:val="1"/>
        </w:numPr>
        <w:jc w:val="both"/>
      </w:pPr>
      <w:r w:rsidRPr="00642D72">
        <w:t xml:space="preserve">Verwenden Sie zum Aufziehen der Lösung eine 5-ml-Spritze und eine Nadel des Kalibers 18G (1,2 mm) x 50 mm und ziehen Sie die 4 ml </w:t>
      </w:r>
      <w:r w:rsidR="001F0840" w:rsidRPr="00CC6D80">
        <w:t>Injektionslösung</w:t>
      </w:r>
      <w:r w:rsidR="001F0840" w:rsidRPr="00642D72">
        <w:t xml:space="preserve"> </w:t>
      </w:r>
      <w:r w:rsidRPr="00642D72">
        <w:t xml:space="preserve">aus der Glas-Durchstechflasche auf. </w:t>
      </w:r>
    </w:p>
    <w:p w14:paraId="4C345A8B" w14:textId="77777777" w:rsidR="00642D72" w:rsidRPr="00642D72" w:rsidRDefault="00642D72" w:rsidP="009D2BDA">
      <w:pPr>
        <w:pStyle w:val="Listenabsatz"/>
        <w:numPr>
          <w:ilvl w:val="0"/>
          <w:numId w:val="1"/>
        </w:numPr>
        <w:jc w:val="both"/>
      </w:pPr>
      <w:r w:rsidRPr="00642D72">
        <w:t xml:space="preserve">Wählen Sie für die Injektion eine adäquate Nadelgröße entsprechend der Fett- und Muskelmasse der Gesäßregion des Patienten. </w:t>
      </w:r>
    </w:p>
    <w:p w14:paraId="0F8259E5" w14:textId="77777777" w:rsidR="00642D72" w:rsidRPr="00642D72" w:rsidRDefault="00642D72" w:rsidP="009D2BDA">
      <w:pPr>
        <w:pStyle w:val="Listenabsatz"/>
        <w:numPr>
          <w:ilvl w:val="0"/>
          <w:numId w:val="1"/>
        </w:numPr>
        <w:jc w:val="both"/>
      </w:pPr>
      <w:r w:rsidRPr="00642D72">
        <w:t>Die Verwendung einer Nadel des Kalibers 20G (0,9 mm), 21G</w:t>
      </w:r>
      <w:r w:rsidRPr="001740DA">
        <w:rPr>
          <w:vertAlign w:val="superscript"/>
        </w:rPr>
        <w:t xml:space="preserve">2,3 </w:t>
      </w:r>
      <w:r w:rsidRPr="00642D72">
        <w:t xml:space="preserve">(0,8 mm) oder 22G (0,7 mm) wird empfohlen, um sicherzustellen, dass die intramuskuläre Injektion und die Bildung des </w:t>
      </w:r>
      <w:proofErr w:type="spellStart"/>
      <w:r w:rsidRPr="00642D72">
        <w:t>Testosteronundecanoat</w:t>
      </w:r>
      <w:proofErr w:type="spellEnd"/>
      <w:r w:rsidRPr="00642D72">
        <w:t xml:space="preserve">-Depots langsam erfolgt. </w:t>
      </w:r>
    </w:p>
    <w:p w14:paraId="16BF600A" w14:textId="77777777" w:rsidR="00642D72" w:rsidRPr="001740DA" w:rsidRDefault="00642D72" w:rsidP="001F0840">
      <w:pPr>
        <w:contextualSpacing/>
        <w:rPr>
          <w:b/>
        </w:rPr>
      </w:pPr>
    </w:p>
    <w:p w14:paraId="46D41BCD" w14:textId="77777777" w:rsidR="00642D72" w:rsidRPr="001740DA" w:rsidRDefault="00642D72" w:rsidP="001F0840">
      <w:pPr>
        <w:contextualSpacing/>
        <w:rPr>
          <w:b/>
        </w:rPr>
      </w:pPr>
      <w:r w:rsidRPr="001740DA">
        <w:rPr>
          <w:b/>
        </w:rPr>
        <w:t xml:space="preserve"> Vorbereitung des Patienten </w:t>
      </w:r>
    </w:p>
    <w:p w14:paraId="523B5BD7" w14:textId="77777777" w:rsidR="00642D72" w:rsidRPr="00642D72" w:rsidRDefault="00642D72" w:rsidP="009D2BDA">
      <w:pPr>
        <w:pStyle w:val="Listenabsatz"/>
        <w:numPr>
          <w:ilvl w:val="0"/>
          <w:numId w:val="1"/>
        </w:numPr>
        <w:jc w:val="both"/>
      </w:pPr>
      <w:r w:rsidRPr="00642D72">
        <w:t xml:space="preserve">Während der tief intramuskulären Injektion sollte der Patient ganz flach auf dem Bauch liegen. </w:t>
      </w:r>
    </w:p>
    <w:p w14:paraId="4A3F352D" w14:textId="77777777" w:rsidR="00642D72" w:rsidRPr="00642D72" w:rsidRDefault="00642D72" w:rsidP="009D2BDA">
      <w:pPr>
        <w:pStyle w:val="Listenabsatz"/>
        <w:numPr>
          <w:ilvl w:val="0"/>
          <w:numId w:val="1"/>
        </w:numPr>
        <w:jc w:val="both"/>
      </w:pPr>
      <w:r w:rsidRPr="00642D72">
        <w:t xml:space="preserve">Der Kopf des Patienten sollte auf seinen Händen liegen. </w:t>
      </w:r>
    </w:p>
    <w:p w14:paraId="75E7D2AA" w14:textId="77777777" w:rsidR="00642D72" w:rsidRPr="00642D72" w:rsidRDefault="00642D72" w:rsidP="009D2BDA">
      <w:pPr>
        <w:pStyle w:val="Listenabsatz"/>
        <w:numPr>
          <w:ilvl w:val="0"/>
          <w:numId w:val="1"/>
        </w:numPr>
        <w:jc w:val="both"/>
      </w:pPr>
      <w:r w:rsidRPr="00642D72">
        <w:t xml:space="preserve">Der Patient muss während der Injektion stillliegen. </w:t>
      </w:r>
    </w:p>
    <w:p w14:paraId="5989C35C" w14:textId="77777777" w:rsidR="00642D72" w:rsidRPr="00642D72" w:rsidRDefault="00642D72" w:rsidP="001F0840">
      <w:pPr>
        <w:contextualSpacing/>
      </w:pPr>
    </w:p>
    <w:bookmarkEnd w:id="1"/>
    <w:p w14:paraId="15188727" w14:textId="77777777" w:rsidR="001740DA" w:rsidRDefault="001740DA" w:rsidP="001740DA">
      <w:pPr>
        <w:contextualSpacing/>
        <w:rPr>
          <w:b/>
        </w:rPr>
      </w:pPr>
      <w:r w:rsidRPr="001740DA">
        <w:rPr>
          <w:b/>
        </w:rPr>
        <w:t xml:space="preserve">Der Injektionsvorgang – Schritt für Schritt </w:t>
      </w:r>
    </w:p>
    <w:p w14:paraId="690597C4" w14:textId="77777777" w:rsidR="001740DA" w:rsidRPr="001740DA" w:rsidRDefault="001740DA" w:rsidP="001740DA">
      <w:pPr>
        <w:contextualSpacing/>
        <w:rPr>
          <w:b/>
        </w:rPr>
      </w:pPr>
    </w:p>
    <w:p w14:paraId="169C27AD" w14:textId="77777777" w:rsidR="001740DA" w:rsidRPr="001740DA" w:rsidRDefault="001740DA" w:rsidP="009D2BDA">
      <w:pPr>
        <w:jc w:val="both"/>
      </w:pPr>
      <w:r w:rsidRPr="001740DA">
        <w:t xml:space="preserve">Wie alle öligen Lösungen muss </w:t>
      </w:r>
      <w:proofErr w:type="spellStart"/>
      <w:r w:rsidRPr="001740DA">
        <w:t>Testosteronundecanoat</w:t>
      </w:r>
      <w:proofErr w:type="spellEnd"/>
      <w:r w:rsidRPr="001740DA">
        <w:t xml:space="preserve"> 1000 mg Injektionslösung exakt intramuskulär und sehr langsam (über 2 Minuten) injiziert werden.</w:t>
      </w:r>
      <w:r w:rsidRPr="001740DA">
        <w:rPr>
          <w:vertAlign w:val="superscript"/>
        </w:rPr>
        <w:t>1</w:t>
      </w:r>
      <w:r w:rsidRPr="001740DA">
        <w:t xml:space="preserve"> </w:t>
      </w:r>
    </w:p>
    <w:p w14:paraId="7FAAD9C8" w14:textId="77777777" w:rsidR="001740DA" w:rsidRPr="001740DA" w:rsidRDefault="001740DA" w:rsidP="009D2BDA">
      <w:pPr>
        <w:pStyle w:val="Listenabsatz"/>
        <w:numPr>
          <w:ilvl w:val="0"/>
          <w:numId w:val="1"/>
        </w:numPr>
        <w:jc w:val="both"/>
      </w:pPr>
      <w:proofErr w:type="spellStart"/>
      <w:r w:rsidRPr="001740DA">
        <w:t>Testosteronundecanoat</w:t>
      </w:r>
      <w:proofErr w:type="spellEnd"/>
      <w:r w:rsidRPr="001740DA">
        <w:t xml:space="preserve"> 1000 mg Injektionslösung darf nicht in mehrere Portionen aufgeteilt werden. Auch darf es keinesfalls in den Oberarm oder den Oberschenkel injiziert werden. </w:t>
      </w:r>
    </w:p>
    <w:p w14:paraId="5871C7DD" w14:textId="77777777" w:rsidR="001740DA" w:rsidRPr="001740DA" w:rsidRDefault="001740DA" w:rsidP="009D2BDA">
      <w:pPr>
        <w:pStyle w:val="Listenabsatz"/>
        <w:numPr>
          <w:ilvl w:val="0"/>
          <w:numId w:val="1"/>
        </w:numPr>
        <w:jc w:val="both"/>
      </w:pPr>
      <w:r w:rsidRPr="001740DA">
        <w:t xml:space="preserve">Die bevorzugte Stelle für die intramuskuläre Injektion ist der </w:t>
      </w:r>
      <w:proofErr w:type="spellStart"/>
      <w:r w:rsidRPr="001740DA">
        <w:t>Musculus</w:t>
      </w:r>
      <w:proofErr w:type="spellEnd"/>
      <w:r w:rsidRPr="001740DA">
        <w:t xml:space="preserve"> </w:t>
      </w:r>
      <w:proofErr w:type="spellStart"/>
      <w:r w:rsidRPr="001740DA">
        <w:t>gluteus</w:t>
      </w:r>
      <w:proofErr w:type="spellEnd"/>
      <w:r w:rsidRPr="001740DA">
        <w:t xml:space="preserve"> </w:t>
      </w:r>
      <w:proofErr w:type="spellStart"/>
      <w:r w:rsidRPr="001740DA">
        <w:t>medius</w:t>
      </w:r>
      <w:proofErr w:type="spellEnd"/>
      <w:r w:rsidRPr="001740DA">
        <w:t xml:space="preserve"> im oberen äußeren Quadranten der Gesäßregion. </w:t>
      </w:r>
    </w:p>
    <w:p w14:paraId="200D4D04" w14:textId="77777777" w:rsidR="001740DA" w:rsidRPr="001740DA" w:rsidRDefault="001740DA" w:rsidP="009D2BDA">
      <w:pPr>
        <w:pStyle w:val="Listenabsatz"/>
        <w:numPr>
          <w:ilvl w:val="0"/>
          <w:numId w:val="1"/>
        </w:numPr>
        <w:jc w:val="both"/>
      </w:pPr>
      <w:r w:rsidRPr="001740DA">
        <w:t xml:space="preserve">Bei Patienten mit geringer Muskelmasse kann es notwendig sein, 2 bis 3 Streifen des </w:t>
      </w:r>
      <w:proofErr w:type="spellStart"/>
      <w:r w:rsidRPr="001740DA">
        <w:t>Musculus</w:t>
      </w:r>
      <w:proofErr w:type="spellEnd"/>
      <w:r w:rsidRPr="001740DA">
        <w:t xml:space="preserve"> </w:t>
      </w:r>
      <w:proofErr w:type="spellStart"/>
      <w:r w:rsidRPr="001740DA">
        <w:t>gluteus</w:t>
      </w:r>
      <w:proofErr w:type="spellEnd"/>
      <w:r w:rsidRPr="001740DA">
        <w:t xml:space="preserve"> zwischen die Finger zu nehmen und hochzuziehen, damit die Nadel in ein größeres Gewebsvolumen eingestochen werden kann. </w:t>
      </w:r>
    </w:p>
    <w:p w14:paraId="3950633A" w14:textId="77777777" w:rsidR="001740DA" w:rsidRPr="001740DA" w:rsidRDefault="001740DA" w:rsidP="009D2BDA">
      <w:pPr>
        <w:pStyle w:val="Listenabsatz"/>
        <w:numPr>
          <w:ilvl w:val="0"/>
          <w:numId w:val="1"/>
        </w:numPr>
        <w:jc w:val="both"/>
      </w:pPr>
      <w:r w:rsidRPr="001740DA">
        <w:lastRenderedPageBreak/>
        <w:t xml:space="preserve">Nach Reinigung der Stelle mit einem Antiseptikum, stechen Sie die Nadel in einem Winkel von 90° in die Haut ein, um sicher zu gehen, dass sie tief im Muskel liegt. </w:t>
      </w:r>
    </w:p>
    <w:p w14:paraId="5BFB7A91" w14:textId="77777777" w:rsidR="001740DA" w:rsidRPr="001740DA" w:rsidRDefault="001740DA" w:rsidP="009D2BDA">
      <w:pPr>
        <w:pStyle w:val="Listenabsatz"/>
        <w:numPr>
          <w:ilvl w:val="0"/>
          <w:numId w:val="1"/>
        </w:numPr>
        <w:jc w:val="both"/>
      </w:pPr>
      <w:r w:rsidRPr="001740DA">
        <w:t xml:space="preserve">Es ist sorgfältig darauf zu achten, dass die Nadel nicht die </w:t>
      </w:r>
      <w:proofErr w:type="spellStart"/>
      <w:r w:rsidRPr="001740DA">
        <w:t>Arteria</w:t>
      </w:r>
      <w:proofErr w:type="spellEnd"/>
      <w:r w:rsidRPr="001740DA">
        <w:t xml:space="preserve"> </w:t>
      </w:r>
      <w:proofErr w:type="spellStart"/>
      <w:r w:rsidRPr="001740DA">
        <w:t>glutea</w:t>
      </w:r>
      <w:proofErr w:type="spellEnd"/>
      <w:r w:rsidRPr="001740DA">
        <w:t xml:space="preserve"> </w:t>
      </w:r>
      <w:proofErr w:type="spellStart"/>
      <w:r w:rsidRPr="001740DA">
        <w:t>superior</w:t>
      </w:r>
      <w:proofErr w:type="spellEnd"/>
      <w:r w:rsidRPr="001740DA">
        <w:t xml:space="preserve"> oder den </w:t>
      </w:r>
      <w:proofErr w:type="spellStart"/>
      <w:r w:rsidRPr="001740DA">
        <w:t>Nervus</w:t>
      </w:r>
      <w:proofErr w:type="spellEnd"/>
      <w:r w:rsidRPr="001740DA">
        <w:t xml:space="preserve"> </w:t>
      </w:r>
      <w:proofErr w:type="spellStart"/>
      <w:r w:rsidRPr="001740DA">
        <w:t>ischiadicus</w:t>
      </w:r>
      <w:proofErr w:type="spellEnd"/>
      <w:r w:rsidRPr="001740DA">
        <w:t xml:space="preserve"> trifft. </w:t>
      </w:r>
    </w:p>
    <w:p w14:paraId="5999E5FD" w14:textId="77777777" w:rsidR="001740DA" w:rsidRDefault="001740DA" w:rsidP="009D2BDA">
      <w:pPr>
        <w:pStyle w:val="Listenabsatz"/>
        <w:numPr>
          <w:ilvl w:val="0"/>
          <w:numId w:val="1"/>
        </w:numPr>
        <w:jc w:val="both"/>
      </w:pPr>
      <w:r w:rsidRPr="001740DA">
        <w:t xml:space="preserve">Prüfen Sie, ob Blut aspiriert wird. Falls Blut aspiriert wird, wiederholen Sie den Vorgang an einer anderen Stelle. Falls kein Blut aspiriert wird, injizieren Sie die Lösung sehr langsam, idealerweise gleichmäßig über 2 Minuten. </w:t>
      </w:r>
    </w:p>
    <w:p w14:paraId="00190889" w14:textId="77777777" w:rsidR="00CB48C9" w:rsidRPr="001740DA" w:rsidRDefault="00CB48C9" w:rsidP="009D2BDA">
      <w:pPr>
        <w:pStyle w:val="Listenabsatz"/>
        <w:ind w:left="1068"/>
        <w:jc w:val="both"/>
      </w:pPr>
    </w:p>
    <w:p w14:paraId="5B691947" w14:textId="77777777" w:rsidR="001740DA" w:rsidRPr="001740DA" w:rsidRDefault="001740DA" w:rsidP="009D2BDA">
      <w:pPr>
        <w:jc w:val="both"/>
        <w:rPr>
          <w:b/>
        </w:rPr>
      </w:pPr>
      <w:r w:rsidRPr="001740DA">
        <w:rPr>
          <w:b/>
        </w:rPr>
        <w:t xml:space="preserve">Risiko-Management </w:t>
      </w:r>
    </w:p>
    <w:p w14:paraId="69FBAAC2" w14:textId="77777777" w:rsidR="001740DA" w:rsidRPr="001740DA" w:rsidRDefault="001740DA" w:rsidP="009D2BDA">
      <w:pPr>
        <w:jc w:val="both"/>
        <w:rPr>
          <w:b/>
        </w:rPr>
      </w:pPr>
      <w:r w:rsidRPr="001740DA">
        <w:rPr>
          <w:b/>
        </w:rPr>
        <w:t xml:space="preserve">Der Patient muss während und unmittelbar nach jeder Injektion von </w:t>
      </w:r>
      <w:proofErr w:type="spellStart"/>
      <w:r w:rsidRPr="001740DA">
        <w:rPr>
          <w:b/>
        </w:rPr>
        <w:t>Testosteronundecanoat</w:t>
      </w:r>
      <w:proofErr w:type="spellEnd"/>
      <w:r w:rsidRPr="001740DA">
        <w:rPr>
          <w:b/>
        </w:rPr>
        <w:t xml:space="preserve"> 1000 mg Injektionslösung beobachtet werden, um eventuelle Zeichen und Symptome, die auf eine pulmonale ölige Mikroembolie (POME) hinweisen könnten, rechtzeitig zu erkennen.</w:t>
      </w:r>
      <w:r w:rsidRPr="001740DA">
        <w:rPr>
          <w:b/>
          <w:vertAlign w:val="superscript"/>
        </w:rPr>
        <w:t>1</w:t>
      </w:r>
      <w:r w:rsidRPr="001740DA">
        <w:rPr>
          <w:b/>
        </w:rPr>
        <w:t xml:space="preserve"> </w:t>
      </w:r>
    </w:p>
    <w:p w14:paraId="76D2C684" w14:textId="77777777" w:rsidR="001740DA" w:rsidRPr="001740DA" w:rsidRDefault="001740DA" w:rsidP="009D2BDA">
      <w:pPr>
        <w:jc w:val="both"/>
      </w:pPr>
      <w:r w:rsidRPr="001740DA">
        <w:t xml:space="preserve">POME ist eine injektionsbedingte Reaktion und pathophysiologisch mit dem </w:t>
      </w:r>
      <w:proofErr w:type="spellStart"/>
      <w:r w:rsidRPr="001740DA">
        <w:t>Fettemboliesyndrom</w:t>
      </w:r>
      <w:proofErr w:type="spellEnd"/>
      <w:r w:rsidRPr="001740DA">
        <w:t xml:space="preserve"> verwandt. Sie kann nach direkter Verabreichung einer Injektionslösung mit öliger Trägersubstanz in das Blut- oder Lymphgefäßsystem auftreten, wenn diese über den venösen Kreislauf und das rechte Herz die Lunge erreicht. </w:t>
      </w:r>
    </w:p>
    <w:p w14:paraId="0F16A154" w14:textId="77777777" w:rsidR="001740DA" w:rsidRPr="001740DA" w:rsidRDefault="001740DA" w:rsidP="009D2BDA">
      <w:pPr>
        <w:jc w:val="both"/>
      </w:pPr>
      <w:r w:rsidRPr="001740DA">
        <w:t xml:space="preserve">Eine POME kann in seltenen Fällen zu Anzeichen und Symptomen wie z. B. Husten (oder Hustenreiz), Dyspnoe, </w:t>
      </w:r>
      <w:r w:rsidR="00EF0635">
        <w:rPr>
          <w:sz w:val="23"/>
          <w:szCs w:val="23"/>
        </w:rPr>
        <w:t>Unwohlsein</w:t>
      </w:r>
      <w:r w:rsidRPr="001740DA">
        <w:t>, Hyperhidrosis, thorakaler Schmerz, Schwindel, Parästhesie oder Synkope führen.</w:t>
      </w:r>
      <w:r w:rsidRPr="001740DA">
        <w:rPr>
          <w:vertAlign w:val="superscript"/>
        </w:rPr>
        <w:t>1</w:t>
      </w:r>
      <w:r w:rsidRPr="001740DA">
        <w:t xml:space="preserve"> </w:t>
      </w:r>
    </w:p>
    <w:p w14:paraId="7237D23A" w14:textId="77777777" w:rsidR="001740DA" w:rsidRPr="001740DA" w:rsidRDefault="001740DA" w:rsidP="009D2BDA">
      <w:pPr>
        <w:jc w:val="both"/>
      </w:pPr>
      <w:r w:rsidRPr="001740DA">
        <w:t>Diese Reaktionen können während oder unmittelbar nach der Injektion auftreten und sind reversibel. Die Behandlung erfolgt gewöhnlich mit unterstützenden Maßnahmen, z. B. durch zusätzliche Sauerstoffgabe.</w:t>
      </w:r>
      <w:r w:rsidRPr="001740DA">
        <w:rPr>
          <w:vertAlign w:val="superscript"/>
        </w:rPr>
        <w:t>1</w:t>
      </w:r>
      <w:r w:rsidRPr="001740DA">
        <w:t xml:space="preserve"> </w:t>
      </w:r>
    </w:p>
    <w:p w14:paraId="6288FC8B" w14:textId="77777777" w:rsidR="001740DA" w:rsidRDefault="001740DA" w:rsidP="009D2BDA">
      <w:pPr>
        <w:jc w:val="both"/>
        <w:rPr>
          <w:vertAlign w:val="superscript"/>
        </w:rPr>
      </w:pPr>
      <w:r w:rsidRPr="001740DA">
        <w:t xml:space="preserve">Manchmal sind diese Symptome schwer von einer allergischen Reaktion zu unterscheiden. Es wurden Verdachtsfälle von anaphylaktischen Reaktionen im Anschluss an eine </w:t>
      </w:r>
      <w:proofErr w:type="spellStart"/>
      <w:r w:rsidRPr="001740DA">
        <w:t>Testosteronundecanoat</w:t>
      </w:r>
      <w:proofErr w:type="spellEnd"/>
      <w:r w:rsidRPr="001740DA">
        <w:t>-Injektion berichtet.</w:t>
      </w:r>
      <w:r w:rsidRPr="001740DA">
        <w:rPr>
          <w:vertAlign w:val="superscript"/>
        </w:rPr>
        <w:t>1</w:t>
      </w:r>
    </w:p>
    <w:p w14:paraId="3C4D5BE7" w14:textId="77777777" w:rsidR="001740DA" w:rsidRPr="001740DA" w:rsidRDefault="001740DA" w:rsidP="001740DA">
      <w:r w:rsidRPr="001740DA">
        <w:t xml:space="preserve">Referenzen </w:t>
      </w:r>
    </w:p>
    <w:p w14:paraId="7ECB8CF9" w14:textId="77777777" w:rsidR="001740DA" w:rsidRPr="001740DA" w:rsidRDefault="001740DA" w:rsidP="001740DA">
      <w:pPr>
        <w:spacing w:line="240" w:lineRule="auto"/>
        <w:contextualSpacing/>
      </w:pPr>
      <w:r w:rsidRPr="001740DA">
        <w:t xml:space="preserve">1 </w:t>
      </w:r>
      <w:r w:rsidR="009D2BDA" w:rsidRPr="009D2BDA">
        <w:rPr>
          <w:highlight w:val="yellow"/>
        </w:rPr>
        <w:t>&lt;Handelsname®&gt;</w:t>
      </w:r>
      <w:r w:rsidR="009D2BDA">
        <w:t xml:space="preserve"> </w:t>
      </w:r>
      <w:r w:rsidRPr="001740DA">
        <w:t xml:space="preserve">Fachinformation </w:t>
      </w:r>
      <w:r w:rsidR="009D2BDA" w:rsidRPr="009D2BDA">
        <w:rPr>
          <w:highlight w:val="yellow"/>
        </w:rPr>
        <w:t>&lt;Stand&gt;</w:t>
      </w:r>
      <w:r w:rsidRPr="001740DA">
        <w:t xml:space="preserve"> </w:t>
      </w:r>
    </w:p>
    <w:p w14:paraId="61EC276A" w14:textId="77777777" w:rsidR="001740DA" w:rsidRPr="00382B65" w:rsidRDefault="001740DA" w:rsidP="001740DA">
      <w:pPr>
        <w:spacing w:line="240" w:lineRule="auto"/>
        <w:contextualSpacing/>
        <w:rPr>
          <w:lang w:val="en-US"/>
        </w:rPr>
      </w:pPr>
      <w:r w:rsidRPr="001740DA">
        <w:t xml:space="preserve">2 Sartorius G et al. </w:t>
      </w:r>
      <w:r w:rsidRPr="00382B65">
        <w:rPr>
          <w:lang w:val="en-US"/>
        </w:rPr>
        <w:t xml:space="preserve">Asian J </w:t>
      </w:r>
      <w:proofErr w:type="spellStart"/>
      <w:r w:rsidRPr="00382B65">
        <w:rPr>
          <w:lang w:val="en-US"/>
        </w:rPr>
        <w:t>Androl</w:t>
      </w:r>
      <w:proofErr w:type="spellEnd"/>
      <w:r w:rsidRPr="00382B65">
        <w:rPr>
          <w:lang w:val="en-US"/>
        </w:rPr>
        <w:t xml:space="preserve"> 2010;12(2):227-233 </w:t>
      </w:r>
    </w:p>
    <w:p w14:paraId="3BB0EA32" w14:textId="77777777" w:rsidR="001740DA" w:rsidRPr="00382B65" w:rsidRDefault="001740DA" w:rsidP="001740DA">
      <w:pPr>
        <w:spacing w:line="240" w:lineRule="auto"/>
        <w:contextualSpacing/>
        <w:rPr>
          <w:lang w:val="en-US"/>
        </w:rPr>
      </w:pPr>
      <w:r w:rsidRPr="00382B65">
        <w:rPr>
          <w:lang w:val="en-US"/>
        </w:rPr>
        <w:t xml:space="preserve">3 Middleton T et al. </w:t>
      </w:r>
      <w:proofErr w:type="spellStart"/>
      <w:r w:rsidRPr="00382B65">
        <w:rPr>
          <w:lang w:val="en-US"/>
        </w:rPr>
        <w:t>Eur</w:t>
      </w:r>
      <w:proofErr w:type="spellEnd"/>
      <w:r w:rsidRPr="00382B65">
        <w:rPr>
          <w:lang w:val="en-US"/>
        </w:rPr>
        <w:t xml:space="preserve"> J </w:t>
      </w:r>
      <w:proofErr w:type="spellStart"/>
      <w:r w:rsidRPr="00382B65">
        <w:rPr>
          <w:lang w:val="en-US"/>
        </w:rPr>
        <w:t>Endocrinol</w:t>
      </w:r>
      <w:proofErr w:type="spellEnd"/>
      <w:r w:rsidRPr="00382B65">
        <w:rPr>
          <w:lang w:val="en-US"/>
        </w:rPr>
        <w:t xml:space="preserve"> 2015</w:t>
      </w:r>
      <w:proofErr w:type="gramStart"/>
      <w:r w:rsidRPr="00382B65">
        <w:rPr>
          <w:lang w:val="en-US"/>
        </w:rPr>
        <w:t>;172</w:t>
      </w:r>
      <w:proofErr w:type="gramEnd"/>
      <w:r w:rsidRPr="00382B65">
        <w:rPr>
          <w:lang w:val="en-US"/>
        </w:rPr>
        <w:t xml:space="preserve">(5):511-517 </w:t>
      </w:r>
    </w:p>
    <w:p w14:paraId="0D154E18" w14:textId="77777777" w:rsidR="001740DA" w:rsidRPr="00382B65" w:rsidRDefault="001740DA" w:rsidP="001740DA">
      <w:pPr>
        <w:rPr>
          <w:lang w:val="en-US"/>
        </w:rPr>
      </w:pPr>
    </w:p>
    <w:p w14:paraId="05619E9A" w14:textId="77777777" w:rsidR="001740DA" w:rsidRPr="00CB48C9" w:rsidRDefault="001740DA" w:rsidP="001740DA">
      <w:pPr>
        <w:rPr>
          <w:b/>
        </w:rPr>
      </w:pPr>
      <w:r w:rsidRPr="00CB48C9">
        <w:rPr>
          <w:b/>
        </w:rPr>
        <w:t xml:space="preserve">Meldung des Verdachts auf Nebenwirkungen </w:t>
      </w:r>
    </w:p>
    <w:p w14:paraId="0D0E300C" w14:textId="77777777" w:rsidR="001740DA" w:rsidRDefault="001740DA" w:rsidP="001740DA">
      <w:r w:rsidRPr="001740DA">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dem Bundesinstitut für Arzneimittel und Medizinprodukte, Abt. </w:t>
      </w:r>
      <w:proofErr w:type="spellStart"/>
      <w:r w:rsidRPr="001740DA">
        <w:t>Pharmakovigilanz</w:t>
      </w:r>
      <w:proofErr w:type="spellEnd"/>
      <w:r w:rsidRPr="001740DA">
        <w:t>, Kurt-Georg-Kiesinger-Allee 3, 53175 Bonn, Website: http://www.bfarm.de anzuzeigen.</w:t>
      </w:r>
    </w:p>
    <w:p w14:paraId="7455F560" w14:textId="77777777" w:rsidR="00CB48C9" w:rsidRDefault="00CB48C9" w:rsidP="001740DA"/>
    <w:p w14:paraId="20B36CD9" w14:textId="77777777" w:rsidR="00B75235" w:rsidRDefault="009D2BDA" w:rsidP="00CB48C9">
      <w:pPr>
        <w:contextualSpacing/>
        <w:rPr>
          <w:lang w:val="en-US"/>
        </w:rPr>
      </w:pPr>
      <w:r w:rsidRPr="009D2BDA">
        <w:rPr>
          <w:highlight w:val="yellow"/>
          <w:lang w:val="en-US"/>
        </w:rPr>
        <w:t>&lt;</w:t>
      </w:r>
      <w:proofErr w:type="spellStart"/>
      <w:r w:rsidRPr="009D2BDA">
        <w:rPr>
          <w:highlight w:val="yellow"/>
          <w:lang w:val="en-US"/>
        </w:rPr>
        <w:t>Kontaktdaten</w:t>
      </w:r>
      <w:proofErr w:type="spellEnd"/>
      <w:r w:rsidRPr="009D2BDA">
        <w:rPr>
          <w:highlight w:val="yellow"/>
          <w:lang w:val="en-US"/>
        </w:rPr>
        <w:t xml:space="preserve"> </w:t>
      </w:r>
      <w:proofErr w:type="spellStart"/>
      <w:r w:rsidRPr="009D2BDA">
        <w:rPr>
          <w:highlight w:val="yellow"/>
          <w:lang w:val="en-US"/>
        </w:rPr>
        <w:t>Zulassungsinhaber</w:t>
      </w:r>
      <w:proofErr w:type="spellEnd"/>
      <w:r w:rsidRPr="009D2BDA">
        <w:rPr>
          <w:highlight w:val="yellow"/>
          <w:lang w:val="en-US"/>
        </w:rPr>
        <w:t>&gt;</w:t>
      </w:r>
    </w:p>
    <w:p w14:paraId="1E6375CF" w14:textId="77777777" w:rsidR="00B75235" w:rsidRPr="00B75235" w:rsidRDefault="00B75235" w:rsidP="00B75235">
      <w:pPr>
        <w:rPr>
          <w:lang w:val="en-US"/>
        </w:rPr>
      </w:pPr>
    </w:p>
    <w:p w14:paraId="68AB49C8" w14:textId="77777777" w:rsidR="00B75235" w:rsidRDefault="00B75235" w:rsidP="00B75235">
      <w:pPr>
        <w:rPr>
          <w:lang w:val="en-US"/>
        </w:rPr>
      </w:pPr>
    </w:p>
    <w:p w14:paraId="0E3A77B8" w14:textId="77777777" w:rsidR="00CB48C9" w:rsidRPr="00B75235" w:rsidRDefault="00B75235" w:rsidP="00B75235">
      <w:pPr>
        <w:tabs>
          <w:tab w:val="left" w:pos="7020"/>
        </w:tabs>
        <w:rPr>
          <w:lang w:val="en-US"/>
        </w:rPr>
      </w:pPr>
      <w:r>
        <w:rPr>
          <w:lang w:val="en-US"/>
        </w:rPr>
        <w:tab/>
      </w:r>
    </w:p>
    <w:sectPr w:rsidR="00CB48C9" w:rsidRPr="00B75235" w:rsidSect="00B75235">
      <w:headerReference w:type="even" r:id="rId8"/>
      <w:headerReference w:type="default" r:id="rId9"/>
      <w:footerReference w:type="even" r:id="rId10"/>
      <w:footerReference w:type="default" r:id="rId11"/>
      <w:headerReference w:type="first" r:id="rId12"/>
      <w:footerReference w:type="first" r:id="rId13"/>
      <w:pgSz w:w="11906" w:h="16838"/>
      <w:pgMar w:top="1417" w:right="170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D1360" w14:textId="77777777" w:rsidR="00B75235" w:rsidRDefault="00B75235" w:rsidP="00B75235">
      <w:pPr>
        <w:spacing w:after="0" w:line="240" w:lineRule="auto"/>
      </w:pPr>
      <w:r>
        <w:separator/>
      </w:r>
    </w:p>
  </w:endnote>
  <w:endnote w:type="continuationSeparator" w:id="0">
    <w:p w14:paraId="616E03A3" w14:textId="77777777" w:rsidR="00B75235" w:rsidRDefault="00B75235" w:rsidP="00B75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DF1ED" w14:textId="77777777" w:rsidR="008869FE" w:rsidRDefault="008869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D8F34" w14:textId="42FE9302" w:rsidR="00B75235" w:rsidRDefault="00B75235" w:rsidP="00B75235">
    <w:pPr>
      <w:pStyle w:val="Fuzeile"/>
    </w:pPr>
    <w:r>
      <w:t>Version 1, Stand Januar 2023</w:t>
    </w:r>
    <w:sdt>
      <w:sdtPr>
        <w:id w:val="-2042739981"/>
        <w:docPartObj>
          <w:docPartGallery w:val="Page Numbers (Bottom of Page)"/>
          <w:docPartUnique/>
        </w:docPartObj>
      </w:sdtPr>
      <w:sdtEndPr/>
      <w:sdtContent>
        <w:r>
          <w:tab/>
        </w:r>
        <w:r>
          <w:tab/>
        </w:r>
        <w:r>
          <w:fldChar w:fldCharType="begin"/>
        </w:r>
        <w:r>
          <w:instrText>PAGE   \* MERGEFORMAT</w:instrText>
        </w:r>
        <w:r>
          <w:fldChar w:fldCharType="separate"/>
        </w:r>
        <w:r w:rsidR="008869FE">
          <w:rPr>
            <w:noProof/>
          </w:rPr>
          <w:t>3</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EF373" w14:textId="77777777" w:rsidR="008869FE" w:rsidRDefault="008869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45B30" w14:textId="77777777" w:rsidR="00B75235" w:rsidRDefault="00B75235" w:rsidP="00B75235">
      <w:pPr>
        <w:spacing w:after="0" w:line="240" w:lineRule="auto"/>
      </w:pPr>
      <w:r>
        <w:separator/>
      </w:r>
    </w:p>
  </w:footnote>
  <w:footnote w:type="continuationSeparator" w:id="0">
    <w:p w14:paraId="4CDE555C" w14:textId="77777777" w:rsidR="00B75235" w:rsidRDefault="00B75235" w:rsidP="00B75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A5ADF" w14:textId="77777777" w:rsidR="008869FE" w:rsidRDefault="00886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CC00B" w14:textId="77777777" w:rsidR="008869FE" w:rsidRDefault="008869F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7C8BC" w14:textId="77777777" w:rsidR="008869FE" w:rsidRDefault="008869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46E59"/>
    <w:multiLevelType w:val="hybridMultilevel"/>
    <w:tmpl w:val="125EF5E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DB1"/>
    <w:rsid w:val="00100D89"/>
    <w:rsid w:val="00156142"/>
    <w:rsid w:val="001740DA"/>
    <w:rsid w:val="001F0840"/>
    <w:rsid w:val="00305F1A"/>
    <w:rsid w:val="00382B65"/>
    <w:rsid w:val="003B3CE6"/>
    <w:rsid w:val="003D47CC"/>
    <w:rsid w:val="00405ECE"/>
    <w:rsid w:val="0048055F"/>
    <w:rsid w:val="004F4593"/>
    <w:rsid w:val="00513910"/>
    <w:rsid w:val="00546DB1"/>
    <w:rsid w:val="00642D72"/>
    <w:rsid w:val="00646C47"/>
    <w:rsid w:val="00672F54"/>
    <w:rsid w:val="006A0DDF"/>
    <w:rsid w:val="007C6D1D"/>
    <w:rsid w:val="00862589"/>
    <w:rsid w:val="008869FE"/>
    <w:rsid w:val="009577B7"/>
    <w:rsid w:val="00966BE8"/>
    <w:rsid w:val="00987A9E"/>
    <w:rsid w:val="009D2BDA"/>
    <w:rsid w:val="00A8030E"/>
    <w:rsid w:val="00B02B46"/>
    <w:rsid w:val="00B75235"/>
    <w:rsid w:val="00C176CE"/>
    <w:rsid w:val="00C45C69"/>
    <w:rsid w:val="00CA31E4"/>
    <w:rsid w:val="00CB48C9"/>
    <w:rsid w:val="00CC6D80"/>
    <w:rsid w:val="00D947A5"/>
    <w:rsid w:val="00E30C4A"/>
    <w:rsid w:val="00EF0635"/>
    <w:rsid w:val="00F343C0"/>
    <w:rsid w:val="00F65A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D3BC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CC6D80"/>
    <w:pPr>
      <w:autoSpaceDE w:val="0"/>
      <w:autoSpaceDN w:val="0"/>
      <w:adjustRightInd w:val="0"/>
      <w:spacing w:after="0" w:line="240" w:lineRule="auto"/>
    </w:pPr>
    <w:rPr>
      <w:rFonts w:ascii="Cambria" w:hAnsi="Cambria" w:cs="Cambria"/>
      <w:color w:val="000000"/>
      <w:sz w:val="24"/>
      <w:szCs w:val="24"/>
    </w:rPr>
  </w:style>
  <w:style w:type="paragraph" w:styleId="Listenabsatz">
    <w:name w:val="List Paragraph"/>
    <w:basedOn w:val="Standard"/>
    <w:uiPriority w:val="34"/>
    <w:qFormat/>
    <w:rsid w:val="001F0840"/>
    <w:pPr>
      <w:ind w:left="720"/>
      <w:contextualSpacing/>
    </w:pPr>
  </w:style>
  <w:style w:type="paragraph" w:styleId="berarbeitung">
    <w:name w:val="Revision"/>
    <w:hidden/>
    <w:uiPriority w:val="99"/>
    <w:semiHidden/>
    <w:rsid w:val="00F65AC5"/>
    <w:pPr>
      <w:spacing w:after="0" w:line="240" w:lineRule="auto"/>
    </w:pPr>
  </w:style>
  <w:style w:type="paragraph" w:styleId="Sprechblasentext">
    <w:name w:val="Balloon Text"/>
    <w:basedOn w:val="Standard"/>
    <w:link w:val="SprechblasentextZchn"/>
    <w:uiPriority w:val="99"/>
    <w:semiHidden/>
    <w:unhideWhenUsed/>
    <w:rsid w:val="00F65AC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5AC5"/>
    <w:rPr>
      <w:rFonts w:ascii="Segoe UI" w:hAnsi="Segoe UI" w:cs="Segoe UI"/>
      <w:sz w:val="18"/>
      <w:szCs w:val="18"/>
    </w:rPr>
  </w:style>
  <w:style w:type="paragraph" w:styleId="Kopfzeile">
    <w:name w:val="header"/>
    <w:basedOn w:val="Standard"/>
    <w:link w:val="KopfzeileZchn"/>
    <w:uiPriority w:val="99"/>
    <w:unhideWhenUsed/>
    <w:rsid w:val="00B752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5235"/>
  </w:style>
  <w:style w:type="paragraph" w:styleId="Fuzeile">
    <w:name w:val="footer"/>
    <w:basedOn w:val="Standard"/>
    <w:link w:val="FuzeileZchn"/>
    <w:uiPriority w:val="99"/>
    <w:unhideWhenUsed/>
    <w:rsid w:val="00B7523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5235"/>
  </w:style>
  <w:style w:type="character" w:styleId="Kommentarzeichen">
    <w:name w:val="annotation reference"/>
    <w:basedOn w:val="Absatz-Standardschriftart"/>
    <w:uiPriority w:val="99"/>
    <w:semiHidden/>
    <w:unhideWhenUsed/>
    <w:rsid w:val="00156142"/>
    <w:rPr>
      <w:sz w:val="16"/>
      <w:szCs w:val="16"/>
    </w:rPr>
  </w:style>
  <w:style w:type="paragraph" w:styleId="Kommentartext">
    <w:name w:val="annotation text"/>
    <w:basedOn w:val="Standard"/>
    <w:link w:val="KommentartextZchn"/>
    <w:uiPriority w:val="99"/>
    <w:semiHidden/>
    <w:unhideWhenUsed/>
    <w:rsid w:val="0015614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56142"/>
    <w:rPr>
      <w:sz w:val="20"/>
      <w:szCs w:val="20"/>
    </w:rPr>
  </w:style>
  <w:style w:type="paragraph" w:styleId="Kommentarthema">
    <w:name w:val="annotation subject"/>
    <w:basedOn w:val="Kommentartext"/>
    <w:next w:val="Kommentartext"/>
    <w:link w:val="KommentarthemaZchn"/>
    <w:uiPriority w:val="99"/>
    <w:semiHidden/>
    <w:unhideWhenUsed/>
    <w:rsid w:val="00156142"/>
    <w:rPr>
      <w:b/>
      <w:bCs/>
    </w:rPr>
  </w:style>
  <w:style w:type="character" w:customStyle="1" w:styleId="KommentarthemaZchn">
    <w:name w:val="Kommentarthema Zchn"/>
    <w:basedOn w:val="KommentartextZchn"/>
    <w:link w:val="Kommentarthema"/>
    <w:uiPriority w:val="99"/>
    <w:semiHidden/>
    <w:rsid w:val="001561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4636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2023-03-29T09:17:00Z</dcterms:created>
  <dcterms:modified xsi:type="dcterms:W3CDTF">2023-03-29T09:18:00Z</dcterms:modified>
</cp:coreProperties>
</file>