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127ED" w14:textId="77777777" w:rsidR="0029533F" w:rsidRDefault="00D43277" w:rsidP="00E62AD2">
      <w:pPr>
        <w:pStyle w:val="Pagedecouverture"/>
      </w:pPr>
      <w:r>
        <w:pict w14:anchorId="0BA64F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4910BCA4-227E-427E-B8EC-A6A1CA441F2B" style="width:455.65pt;height:399.2pt">
            <v:imagedata r:id="rId8" o:title=""/>
          </v:shape>
        </w:pict>
      </w:r>
    </w:p>
    <w:p w14:paraId="1735A4AA" w14:textId="77777777" w:rsidR="00E62AD2" w:rsidRPr="00922C91" w:rsidRDefault="00E62AD2">
      <w:pPr>
        <w:sectPr w:rsidR="00E62AD2" w:rsidRPr="00922C91" w:rsidSect="00E62AD2">
          <w:footerReference w:type="default" r:id="rId9"/>
          <w:pgSz w:w="11907" w:h="16839"/>
          <w:pgMar w:top="1134" w:right="1417" w:bottom="1134" w:left="1417" w:header="709" w:footer="709" w:gutter="0"/>
          <w:pgNumType w:start="0"/>
          <w:cols w:space="720"/>
          <w:docGrid w:linePitch="360"/>
        </w:sectPr>
      </w:pPr>
    </w:p>
    <w:p w14:paraId="7FFAC115" w14:textId="77777777" w:rsidR="00E62AD2" w:rsidRPr="00922C91" w:rsidRDefault="00E62AD2" w:rsidP="00E62AD2">
      <w:pPr>
        <w:pStyle w:val="Typedudocument"/>
      </w:pPr>
      <w:r w:rsidRPr="00E62AD2">
        <w:lastRenderedPageBreak/>
        <w:t>COMMISSION IMPLEMENTING REGULATION (EU) …/...</w:t>
      </w:r>
    </w:p>
    <w:p w14:paraId="51CE2CBA" w14:textId="77777777" w:rsidR="00E62AD2" w:rsidRPr="00922C91" w:rsidRDefault="00E62AD2" w:rsidP="00E62AD2">
      <w:pPr>
        <w:pStyle w:val="Datedadoption"/>
      </w:pPr>
      <w:r w:rsidRPr="00E62AD2">
        <w:t xml:space="preserve">of </w:t>
      </w:r>
      <w:r w:rsidRPr="00E62AD2">
        <w:rPr>
          <w:rStyle w:val="Marker2"/>
        </w:rPr>
        <w:t>XXX</w:t>
      </w:r>
    </w:p>
    <w:p w14:paraId="6D96BD33" w14:textId="77777777" w:rsidR="00E62AD2" w:rsidRPr="00922C91" w:rsidRDefault="00E62AD2" w:rsidP="00E62AD2">
      <w:pPr>
        <w:pStyle w:val="Titreobjet"/>
      </w:pPr>
      <w:r w:rsidRPr="00E62AD2">
        <w:t>amending Commission Implementing Regulation (EU) 2022/2346 as regards the transitional provisions for certain products without an intended medical purpose listed in Annex XVI of Regulation (EU) 2017/745</w:t>
      </w:r>
    </w:p>
    <w:p w14:paraId="4AE5415E" w14:textId="77777777" w:rsidR="00E62AD2" w:rsidRPr="00E62AD2" w:rsidRDefault="00E62AD2" w:rsidP="00E62AD2">
      <w:pPr>
        <w:pStyle w:val="IntrtEEE"/>
      </w:pPr>
      <w:r w:rsidRPr="00E62AD2">
        <w:t>(Text with EEA relevance)</w:t>
      </w:r>
    </w:p>
    <w:p w14:paraId="58098618" w14:textId="77777777" w:rsidR="00E62AD2" w:rsidRPr="00922C91" w:rsidRDefault="00E62AD2" w:rsidP="004E1EF9">
      <w:pPr>
        <w:pStyle w:val="Institutionquiagit"/>
      </w:pPr>
      <w:r w:rsidRPr="00922C91">
        <w:t>THE EUROPEAN COMMISSION,</w:t>
      </w:r>
    </w:p>
    <w:p w14:paraId="006A237C" w14:textId="77777777" w:rsidR="00E62AD2" w:rsidRPr="00922C91" w:rsidRDefault="00E62AD2" w:rsidP="004E1EF9">
      <w:r w:rsidRPr="00922C91">
        <w:rPr>
          <w:color w:val="000000"/>
        </w:rPr>
        <w:t>Having regard to the Treaty on the Functioning of the European Union</w:t>
      </w:r>
      <w:r w:rsidRPr="00922C91">
        <w:t>,</w:t>
      </w:r>
    </w:p>
    <w:p w14:paraId="02DFFA95" w14:textId="77777777" w:rsidR="00E62AD2" w:rsidRDefault="00E62AD2" w:rsidP="00E62AD2">
      <w:r w:rsidRPr="00922C91">
        <w:t xml:space="preserve">Having regard to </w:t>
      </w:r>
      <w:r w:rsidRPr="00E62AD2">
        <w:t xml:space="preserve">Regulation (EU) 2017/745 of the European Parliament and of the Council of 5 April 2017on medical devices, amending Directive 2001/83/EC, Regulation (EC) No 178/2002 and Regulation (EC) No 1223/2009 and repealing Council Directives 90/385/EEC and 93/42/EEC </w:t>
      </w:r>
      <w:r w:rsidRPr="00E62AD2">
        <w:footnoteReference w:id="1"/>
      </w:r>
      <w:r w:rsidRPr="00E62AD2">
        <w:t>, and in particular Article 1(2), in conjunction with Article 9(1), thereof</w:t>
      </w:r>
      <w:r>
        <w:t>,</w:t>
      </w:r>
    </w:p>
    <w:p w14:paraId="659CD1E3" w14:textId="77777777" w:rsidR="00E62AD2" w:rsidRPr="00922C91" w:rsidRDefault="00E62AD2" w:rsidP="004E1EF9">
      <w:r w:rsidRPr="00922C91">
        <w:t>Whereas:</w:t>
      </w:r>
    </w:p>
    <w:p w14:paraId="4C2CD9CD" w14:textId="156CD720" w:rsidR="00E62AD2" w:rsidRPr="00922C91" w:rsidRDefault="00434C46" w:rsidP="00102E46">
      <w:pPr>
        <w:pStyle w:val="Considrant"/>
      </w:pPr>
      <w:r>
        <w:t xml:space="preserve">Commission Implementing Regulation (EU) 2022/2346 </w:t>
      </w:r>
      <w:r w:rsidRPr="00434C46">
        <w:t xml:space="preserve">laying down common specifications for the groups of products without an intended medical purpose listed in Annex XVI to Regulation (EU) 2017/745 </w:t>
      </w:r>
      <w:r>
        <w:t>establish</w:t>
      </w:r>
      <w:r w:rsidR="004D7781">
        <w:t>es</w:t>
      </w:r>
      <w:r>
        <w:t xml:space="preserve"> transitional provisions for </w:t>
      </w:r>
      <w:r w:rsidR="004D7781">
        <w:t xml:space="preserve">certain </w:t>
      </w:r>
      <w:r>
        <w:t xml:space="preserve">products </w:t>
      </w:r>
      <w:r w:rsidR="004D7781">
        <w:t>covered by that Regulation</w:t>
      </w:r>
      <w:r w:rsidR="00102E46">
        <w:t>, s</w:t>
      </w:r>
      <w:r w:rsidR="004D7781">
        <w:t xml:space="preserve">uch </w:t>
      </w:r>
      <w:r w:rsidR="00102E46">
        <w:t xml:space="preserve">as </w:t>
      </w:r>
      <w:r w:rsidR="004D7781">
        <w:t xml:space="preserve">products for which </w:t>
      </w:r>
      <w:r w:rsidR="004D7781" w:rsidRPr="004D7781">
        <w:t xml:space="preserve">clinical investigations are performed </w:t>
      </w:r>
      <w:r w:rsidR="004D7781">
        <w:t xml:space="preserve">or for which </w:t>
      </w:r>
      <w:r w:rsidR="004D7781" w:rsidRPr="004D7781">
        <w:t>a notified body has to be involved in the conformity assessment procedure</w:t>
      </w:r>
      <w:r w:rsidR="004D7781">
        <w:t xml:space="preserve">. </w:t>
      </w:r>
      <w:r w:rsidR="00102E46">
        <w:t xml:space="preserve">Products </w:t>
      </w:r>
      <w:r w:rsidR="00102E46" w:rsidRPr="00102E46">
        <w:t xml:space="preserve">covered by a certificate issued by a notified body in accordance with Directive 93/42/EEC </w:t>
      </w:r>
      <w:r w:rsidR="00102E46">
        <w:t xml:space="preserve">are </w:t>
      </w:r>
      <w:r w:rsidR="00F278D2">
        <w:t>also</w:t>
      </w:r>
      <w:r w:rsidR="00102E46">
        <w:t xml:space="preserve"> </w:t>
      </w:r>
      <w:r w:rsidR="009D620D">
        <w:t>c</w:t>
      </w:r>
      <w:r w:rsidR="009D620D">
        <w:t>onsidere</w:t>
      </w:r>
      <w:r w:rsidR="009D620D">
        <w:t>d</w:t>
      </w:r>
      <w:r w:rsidR="00102E46">
        <w:t xml:space="preserve">. For all those </w:t>
      </w:r>
      <w:r w:rsidR="009D620D">
        <w:t>products</w:t>
      </w:r>
      <w:r w:rsidR="00102E46">
        <w:t xml:space="preserve">, the transition </w:t>
      </w:r>
      <w:r w:rsidR="00F278D2">
        <w:t>can</w:t>
      </w:r>
      <w:r w:rsidR="00102E46">
        <w:t>not be completed in six months.</w:t>
      </w:r>
    </w:p>
    <w:p w14:paraId="6FAC6104" w14:textId="1F82424F" w:rsidR="00B9735C" w:rsidRDefault="00102E46" w:rsidP="00F278D2">
      <w:pPr>
        <w:pStyle w:val="Considrant"/>
      </w:pPr>
      <w:r>
        <w:t xml:space="preserve">Regulation </w:t>
      </w:r>
      <w:r w:rsidR="00902DE1">
        <w:t>(EU) 2023/XXX</w:t>
      </w:r>
      <w:r w:rsidR="00902DE1">
        <w:rPr>
          <w:rStyle w:val="FootnoteReference"/>
        </w:rPr>
        <w:footnoteReference w:id="2"/>
      </w:r>
      <w:r w:rsidR="00902DE1">
        <w:t xml:space="preserve"> </w:t>
      </w:r>
      <w:r>
        <w:t>amended Regulation (EU) 2017/745 extending the duration of the transitional periods and adding conditions to be fulfilled to benefit from those transitional periods</w:t>
      </w:r>
      <w:r w:rsidR="00E62AD2" w:rsidRPr="00922C91">
        <w:t>.</w:t>
      </w:r>
      <w:r>
        <w:t xml:space="preserve"> The end</w:t>
      </w:r>
      <w:r w:rsidR="009D620D">
        <w:t xml:space="preserve">ing date </w:t>
      </w:r>
      <w:r>
        <w:t>of the transitional periods has been moved from 26</w:t>
      </w:r>
      <w:r w:rsidR="00B9735C">
        <w:t xml:space="preserve"> </w:t>
      </w:r>
      <w:r>
        <w:t>May 2024 to 31 December 2027 or 31 December 2028, depending on the risk class of the device.</w:t>
      </w:r>
      <w:r w:rsidR="00B9735C">
        <w:t xml:space="preserve"> </w:t>
      </w:r>
      <w:r w:rsidR="00F278D2" w:rsidRPr="00F278D2">
        <w:t>The extension reduces the risk of shortages of devices covered by certificates issued under Directive 90/385/EEC or Directive 93/42/EEC and allows notified bodies to build up sufficient capacity to carry out the conformity assessment procedures</w:t>
      </w:r>
      <w:r w:rsidR="00B9735C">
        <w:t>.</w:t>
      </w:r>
    </w:p>
    <w:p w14:paraId="4312C499" w14:textId="77777777" w:rsidR="00B9735C" w:rsidRPr="00922C91" w:rsidRDefault="004D3702" w:rsidP="00B9735C">
      <w:pPr>
        <w:pStyle w:val="Considrant"/>
      </w:pPr>
      <w:r>
        <w:t xml:space="preserve">To provide legal certainty for economic operators, transitional provisions for products covered by </w:t>
      </w:r>
      <w:r w:rsidRPr="00102E46">
        <w:t>a certificate issued by a notified body in accordance with Directive 93/42/EEC</w:t>
      </w:r>
      <w:r>
        <w:t xml:space="preserve"> established in Regulation (EU) 2022/2346 should be consistent with those established in the amended Regulation (EU) 2017/745. </w:t>
      </w:r>
      <w:r w:rsidR="005A35F0">
        <w:t>Duration of transitional periods, deadlines and a</w:t>
      </w:r>
      <w:r>
        <w:t>pplicable conditions should be consistent.</w:t>
      </w:r>
    </w:p>
    <w:p w14:paraId="072D2EE0" w14:textId="400E6960" w:rsidR="00C60302" w:rsidRDefault="005A35F0" w:rsidP="00D93917">
      <w:pPr>
        <w:pStyle w:val="Considrant"/>
      </w:pPr>
      <w:r>
        <w:t xml:space="preserve">To avoid to increase the risk of shortages of devices, transitional provisions for products for which </w:t>
      </w:r>
      <w:r w:rsidRPr="004D7781">
        <w:t xml:space="preserve">clinical investigations are performed </w:t>
      </w:r>
      <w:r>
        <w:t xml:space="preserve">or for which </w:t>
      </w:r>
      <w:r w:rsidRPr="004D7781">
        <w:t>a notified body has to be involved in the conformity assessment procedure</w:t>
      </w:r>
      <w:r>
        <w:t xml:space="preserve"> should be extended to reduce as much as possible the overlapping with conformity assessments of medical </w:t>
      </w:r>
      <w:r>
        <w:lastRenderedPageBreak/>
        <w:t xml:space="preserve">devices covered by certificates issued under Directive 90/385/EEC or Directive 93/42/EEC. </w:t>
      </w:r>
    </w:p>
    <w:p w14:paraId="6B6BFFCB" w14:textId="77777777" w:rsidR="00434C46" w:rsidRDefault="00434C46" w:rsidP="00E62AD2">
      <w:pPr>
        <w:pStyle w:val="Considrant"/>
      </w:pPr>
      <w:r>
        <w:t>Commission Implementing Regulation (EU) 2022/2346 should be therefore amended accordingly.</w:t>
      </w:r>
    </w:p>
    <w:p w14:paraId="29410655" w14:textId="77777777" w:rsidR="00E62AD2" w:rsidRDefault="00E62AD2" w:rsidP="00E62AD2">
      <w:pPr>
        <w:pStyle w:val="Considrant"/>
      </w:pPr>
      <w:r w:rsidRPr="00E62AD2">
        <w:t>The Medical Device Coordination Group has been consulted</w:t>
      </w:r>
      <w:r>
        <w:t>.</w:t>
      </w:r>
    </w:p>
    <w:p w14:paraId="3E9CC0D2" w14:textId="77777777" w:rsidR="00E62AD2" w:rsidRDefault="00E62AD2" w:rsidP="00E62AD2">
      <w:pPr>
        <w:pStyle w:val="Considrant"/>
      </w:pPr>
      <w:r w:rsidRPr="00E62AD2">
        <w:t>The measures provided for in this Regulation are in accordance with the opinion of the Committee on Medical Devices</w:t>
      </w:r>
      <w:r>
        <w:t>,</w:t>
      </w:r>
    </w:p>
    <w:p w14:paraId="1E9E1F3E" w14:textId="77777777" w:rsidR="009D36B9" w:rsidRPr="00922C91" w:rsidRDefault="009D36B9" w:rsidP="009D36B9">
      <w:pPr>
        <w:pStyle w:val="Considrant"/>
        <w:numPr>
          <w:ilvl w:val="0"/>
          <w:numId w:val="0"/>
        </w:numPr>
      </w:pPr>
    </w:p>
    <w:p w14:paraId="33215707" w14:textId="77777777" w:rsidR="00E62AD2" w:rsidRPr="00922C91" w:rsidRDefault="00E62AD2" w:rsidP="004E1EF9">
      <w:pPr>
        <w:pStyle w:val="Formuledadoption"/>
      </w:pPr>
      <w:r w:rsidRPr="00922C91">
        <w:t>HAS ADOPTED THIS REGULATION:</w:t>
      </w:r>
    </w:p>
    <w:p w14:paraId="211488A7" w14:textId="77777777" w:rsidR="00E62AD2" w:rsidRPr="00922C91" w:rsidRDefault="00E62AD2" w:rsidP="00597B28">
      <w:pPr>
        <w:pStyle w:val="Titrearticle"/>
      </w:pPr>
      <w:r w:rsidRPr="00597B28">
        <w:t>Article</w:t>
      </w:r>
      <w:r w:rsidRPr="00922C91">
        <w:t xml:space="preserve"> 1</w:t>
      </w:r>
    </w:p>
    <w:p w14:paraId="2BCB31BB" w14:textId="2E9E15FE" w:rsidR="00E62AD2" w:rsidRDefault="009D620D" w:rsidP="004E1EF9">
      <w:r>
        <w:t xml:space="preserve">Regulation (EU) 2022/2346 </w:t>
      </w:r>
      <w:r>
        <w:t>is amended as follows:</w:t>
      </w:r>
    </w:p>
    <w:p w14:paraId="17A4801A" w14:textId="3C4A673C" w:rsidR="009D620D" w:rsidRDefault="009D620D" w:rsidP="009D620D">
      <w:pPr>
        <w:pStyle w:val="NumPar1"/>
      </w:pPr>
      <w:r>
        <w:t>Article 2 is amended as follows:</w:t>
      </w:r>
    </w:p>
    <w:p w14:paraId="4C196F1F" w14:textId="58DBB978" w:rsidR="002658A0" w:rsidRDefault="002658A0" w:rsidP="002658A0">
      <w:pPr>
        <w:pStyle w:val="Point1letter"/>
      </w:pPr>
      <w:r>
        <w:t>in the first subparagraph of paragraph 1, the date ‘22 June 2028’ is replaced by ‘31 December 2029’;</w:t>
      </w:r>
    </w:p>
    <w:p w14:paraId="006709C3" w14:textId="5898517F" w:rsidR="002658A0" w:rsidRDefault="002658A0" w:rsidP="002658A0">
      <w:pPr>
        <w:pStyle w:val="Point1letter"/>
      </w:pPr>
      <w:r>
        <w:t>in the third subparagraph of paragraph 1, the date ‘22 June 2026’ is replaced by ‘31 December 2027’;</w:t>
      </w:r>
    </w:p>
    <w:p w14:paraId="667B5B1D" w14:textId="2E7CAF7F" w:rsidR="002658A0" w:rsidRDefault="002658A0" w:rsidP="002658A0">
      <w:pPr>
        <w:pStyle w:val="Point1letter"/>
      </w:pPr>
      <w:r>
        <w:t>the fourth subparagraph of paragraph 1 is replaced by the following:</w:t>
      </w:r>
    </w:p>
    <w:p w14:paraId="291B9A86" w14:textId="37F1570C" w:rsidR="002658A0" w:rsidRDefault="002658A0" w:rsidP="002658A0">
      <w:pPr>
        <w:pStyle w:val="Text2"/>
      </w:pPr>
      <w:r>
        <w:t>‘</w:t>
      </w:r>
      <w:r>
        <w:t>By way of derogation from the first subparagraph, from 1 January 2028 until 31 December 2029, a product that meets the conditions laid down in that subparagraph may only be placed on the market or put into service, if a written agreement for the performance of the conformity assessment has been signed by the notified body and the manufacturer in accordance with Section 4.3, second subparagraph, of Annex VII to Regulation (EU) 2017/745. In addition, a formal application for that conformity assessment shall be lodged with the notified body in accordance with Section 4.3, first subparagraph, of Annex VII to Regulation (EU) 2017/745 no later than 1 September 2027.</w:t>
      </w:r>
      <w:r>
        <w:t>’;</w:t>
      </w:r>
    </w:p>
    <w:p w14:paraId="5C359D00" w14:textId="10F54B61" w:rsidR="002658A0" w:rsidRDefault="002658A0" w:rsidP="002658A0">
      <w:pPr>
        <w:pStyle w:val="Point1letter"/>
      </w:pPr>
      <w:r>
        <w:t>in the first subparagraph of paragraph 2, the date ‘22 June 2025’ is replaced by ‘31 December 2028’;</w:t>
      </w:r>
    </w:p>
    <w:p w14:paraId="45DEF6DB" w14:textId="7E45474B" w:rsidR="002658A0" w:rsidRDefault="002658A0" w:rsidP="002658A0">
      <w:pPr>
        <w:pStyle w:val="Point1letter"/>
      </w:pPr>
      <w:r>
        <w:t xml:space="preserve">the </w:t>
      </w:r>
      <w:r>
        <w:t>second</w:t>
      </w:r>
      <w:r>
        <w:t xml:space="preserve"> subparagraph of paragraph </w:t>
      </w:r>
      <w:r>
        <w:t>2</w:t>
      </w:r>
      <w:r>
        <w:t xml:space="preserve"> is replaced by the following:</w:t>
      </w:r>
    </w:p>
    <w:p w14:paraId="2D597D97" w14:textId="694D39F3" w:rsidR="002658A0" w:rsidRDefault="002658A0" w:rsidP="002658A0">
      <w:pPr>
        <w:pStyle w:val="Text2"/>
      </w:pPr>
      <w:r>
        <w:t>‘</w:t>
      </w:r>
      <w:r w:rsidRPr="002658A0">
        <w:t>By way of derogation from the first subparagraph, from 1 January 2027 until 31 December 2028, a product that meets the conditions laid down in that subparagraph may only be placed on the market or put into service, if a written agreement for the performance of the conformity assessment has been signed by the notified body and the manufacturer in accordance with Section 4.3, second subparagraph, of Annex VII to Regulation (EU) 2017/745. In addition, a formal application for that conformity assessment shall be lodged with the notified body in accordance with Section 4.3, first subparagraph, of Annex VII to Regulation (EU) 2017/745 no later than 1 September 2026.</w:t>
      </w:r>
      <w:r>
        <w:t>’;</w:t>
      </w:r>
    </w:p>
    <w:p w14:paraId="52B510CB" w14:textId="2D90AC82" w:rsidR="002658A0" w:rsidRDefault="002658A0" w:rsidP="002658A0">
      <w:pPr>
        <w:pStyle w:val="Point1letter"/>
      </w:pPr>
      <w:r>
        <w:t>paragraph 3 is replaced by the following:</w:t>
      </w:r>
    </w:p>
    <w:p w14:paraId="2C3D4CB8" w14:textId="221DD04C" w:rsidR="002658A0" w:rsidRDefault="002658A0" w:rsidP="00597B28">
      <w:pPr>
        <w:pStyle w:val="Text2"/>
      </w:pPr>
      <w:r>
        <w:t>‘</w:t>
      </w:r>
      <w:r w:rsidR="00597B28">
        <w:t xml:space="preserve">3. </w:t>
      </w:r>
      <w:r>
        <w:t>A product to which this Regulation applies and which is covered by a certificate issued by a notified body in accordance with Directive 93/42/EEC that was valid on 26 May 2021 may be placed on the market or put into service until the dates laid down in point (b) of Article 120(3) of Regulation (EU) 2017/745, selected on the basis of the product risk class, provided that the conditions set out in Regulation (EU) 2017/745, points (a) or (b) of the second subparagraph of Article 120(2) and points (d), (e) and (f) of Article 120(3) thereof are met.</w:t>
      </w:r>
    </w:p>
    <w:p w14:paraId="0070DABC" w14:textId="0AAB829B" w:rsidR="002658A0" w:rsidRDefault="002658A0" w:rsidP="002658A0">
      <w:pPr>
        <w:pStyle w:val="Text2"/>
      </w:pPr>
      <w:r>
        <w:t>By way of derogation from the first subparagraph, where the conditions laid down in the second subparagraph of Article 120(2) of Regulation (EU) 2017/745 cannot be met, the product may be placed on the market or put into service until the dates referred to in the first subparagraph, also after the expiry date of the certificate issued by a notified body in accordance with Directive 93/42/EEC, only if after the expiry date of that certificate all the other conditions referred to in the first subparagraph are met.</w:t>
      </w:r>
      <w:r w:rsidR="00597B28">
        <w:t>’.</w:t>
      </w:r>
    </w:p>
    <w:p w14:paraId="70BE23F6" w14:textId="2885C41E" w:rsidR="00597B28" w:rsidRDefault="00597B28" w:rsidP="00597B28">
      <w:pPr>
        <w:pStyle w:val="NumPar1"/>
      </w:pPr>
      <w:r>
        <w:t xml:space="preserve">Article 3 </w:t>
      </w:r>
      <w:r>
        <w:t>is amended as follows:</w:t>
      </w:r>
    </w:p>
    <w:p w14:paraId="2EC180FA" w14:textId="5346FE9D" w:rsidR="00597B28" w:rsidRPr="00597B28" w:rsidRDefault="00597B28" w:rsidP="00597B28">
      <w:pPr>
        <w:pStyle w:val="Point1letter"/>
        <w:numPr>
          <w:ilvl w:val="3"/>
          <w:numId w:val="23"/>
        </w:numPr>
      </w:pPr>
      <w:r>
        <w:t xml:space="preserve">in the second sentence of paragraph 2, the date ‘22 December 2022’ is replaced by </w:t>
      </w:r>
      <w:r w:rsidRPr="00597B28">
        <w:t>… [OP please insert the date – date of entry into force of this Regulation]</w:t>
      </w:r>
      <w:r>
        <w:t>.</w:t>
      </w:r>
    </w:p>
    <w:p w14:paraId="2D3F9C37" w14:textId="3B1A3A55" w:rsidR="00E62AD2" w:rsidRPr="00922C91" w:rsidRDefault="00E62AD2" w:rsidP="004E1EF9">
      <w:pPr>
        <w:pStyle w:val="Titrearticle"/>
      </w:pPr>
      <w:r w:rsidRPr="00922C91">
        <w:t xml:space="preserve">Article </w:t>
      </w:r>
      <w:r w:rsidR="00597B28">
        <w:t>2</w:t>
      </w:r>
    </w:p>
    <w:p w14:paraId="7C58B62E" w14:textId="41B21E0B" w:rsidR="00E62AD2" w:rsidRPr="00922C91" w:rsidRDefault="00E62AD2" w:rsidP="004E1EF9">
      <w:r w:rsidRPr="00922C91">
        <w:t xml:space="preserve">This Regulation shall enter into force on the </w:t>
      </w:r>
      <w:r w:rsidR="00597B28">
        <w:t>twentieth</w:t>
      </w:r>
      <w:r w:rsidRPr="00922C91">
        <w:t xml:space="preserve"> day following that of its publication in the </w:t>
      </w:r>
      <w:r w:rsidRPr="00922C91">
        <w:rPr>
          <w:i/>
        </w:rPr>
        <w:t>Official Journal of the European Union</w:t>
      </w:r>
      <w:r w:rsidRPr="00922C91">
        <w:t>.</w:t>
      </w:r>
    </w:p>
    <w:p w14:paraId="7251F87F" w14:textId="77777777" w:rsidR="00E62AD2" w:rsidRPr="00922C91" w:rsidRDefault="00E62AD2" w:rsidP="004E1EF9">
      <w:pPr>
        <w:pStyle w:val="Applicationdirecte"/>
      </w:pPr>
      <w:r w:rsidRPr="00922C91">
        <w:t>This Regulation shall be binding in its entirety and directly applicable in all Member States.</w:t>
      </w:r>
    </w:p>
    <w:p w14:paraId="4DB70EA8" w14:textId="77777777" w:rsidR="00E62AD2" w:rsidRDefault="00E62AD2" w:rsidP="00E62AD2">
      <w:pPr>
        <w:pStyle w:val="Fait"/>
      </w:pPr>
      <w:r w:rsidRPr="00E62AD2">
        <w:t>Done at Brussels,</w:t>
      </w:r>
      <w:bookmarkStart w:id="0" w:name="_GoBack"/>
      <w:bookmarkEnd w:id="0"/>
    </w:p>
    <w:p w14:paraId="02BA19E1" w14:textId="77777777" w:rsidR="00E62AD2" w:rsidRDefault="00E62AD2" w:rsidP="00E62AD2">
      <w:pPr>
        <w:pStyle w:val="Institutionquisigne"/>
      </w:pPr>
      <w:r w:rsidRPr="00E62AD2">
        <w:tab/>
        <w:t>For the Commission</w:t>
      </w:r>
    </w:p>
    <w:p w14:paraId="387F6DDB" w14:textId="77777777" w:rsidR="00E62AD2" w:rsidRPr="009D36B9" w:rsidRDefault="00E62AD2" w:rsidP="00E62AD2">
      <w:pPr>
        <w:pStyle w:val="Personnequisigne"/>
      </w:pPr>
      <w:r w:rsidRPr="00E62AD2">
        <w:tab/>
        <w:t>The President</w:t>
      </w:r>
      <w:r w:rsidRPr="00E62AD2">
        <w:br/>
      </w:r>
      <w:r w:rsidRPr="009D36B9">
        <w:tab/>
      </w:r>
      <w:r w:rsidR="009D36B9" w:rsidRPr="009D36B9">
        <w:t>Ursula VON DER LEYEN</w:t>
      </w:r>
    </w:p>
    <w:sectPr w:rsidR="00E62AD2" w:rsidRPr="009D36B9" w:rsidSect="00E62AD2">
      <w:footerReference w:type="default" r:id="rId10"/>
      <w:footerReference w:type="first" r:id="rId11"/>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C854D" w14:textId="77777777" w:rsidR="00E62AD2" w:rsidRDefault="00E62AD2" w:rsidP="00E62AD2">
      <w:pPr>
        <w:spacing w:before="0" w:after="0"/>
      </w:pPr>
      <w:r>
        <w:separator/>
      </w:r>
    </w:p>
  </w:endnote>
  <w:endnote w:type="continuationSeparator" w:id="0">
    <w:p w14:paraId="410AD651" w14:textId="77777777" w:rsidR="00E62AD2" w:rsidRDefault="00E62AD2" w:rsidP="00E62AD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6329C" w14:textId="77777777" w:rsidR="00E62AD2" w:rsidRPr="00E62AD2" w:rsidRDefault="00E62AD2" w:rsidP="00E62AD2">
    <w:pPr>
      <w:pStyle w:val="Footer"/>
      <w:rPr>
        <w:rFonts w:ascii="Arial" w:hAnsi="Arial" w:cs="Arial"/>
        <w:b/>
        <w:sz w:val="48"/>
      </w:rPr>
    </w:pPr>
    <w:r w:rsidRPr="00E62AD2">
      <w:rPr>
        <w:rFonts w:ascii="Arial" w:hAnsi="Arial" w:cs="Arial"/>
        <w:b/>
        <w:sz w:val="48"/>
      </w:rPr>
      <w:t>EN</w:t>
    </w:r>
    <w:r w:rsidRPr="00E62AD2">
      <w:rPr>
        <w:rFonts w:ascii="Arial" w:hAnsi="Arial" w:cs="Arial"/>
        <w:b/>
        <w:sz w:val="48"/>
      </w:rPr>
      <w:tab/>
    </w:r>
    <w:r w:rsidRPr="00E62AD2">
      <w:rPr>
        <w:rFonts w:ascii="Arial" w:hAnsi="Arial" w:cs="Arial"/>
        <w:b/>
        <w:sz w:val="48"/>
      </w:rPr>
      <w:tab/>
    </w:r>
    <w:r w:rsidRPr="00E62AD2">
      <w:tab/>
    </w:r>
    <w:r w:rsidRPr="00E62AD2">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97FD1" w14:textId="7FC31DDB" w:rsidR="00E62AD2" w:rsidRPr="00E62AD2" w:rsidRDefault="00E62AD2" w:rsidP="00E62AD2">
    <w:pPr>
      <w:pStyle w:val="Footer"/>
      <w:rPr>
        <w:rFonts w:ascii="Arial" w:hAnsi="Arial" w:cs="Arial"/>
        <w:b/>
        <w:sz w:val="48"/>
      </w:rPr>
    </w:pPr>
    <w:r w:rsidRPr="00E62AD2">
      <w:rPr>
        <w:rFonts w:ascii="Arial" w:hAnsi="Arial" w:cs="Arial"/>
        <w:b/>
        <w:sz w:val="48"/>
      </w:rPr>
      <w:t>EN</w:t>
    </w:r>
    <w:r w:rsidRPr="00E62AD2">
      <w:rPr>
        <w:rFonts w:ascii="Arial" w:hAnsi="Arial" w:cs="Arial"/>
        <w:b/>
        <w:sz w:val="48"/>
      </w:rPr>
      <w:tab/>
    </w:r>
    <w:r>
      <w:fldChar w:fldCharType="begin"/>
    </w:r>
    <w:r>
      <w:instrText xml:space="preserve"> PAGE  \* MERGEFORMAT </w:instrText>
    </w:r>
    <w:r>
      <w:fldChar w:fldCharType="separate"/>
    </w:r>
    <w:r w:rsidR="00597B28">
      <w:rPr>
        <w:noProof/>
      </w:rPr>
      <w:t>3</w:t>
    </w:r>
    <w:r>
      <w:fldChar w:fldCharType="end"/>
    </w:r>
    <w:r>
      <w:tab/>
    </w:r>
    <w:r w:rsidRPr="00E62AD2">
      <w:tab/>
    </w:r>
    <w:r w:rsidRPr="00E62AD2">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A1800" w14:textId="77777777" w:rsidR="00E62AD2" w:rsidRPr="00E62AD2" w:rsidRDefault="00E62AD2" w:rsidP="00E62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251F8" w14:textId="77777777" w:rsidR="00E62AD2" w:rsidRDefault="00E62AD2" w:rsidP="00E62AD2">
      <w:pPr>
        <w:spacing w:before="0" w:after="0"/>
      </w:pPr>
      <w:r>
        <w:separator/>
      </w:r>
    </w:p>
  </w:footnote>
  <w:footnote w:type="continuationSeparator" w:id="0">
    <w:p w14:paraId="348E7BD3" w14:textId="77777777" w:rsidR="00E62AD2" w:rsidRDefault="00E62AD2" w:rsidP="00E62AD2">
      <w:pPr>
        <w:spacing w:before="0" w:after="0"/>
      </w:pPr>
      <w:r>
        <w:continuationSeparator/>
      </w:r>
    </w:p>
  </w:footnote>
  <w:footnote w:id="1">
    <w:p w14:paraId="3375A20A" w14:textId="77777777" w:rsidR="00E62AD2" w:rsidRDefault="00E62AD2" w:rsidP="00E62AD2">
      <w:pPr>
        <w:pStyle w:val="FootnoteText"/>
      </w:pPr>
      <w:r>
        <w:rPr>
          <w:rStyle w:val="FootnoteReference"/>
        </w:rPr>
        <w:footnoteRef/>
      </w:r>
      <w:r>
        <w:tab/>
      </w:r>
      <w:r w:rsidRPr="00E62AD2">
        <w:t>OJ L 117, 5.5.2017, p. 1.</w:t>
      </w:r>
    </w:p>
  </w:footnote>
  <w:footnote w:id="2">
    <w:p w14:paraId="42D63A5E" w14:textId="0BDE7F21" w:rsidR="00902DE1" w:rsidRPr="009D620D" w:rsidRDefault="00902DE1">
      <w:pPr>
        <w:pStyle w:val="FootnoteText"/>
        <w:rPr>
          <w:lang w:val="en-IE"/>
        </w:rPr>
      </w:pPr>
      <w:r>
        <w:rPr>
          <w:rStyle w:val="FootnoteReference"/>
        </w:rPr>
        <w:footnoteRef/>
      </w:r>
      <w:r>
        <w:t xml:space="preserve"> </w:t>
      </w:r>
      <w:r w:rsidR="00E62FAD">
        <w:tab/>
      </w:r>
      <w:r w:rsidR="009D620D">
        <w:t>A</w:t>
      </w:r>
      <w:r w:rsidR="005A0025" w:rsidRPr="009D620D">
        <w:rPr>
          <w:lang w:val="en-IE"/>
        </w:rPr>
        <w:t xml:space="preserve">dd the </w:t>
      </w:r>
      <w:r w:rsidR="009D620D">
        <w:rPr>
          <w:lang w:val="en-IE"/>
        </w:rPr>
        <w:t xml:space="preserve">name and </w:t>
      </w:r>
      <w:r w:rsidR="005A0025" w:rsidRPr="009D620D">
        <w:rPr>
          <w:lang w:val="en-IE"/>
        </w:rPr>
        <w:t xml:space="preserve">reference as soon as the measure will be published on the </w:t>
      </w:r>
      <w:r w:rsidR="005A0025">
        <w:rPr>
          <w:lang w:val="en-IE"/>
        </w:rPr>
        <w:t>OJ.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6E661D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9F04BC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74C55F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Point"/>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5E940CBF"/>
    <w:multiLevelType w:val="multilevel"/>
    <w:tmpl w:val="21FE7234"/>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9" w15:restartNumberingAfterBreak="0">
    <w:nsid w:val="759F206D"/>
    <w:multiLevelType w:val="multilevel"/>
    <w:tmpl w:val="703C4AA2"/>
    <w:name w:val="Default"/>
    <w:lvl w:ilvl="0">
      <w:start w:val="1"/>
      <w:numFmt w:val="decimal"/>
      <w:lvlRestart w:val="0"/>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5"/>
  </w:num>
  <w:num w:numId="2">
    <w:abstractNumId w:val="8"/>
  </w:num>
  <w:num w:numId="3">
    <w:abstractNumId w:val="18"/>
  </w:num>
  <w:num w:numId="4">
    <w:abstractNumId w:val="7"/>
  </w:num>
  <w:num w:numId="5">
    <w:abstractNumId w:val="9"/>
  </w:num>
  <w:num w:numId="6">
    <w:abstractNumId w:val="10"/>
  </w:num>
  <w:num w:numId="7">
    <w:abstractNumId w:val="5"/>
  </w:num>
  <w:num w:numId="8">
    <w:abstractNumId w:val="17"/>
  </w:num>
  <w:num w:numId="9">
    <w:abstractNumId w:val="4"/>
  </w:num>
  <w:num w:numId="10">
    <w:abstractNumId w:val="11"/>
  </w:num>
  <w:num w:numId="11">
    <w:abstractNumId w:val="13"/>
  </w:num>
  <w:num w:numId="12">
    <w:abstractNumId w:val="14"/>
  </w:num>
  <w:num w:numId="13">
    <w:abstractNumId w:val="6"/>
  </w:num>
  <w:num w:numId="14">
    <w:abstractNumId w:val="12"/>
  </w:num>
  <w:num w:numId="15">
    <w:abstractNumId w:val="20"/>
  </w:num>
  <w:num w:numId="16">
    <w:abstractNumId w:val="3"/>
  </w:num>
  <w:num w:numId="17">
    <w:abstractNumId w:val="20"/>
    <w:lvlOverride w:ilvl="0">
      <w:startOverride w:val="1"/>
    </w:lvlOverride>
  </w:num>
  <w:num w:numId="18">
    <w:abstractNumId w:val="2"/>
  </w:num>
  <w:num w:numId="19">
    <w:abstractNumId w:val="1"/>
  </w:num>
  <w:num w:numId="20">
    <w:abstractNumId w:val="0"/>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Status" w:val="Red"/>
    <w:docVar w:name="LW_CORRIGENDUM" w:val="&lt;UNUSED&gt;"/>
    <w:docVar w:name="LW_COVERPAGE_EXISTS" w:val="True"/>
    <w:docVar w:name="LW_COVERPAGE_GUID" w:val="4910BCA4-227E-427E-B8EC-A6A1CA441F2B"/>
    <w:docVar w:name="LW_COVERPAGE_TYPE" w:val="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4"/>
    <w:docVar w:name="LW_ID_DOCSIGNATURE" w:val="SJ-004"/>
    <w:docVar w:name="LW_ID_DOCSTRUCTURE" w:val="COM/AA"/>
    <w:docVar w:name="LW_ID_DOCTYPE" w:val="SJ-004"/>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lt;EMPTY&gt;"/>
    <w:docVar w:name="LW_REF.INST.NEW_TEXT" w:val="(2023)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mending Commission Implementing Regulation (EU) 2022/2346 as regards the transitional provisions for certain products without an intended medical purpose listed in Annex XVI of Regulation (EU) 2017/745"/>
    <w:docVar w:name="LW_TYPE.DOC.CP" w:val="COMMISSION IMPLEMENTING REGULATION (EU) \u8230?/..."/>
  </w:docVars>
  <w:rsids>
    <w:rsidRoot w:val="00E62AD2"/>
    <w:rsid w:val="00102E46"/>
    <w:rsid w:val="001065F5"/>
    <w:rsid w:val="001238EF"/>
    <w:rsid w:val="00197613"/>
    <w:rsid w:val="00233DC7"/>
    <w:rsid w:val="00247779"/>
    <w:rsid w:val="002658A0"/>
    <w:rsid w:val="00285BEE"/>
    <w:rsid w:val="0029533F"/>
    <w:rsid w:val="002B30AF"/>
    <w:rsid w:val="0033344A"/>
    <w:rsid w:val="0042648E"/>
    <w:rsid w:val="00434C46"/>
    <w:rsid w:val="004936D2"/>
    <w:rsid w:val="004D3702"/>
    <w:rsid w:val="004D7781"/>
    <w:rsid w:val="00597B28"/>
    <w:rsid w:val="005A0025"/>
    <w:rsid w:val="005A35F0"/>
    <w:rsid w:val="005B1EB6"/>
    <w:rsid w:val="00685EB3"/>
    <w:rsid w:val="00773331"/>
    <w:rsid w:val="007932EF"/>
    <w:rsid w:val="007E05B0"/>
    <w:rsid w:val="00874D22"/>
    <w:rsid w:val="008A2914"/>
    <w:rsid w:val="008E4D8E"/>
    <w:rsid w:val="00902DE1"/>
    <w:rsid w:val="0090467F"/>
    <w:rsid w:val="009D36B9"/>
    <w:rsid w:val="009D620D"/>
    <w:rsid w:val="00B9735C"/>
    <w:rsid w:val="00C12301"/>
    <w:rsid w:val="00C12F1A"/>
    <w:rsid w:val="00C60302"/>
    <w:rsid w:val="00C83AE6"/>
    <w:rsid w:val="00D100BD"/>
    <w:rsid w:val="00D20381"/>
    <w:rsid w:val="00D43277"/>
    <w:rsid w:val="00D7478C"/>
    <w:rsid w:val="00D93917"/>
    <w:rsid w:val="00DB22B0"/>
    <w:rsid w:val="00DB59CF"/>
    <w:rsid w:val="00E62AD2"/>
    <w:rsid w:val="00E62FAD"/>
    <w:rsid w:val="00F278D2"/>
    <w:rsid w:val="00FC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BA979E"/>
  <w15:docId w15:val="{AF583D5C-70EA-42AA-A859-CA417447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8"/>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2AD2"/>
    <w:pPr>
      <w:tabs>
        <w:tab w:val="center" w:pos="4535"/>
        <w:tab w:val="right" w:pos="9071"/>
      </w:tabs>
      <w:spacing w:before="0"/>
    </w:pPr>
  </w:style>
  <w:style w:type="character" w:customStyle="1" w:styleId="HeaderChar">
    <w:name w:val="Header Char"/>
    <w:basedOn w:val="DefaultParagraphFont"/>
    <w:link w:val="Header"/>
    <w:uiPriority w:val="99"/>
    <w:rsid w:val="00E62AD2"/>
    <w:rPr>
      <w:rFonts w:ascii="Times New Roman" w:hAnsi="Times New Roman" w:cs="Times New Roman"/>
      <w:sz w:val="24"/>
      <w:lang w:val="en-GB"/>
    </w:rPr>
  </w:style>
  <w:style w:type="paragraph" w:styleId="Footer">
    <w:name w:val="footer"/>
    <w:basedOn w:val="Normal"/>
    <w:link w:val="FooterChar"/>
    <w:uiPriority w:val="99"/>
    <w:unhideWhenUsed/>
    <w:rsid w:val="00E62AD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E62AD2"/>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E62AD2"/>
    <w:pPr>
      <w:tabs>
        <w:tab w:val="center" w:pos="7285"/>
        <w:tab w:val="right" w:pos="14003"/>
      </w:tabs>
      <w:spacing w:before="0"/>
    </w:pPr>
  </w:style>
  <w:style w:type="paragraph" w:customStyle="1" w:styleId="FooterLandscape">
    <w:name w:val="FooterLandscape"/>
    <w:basedOn w:val="Normal"/>
    <w:rsid w:val="00E62AD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E62AD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62AD2"/>
    <w:pPr>
      <w:spacing w:before="0"/>
      <w:jc w:val="right"/>
    </w:pPr>
    <w:rPr>
      <w:sz w:val="28"/>
    </w:rPr>
  </w:style>
  <w:style w:type="paragraph" w:customStyle="1" w:styleId="FooterSensitivity">
    <w:name w:val="Footer Sensitivity"/>
    <w:basedOn w:val="Normal"/>
    <w:rsid w:val="00E62AD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
      </w:numPr>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Tiret5">
    <w:name w:val="Tiret 5"/>
    <w:basedOn w:val="Point5"/>
    <w:pPr>
      <w:numPr>
        <w:numId w:val="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
      </w:numPr>
    </w:pPr>
  </w:style>
  <w:style w:type="paragraph" w:customStyle="1" w:styleId="NumPar2">
    <w:name w:val="NumPar 2"/>
    <w:basedOn w:val="Normal"/>
    <w:next w:val="Text1"/>
    <w:pPr>
      <w:numPr>
        <w:ilvl w:val="1"/>
        <w:numId w:val="7"/>
      </w:numPr>
    </w:pPr>
  </w:style>
  <w:style w:type="paragraph" w:customStyle="1" w:styleId="NumPar3">
    <w:name w:val="NumPar 3"/>
    <w:basedOn w:val="Normal"/>
    <w:next w:val="Text1"/>
    <w:pPr>
      <w:numPr>
        <w:ilvl w:val="2"/>
        <w:numId w:val="7"/>
      </w:numPr>
    </w:pPr>
  </w:style>
  <w:style w:type="paragraph" w:customStyle="1" w:styleId="NumPar4">
    <w:name w:val="NumPar 4"/>
    <w:basedOn w:val="Normal"/>
    <w:next w:val="Text1"/>
    <w:pPr>
      <w:numPr>
        <w:ilvl w:val="3"/>
        <w:numId w:val="7"/>
      </w:numPr>
    </w:pPr>
  </w:style>
  <w:style w:type="paragraph" w:customStyle="1" w:styleId="NumPar5">
    <w:name w:val="NumPar 5"/>
    <w:basedOn w:val="Normal"/>
    <w:next w:val="Text2"/>
    <w:pPr>
      <w:numPr>
        <w:ilvl w:val="4"/>
        <w:numId w:val="7"/>
      </w:numPr>
    </w:pPr>
  </w:style>
  <w:style w:type="paragraph" w:customStyle="1" w:styleId="NumPar6">
    <w:name w:val="NumPar 6"/>
    <w:basedOn w:val="Normal"/>
    <w:next w:val="Text2"/>
    <w:pPr>
      <w:numPr>
        <w:ilvl w:val="5"/>
        <w:numId w:val="7"/>
      </w:numPr>
    </w:pPr>
  </w:style>
  <w:style w:type="paragraph" w:customStyle="1" w:styleId="NumPar7">
    <w:name w:val="NumPar 7"/>
    <w:basedOn w:val="Normal"/>
    <w:next w:val="Text2"/>
    <w:pPr>
      <w:numPr>
        <w:ilvl w:val="6"/>
        <w:numId w:val="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9"/>
      </w:numPr>
    </w:pPr>
  </w:style>
  <w:style w:type="paragraph" w:customStyle="1" w:styleId="Point1number">
    <w:name w:val="Point 1 (number)"/>
    <w:basedOn w:val="Normal"/>
    <w:pPr>
      <w:numPr>
        <w:ilvl w:val="2"/>
        <w:numId w:val="9"/>
      </w:numPr>
    </w:pPr>
  </w:style>
  <w:style w:type="paragraph" w:customStyle="1" w:styleId="Point2number">
    <w:name w:val="Point 2 (number)"/>
    <w:basedOn w:val="Normal"/>
    <w:pPr>
      <w:numPr>
        <w:ilvl w:val="4"/>
        <w:numId w:val="9"/>
      </w:numPr>
    </w:pPr>
  </w:style>
  <w:style w:type="paragraph" w:customStyle="1" w:styleId="Point3number">
    <w:name w:val="Point 3 (number)"/>
    <w:basedOn w:val="Normal"/>
    <w:pPr>
      <w:numPr>
        <w:ilvl w:val="6"/>
        <w:numId w:val="9"/>
      </w:numPr>
    </w:pPr>
  </w:style>
  <w:style w:type="paragraph" w:customStyle="1" w:styleId="Point0letter">
    <w:name w:val="Point 0 (letter)"/>
    <w:basedOn w:val="Normal"/>
    <w:pPr>
      <w:numPr>
        <w:ilvl w:val="1"/>
        <w:numId w:val="9"/>
      </w:numPr>
    </w:pPr>
  </w:style>
  <w:style w:type="paragraph" w:customStyle="1" w:styleId="Point1letter">
    <w:name w:val="Point 1 (letter)"/>
    <w:basedOn w:val="Normal"/>
    <w:pPr>
      <w:numPr>
        <w:ilvl w:val="3"/>
        <w:numId w:val="9"/>
      </w:numPr>
    </w:pPr>
  </w:style>
  <w:style w:type="paragraph" w:customStyle="1" w:styleId="Point2letter">
    <w:name w:val="Point 2 (letter)"/>
    <w:basedOn w:val="Normal"/>
    <w:pPr>
      <w:numPr>
        <w:ilvl w:val="5"/>
        <w:numId w:val="9"/>
      </w:numPr>
    </w:pPr>
  </w:style>
  <w:style w:type="paragraph" w:customStyle="1" w:styleId="Point3letter">
    <w:name w:val="Point 3 (letter)"/>
    <w:basedOn w:val="Normal"/>
    <w:pPr>
      <w:numPr>
        <w:ilvl w:val="7"/>
        <w:numId w:val="9"/>
      </w:numPr>
    </w:pPr>
  </w:style>
  <w:style w:type="paragraph" w:customStyle="1" w:styleId="Point4letter">
    <w:name w:val="Point 4 (letter)"/>
    <w:basedOn w:val="Normal"/>
    <w:pPr>
      <w:numPr>
        <w:ilvl w:val="8"/>
        <w:numId w:val="9"/>
      </w:numPr>
    </w:pPr>
  </w:style>
  <w:style w:type="paragraph" w:customStyle="1" w:styleId="Bullet0">
    <w:name w:val="Bullet 0"/>
    <w:basedOn w:val="Normal"/>
    <w:pPr>
      <w:numPr>
        <w:numId w:val="10"/>
      </w:numPr>
    </w:pPr>
  </w:style>
  <w:style w:type="paragraph" w:customStyle="1" w:styleId="Bullet1">
    <w:name w:val="Bullet 1"/>
    <w:basedOn w:val="Normal"/>
    <w:pPr>
      <w:numPr>
        <w:numId w:val="11"/>
      </w:numPr>
    </w:pPr>
  </w:style>
  <w:style w:type="paragraph" w:customStyle="1" w:styleId="Bullet2">
    <w:name w:val="Bullet 2"/>
    <w:basedOn w:val="Normal"/>
    <w:pPr>
      <w:numPr>
        <w:numId w:val="12"/>
      </w:numPr>
    </w:pPr>
  </w:style>
  <w:style w:type="paragraph" w:customStyle="1" w:styleId="Bullet3">
    <w:name w:val="Bullet 3"/>
    <w:basedOn w:val="Normal"/>
    <w:pPr>
      <w:numPr>
        <w:numId w:val="13"/>
      </w:numPr>
    </w:pPr>
  </w:style>
  <w:style w:type="paragraph" w:customStyle="1" w:styleId="Bullet4">
    <w:name w:val="Bullet 4"/>
    <w:basedOn w:val="Normal"/>
    <w:pPr>
      <w:numPr>
        <w:numId w:val="1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ListBullet">
    <w:name w:val="List Bullet"/>
    <w:basedOn w:val="Normal"/>
    <w:rsid w:val="00E62AD2"/>
    <w:pPr>
      <w:numPr>
        <w:numId w:val="16"/>
      </w:numPr>
    </w:pPr>
    <w:rPr>
      <w:rFonts w:eastAsia="Times New Roman"/>
      <w:lang w:eastAsia="en-GB"/>
    </w:rPr>
  </w:style>
  <w:style w:type="paragraph" w:styleId="ListBullet2">
    <w:name w:val="List Bullet 2"/>
    <w:basedOn w:val="Normal"/>
    <w:uiPriority w:val="99"/>
    <w:semiHidden/>
    <w:unhideWhenUsed/>
    <w:rsid w:val="00C60302"/>
    <w:pPr>
      <w:numPr>
        <w:numId w:val="18"/>
      </w:numPr>
      <w:contextualSpacing/>
    </w:pPr>
  </w:style>
  <w:style w:type="paragraph" w:styleId="ListBullet3">
    <w:name w:val="List Bullet 3"/>
    <w:basedOn w:val="Normal"/>
    <w:uiPriority w:val="99"/>
    <w:semiHidden/>
    <w:unhideWhenUsed/>
    <w:rsid w:val="00C60302"/>
    <w:pPr>
      <w:numPr>
        <w:numId w:val="19"/>
      </w:numPr>
      <w:contextualSpacing/>
    </w:pPr>
  </w:style>
  <w:style w:type="paragraph" w:styleId="ListBullet4">
    <w:name w:val="List Bullet 4"/>
    <w:basedOn w:val="Normal"/>
    <w:uiPriority w:val="99"/>
    <w:semiHidden/>
    <w:unhideWhenUsed/>
    <w:rsid w:val="00C60302"/>
    <w:pPr>
      <w:numPr>
        <w:numId w:val="20"/>
      </w:numPr>
      <w:contextualSpacing/>
    </w:pPr>
  </w:style>
  <w:style w:type="paragraph" w:styleId="BalloonText">
    <w:name w:val="Balloon Text"/>
    <w:basedOn w:val="Normal"/>
    <w:link w:val="BalloonTextChar"/>
    <w:uiPriority w:val="99"/>
    <w:semiHidden/>
    <w:unhideWhenUsed/>
    <w:rsid w:val="00902DE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DE1"/>
    <w:rPr>
      <w:rFonts w:ascii="Segoe UI" w:hAnsi="Segoe UI" w:cs="Segoe UI"/>
      <w:sz w:val="18"/>
      <w:szCs w:val="18"/>
      <w:lang w:val="en-GB"/>
    </w:rPr>
  </w:style>
  <w:style w:type="character" w:styleId="CommentReference">
    <w:name w:val="annotation reference"/>
    <w:basedOn w:val="DefaultParagraphFont"/>
    <w:uiPriority w:val="99"/>
    <w:semiHidden/>
    <w:unhideWhenUsed/>
    <w:rsid w:val="00E62FAD"/>
    <w:rPr>
      <w:sz w:val="16"/>
      <w:szCs w:val="16"/>
    </w:rPr>
  </w:style>
  <w:style w:type="paragraph" w:styleId="CommentText">
    <w:name w:val="annotation text"/>
    <w:basedOn w:val="Normal"/>
    <w:link w:val="CommentTextChar"/>
    <w:uiPriority w:val="99"/>
    <w:semiHidden/>
    <w:unhideWhenUsed/>
    <w:rsid w:val="00E62FAD"/>
    <w:rPr>
      <w:sz w:val="20"/>
      <w:szCs w:val="20"/>
    </w:rPr>
  </w:style>
  <w:style w:type="character" w:customStyle="1" w:styleId="CommentTextChar">
    <w:name w:val="Comment Text Char"/>
    <w:basedOn w:val="DefaultParagraphFont"/>
    <w:link w:val="CommentText"/>
    <w:uiPriority w:val="99"/>
    <w:semiHidden/>
    <w:rsid w:val="00E62FAD"/>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62FAD"/>
    <w:rPr>
      <w:b/>
      <w:bCs/>
    </w:rPr>
  </w:style>
  <w:style w:type="character" w:customStyle="1" w:styleId="CommentSubjectChar">
    <w:name w:val="Comment Subject Char"/>
    <w:basedOn w:val="CommentTextChar"/>
    <w:link w:val="CommentSubject"/>
    <w:uiPriority w:val="99"/>
    <w:semiHidden/>
    <w:rsid w:val="00E62FAD"/>
    <w:rPr>
      <w:rFonts w:ascii="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D1743BE688E94C86044D04AE88C198" ma:contentTypeVersion="15" ma:contentTypeDescription="Create a new document." ma:contentTypeScope="" ma:versionID="bfc82ee247b811fa12f766157ba67483">
  <xsd:schema xmlns:xsd="http://www.w3.org/2001/XMLSchema" xmlns:xs="http://www.w3.org/2001/XMLSchema" xmlns:p="http://schemas.microsoft.com/office/2006/metadata/properties" xmlns:ns2="b6616f7c-498f-4ed1-bd51-3231bbd3e7f1" xmlns:ns3="b99877e3-b5f6-468e-bd72-e7b51addd53e" targetNamespace="http://schemas.microsoft.com/office/2006/metadata/properties" ma:root="true" ma:fieldsID="cc0d81c900516258347cb120bb7069bf" ns2:_="" ns3:_="">
    <xsd:import namespace="b6616f7c-498f-4ed1-bd51-3231bbd3e7f1"/>
    <xsd:import namespace="b99877e3-b5f6-468e-bd72-e7b51addd5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6f7c-498f-4ed1-bd51-3231bbd3e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dcf462-c6f4-4151-b6c9-8bc7f69719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9877e3-b5f6-468e-bd72-e7b51addd5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76d6a7-b380-4948-86d4-28386c60c41e}" ma:internalName="TaxCatchAll" ma:showField="CatchAllData" ma:web="b99877e3-b5f6-468e-bd72-e7b51addd5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55CFC9-D80F-4897-BB37-B45C710A5027}">
  <ds:schemaRefs>
    <ds:schemaRef ds:uri="http://schemas.openxmlformats.org/officeDocument/2006/bibliography"/>
  </ds:schemaRefs>
</ds:datastoreItem>
</file>

<file path=customXml/itemProps2.xml><?xml version="1.0" encoding="utf-8"?>
<ds:datastoreItem xmlns:ds="http://schemas.openxmlformats.org/officeDocument/2006/customXml" ds:itemID="{4CEF4296-FA7B-4E4F-93F4-98D599380931}"/>
</file>

<file path=customXml/itemProps3.xml><?xml version="1.0" encoding="utf-8"?>
<ds:datastoreItem xmlns:ds="http://schemas.openxmlformats.org/officeDocument/2006/customXml" ds:itemID="{07D2FF84-BD63-4DC2-B9FA-3D31CD71438C}"/>
</file>

<file path=docProps/app.xml><?xml version="1.0" encoding="utf-8"?>
<Properties xmlns="http://schemas.openxmlformats.org/officeDocument/2006/extended-properties" xmlns:vt="http://schemas.openxmlformats.org/officeDocument/2006/docPropsVTypes">
  <Template>COM</Template>
  <TotalTime>30</TotalTime>
  <Pages>4</Pages>
  <Words>1108</Words>
  <Characters>5478</Characters>
  <Application>Microsoft Office Word</Application>
  <DocSecurity>0</DocSecurity>
  <Lines>85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CALLIGARO Gabriele (SANTE)</dc:creator>
  <cp:keywords/>
  <dc:description/>
  <cp:lastModifiedBy>CALLIGARO Gabriele (SANTE)</cp:lastModifiedBy>
  <cp:revision>3</cp:revision>
  <dcterms:created xsi:type="dcterms:W3CDTF">2023-03-16T13:23:00Z</dcterms:created>
  <dcterms:modified xsi:type="dcterms:W3CDTF">2023-03-16T13:55:00Z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8.1, Build 20230124</vt:lpwstr>
  </property>
  <property fmtid="{D5CDD505-2E9C-101B-9397-08002B2CF9AE}" pid="5" name="Created using">
    <vt:lpwstr>LW 8.1, Build 20230124</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DQCStatus">
    <vt:lpwstr>Red (DQC version 03)</vt:lpwstr>
  </property>
</Properties>
</file>