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49"/>
        <w:gridCol w:w="1423"/>
        <w:gridCol w:w="3119"/>
        <w:gridCol w:w="2126"/>
        <w:gridCol w:w="1559"/>
      </w:tblGrid>
      <w:tr w:rsidR="00A65589" w:rsidRPr="00D34E07" w14:paraId="3E0B3D74" w14:textId="77777777" w:rsidTr="00D25606">
        <w:trPr>
          <w:cantSplit/>
          <w:trHeight w:val="435"/>
        </w:trPr>
        <w:tc>
          <w:tcPr>
            <w:tcW w:w="1549" w:type="dxa"/>
            <w:tcBorders>
              <w:bottom w:val="single" w:sz="4" w:space="0" w:color="auto"/>
            </w:tcBorders>
            <w:shd w:val="clear" w:color="auto" w:fill="auto"/>
          </w:tcPr>
          <w:p w14:paraId="39E5FCE0" w14:textId="74077ABA" w:rsidR="00A65589" w:rsidRPr="00D34E07" w:rsidRDefault="00A65589" w:rsidP="00D25606">
            <w:pPr>
              <w:jc w:val="center"/>
              <w:rPr>
                <w:rFonts w:ascii="Calibri" w:eastAsia="Times New Roman" w:hAnsi="Calibri" w:cs="Arial"/>
                <w:lang w:eastAsia="fr-FR"/>
              </w:rPr>
            </w:pPr>
            <w:r w:rsidRPr="00D34E07">
              <w:rPr>
                <w:rFonts w:ascii="Calibri" w:eastAsia="Times New Roman" w:hAnsi="Calibri" w:cs="Arial"/>
                <w:lang w:eastAsia="fr-FR"/>
              </w:rPr>
              <w:t>Editor :</w:t>
            </w:r>
          </w:p>
        </w:tc>
        <w:tc>
          <w:tcPr>
            <w:tcW w:w="1423" w:type="dxa"/>
            <w:tcBorders>
              <w:bottom w:val="single" w:sz="4" w:space="0" w:color="auto"/>
            </w:tcBorders>
            <w:shd w:val="clear" w:color="auto" w:fill="auto"/>
          </w:tcPr>
          <w:p w14:paraId="4722DF76" w14:textId="77777777" w:rsidR="00A65589" w:rsidRPr="00D34E07" w:rsidRDefault="00A65589" w:rsidP="00D25606">
            <w:pPr>
              <w:jc w:val="center"/>
              <w:rPr>
                <w:rFonts w:ascii="Calibri" w:eastAsia="Times New Roman" w:hAnsi="Calibri" w:cs="Arial"/>
                <w:lang w:eastAsia="fr-FR"/>
              </w:rPr>
            </w:pPr>
            <w:r w:rsidRPr="00D34E07">
              <w:rPr>
                <w:b/>
                <w:bCs/>
              </w:rPr>
              <w:t>Team-NB</w:t>
            </w:r>
          </w:p>
        </w:tc>
        <w:tc>
          <w:tcPr>
            <w:tcW w:w="3119" w:type="dxa"/>
            <w:tcBorders>
              <w:bottom w:val="single" w:sz="4" w:space="0" w:color="auto"/>
            </w:tcBorders>
            <w:shd w:val="clear" w:color="auto" w:fill="auto"/>
          </w:tcPr>
          <w:p w14:paraId="78A422B7" w14:textId="4B72D68D" w:rsidR="00A65589" w:rsidRPr="00D34E07" w:rsidRDefault="00A65589" w:rsidP="00D25606">
            <w:pPr>
              <w:spacing w:after="0" w:line="240" w:lineRule="auto"/>
              <w:jc w:val="center"/>
              <w:rPr>
                <w:rFonts w:ascii="Calibri" w:eastAsia="Times New Roman" w:hAnsi="Calibri" w:cs="Arial"/>
                <w:lang w:eastAsia="fr-FR"/>
              </w:rPr>
            </w:pPr>
            <w:r w:rsidRPr="00D34E07">
              <w:rPr>
                <w:rFonts w:ascii="Calibri" w:eastAsia="Times New Roman" w:hAnsi="Calibri" w:cs="Arial"/>
                <w:lang w:eastAsia="fr-FR"/>
              </w:rPr>
              <w:t>Adoption date</w:t>
            </w:r>
          </w:p>
        </w:tc>
        <w:tc>
          <w:tcPr>
            <w:tcW w:w="2126" w:type="dxa"/>
            <w:tcBorders>
              <w:bottom w:val="single" w:sz="4" w:space="0" w:color="auto"/>
            </w:tcBorders>
            <w:shd w:val="clear" w:color="auto" w:fill="auto"/>
          </w:tcPr>
          <w:p w14:paraId="4BD4B766" w14:textId="7CED84D3" w:rsidR="00A65589" w:rsidRPr="00D34E07" w:rsidRDefault="00D25606" w:rsidP="00D25606">
            <w:pPr>
              <w:jc w:val="center"/>
              <w:rPr>
                <w:rFonts w:ascii="Calibri" w:eastAsia="Times New Roman" w:hAnsi="Calibri" w:cs="Arial"/>
                <w:lang w:eastAsia="fr-FR"/>
              </w:rPr>
            </w:pPr>
            <w:r>
              <w:rPr>
                <w:rFonts w:ascii="Calibri" w:eastAsia="Times New Roman" w:hAnsi="Calibri" w:cs="Arial"/>
                <w:lang w:eastAsia="fr-FR"/>
              </w:rPr>
              <w:t>5/10/2022</w:t>
            </w:r>
          </w:p>
        </w:tc>
        <w:tc>
          <w:tcPr>
            <w:tcW w:w="1559" w:type="dxa"/>
            <w:tcBorders>
              <w:bottom w:val="single" w:sz="4" w:space="0" w:color="auto"/>
            </w:tcBorders>
            <w:shd w:val="clear" w:color="auto" w:fill="auto"/>
          </w:tcPr>
          <w:p w14:paraId="3A8C93B4" w14:textId="4444FF4E" w:rsidR="00A65589" w:rsidRPr="00D34E07" w:rsidRDefault="00A65589" w:rsidP="00D25606">
            <w:pPr>
              <w:jc w:val="center"/>
              <w:rPr>
                <w:rFonts w:ascii="Calibri" w:eastAsia="Times New Roman" w:hAnsi="Calibri" w:cs="Arial"/>
                <w:lang w:eastAsia="fr-FR"/>
              </w:rPr>
            </w:pPr>
            <w:r w:rsidRPr="00D34E07">
              <w:rPr>
                <w:rFonts w:ascii="Calibri" w:eastAsia="Times New Roman" w:hAnsi="Calibri" w:cs="Arial"/>
                <w:lang w:eastAsia="fr-FR"/>
              </w:rPr>
              <w:t xml:space="preserve">Version </w:t>
            </w:r>
            <w:r w:rsidR="00D25606">
              <w:rPr>
                <w:rFonts w:ascii="Calibri" w:eastAsia="Times New Roman" w:hAnsi="Calibri" w:cs="Arial"/>
                <w:lang w:eastAsia="fr-FR"/>
              </w:rPr>
              <w:t>1</w:t>
            </w:r>
          </w:p>
        </w:tc>
      </w:tr>
      <w:tr w:rsidR="00A65589" w:rsidRPr="00D34E07" w14:paraId="40AB7DC1" w14:textId="77777777" w:rsidTr="005F3545">
        <w:trPr>
          <w:cantSplit/>
          <w:trHeight w:val="1391"/>
        </w:trPr>
        <w:tc>
          <w:tcPr>
            <w:tcW w:w="9776" w:type="dxa"/>
            <w:gridSpan w:val="5"/>
            <w:tcBorders>
              <w:top w:val="single" w:sz="4" w:space="0" w:color="auto"/>
              <w:bottom w:val="single" w:sz="4" w:space="0" w:color="auto"/>
            </w:tcBorders>
            <w:shd w:val="clear" w:color="auto" w:fill="auto"/>
            <w:vAlign w:val="center"/>
          </w:tcPr>
          <w:p w14:paraId="43E4EED7" w14:textId="4608C873" w:rsidR="00A65589" w:rsidRPr="00D34E07" w:rsidRDefault="00A65589" w:rsidP="00A65589">
            <w:pPr>
              <w:jc w:val="center"/>
              <w:rPr>
                <w:rFonts w:ascii="Calibri" w:eastAsia="Times New Roman" w:hAnsi="Calibri" w:cs="Arial"/>
                <w:lang w:eastAsia="fr-FR"/>
              </w:rPr>
            </w:pPr>
            <w:r w:rsidRPr="00A65589">
              <w:rPr>
                <w:b/>
                <w:bCs/>
                <w:sz w:val="32"/>
                <w:szCs w:val="32"/>
              </w:rPr>
              <w:t>Data generated from ‘Off-Label’ Use of a device under the EU Medical Device Regulation 2017/745.</w:t>
            </w:r>
          </w:p>
        </w:tc>
      </w:tr>
    </w:tbl>
    <w:p w14:paraId="6F81A5E9" w14:textId="77777777" w:rsidR="007C3E34" w:rsidRDefault="007C3E34"/>
    <w:p w14:paraId="3133A2BC" w14:textId="5BBCDAA4" w:rsidR="00F93B11" w:rsidRDefault="00A65589" w:rsidP="00954880">
      <w:pPr>
        <w:jc w:val="both"/>
      </w:pPr>
      <w:r>
        <w:t xml:space="preserve"> </w:t>
      </w:r>
      <w:r w:rsidR="00F93B11">
        <w:t>‘Off label use’ is mentioned within the Medical Device Regulation (MDR) in Annex XIV Part B, in the context that manufacturers should proactively identify misuse or off-label use of their device through PMCF activities</w:t>
      </w:r>
      <w:r w:rsidR="003A1920">
        <w:t>, h</w:t>
      </w:r>
      <w:r w:rsidR="00954880">
        <w:t xml:space="preserve">owever ‘off label use’ or ‘misuse’ is not defined within the MDR. </w:t>
      </w:r>
    </w:p>
    <w:p w14:paraId="07AF35B2" w14:textId="77777777" w:rsidR="008A1E88" w:rsidRDefault="007E5B73" w:rsidP="00954880">
      <w:pPr>
        <w:jc w:val="both"/>
      </w:pPr>
      <w:r>
        <w:t>Searching</w:t>
      </w:r>
      <w:r w:rsidR="00954880">
        <w:t xml:space="preserve"> the term </w:t>
      </w:r>
      <w:r>
        <w:t>‘</w:t>
      </w:r>
      <w:r w:rsidR="00954880">
        <w:t>off-label use</w:t>
      </w:r>
      <w:r>
        <w:t xml:space="preserve"> definition’</w:t>
      </w:r>
      <w:r w:rsidR="00954880">
        <w:t xml:space="preserve"> will provide many definition</w:t>
      </w:r>
      <w:r>
        <w:t xml:space="preserve">s in relation to pharmaceuticals but yield </w:t>
      </w:r>
      <w:r w:rsidR="00E43C29">
        <w:t>limited</w:t>
      </w:r>
      <w:r>
        <w:t xml:space="preserve"> results for a definition associated </w:t>
      </w:r>
      <w:r w:rsidR="00950E7B">
        <w:t xml:space="preserve">specifically </w:t>
      </w:r>
      <w:r>
        <w:t xml:space="preserve">with medical devices. However the </w:t>
      </w:r>
      <w:r w:rsidR="00B84251">
        <w:t xml:space="preserve">interpretation of off label can be </w:t>
      </w:r>
      <w:r w:rsidR="007A4AE4">
        <w:t>considered generally</w:t>
      </w:r>
      <w:r>
        <w:t xml:space="preserve"> the same. </w:t>
      </w:r>
    </w:p>
    <w:p w14:paraId="5E222B07" w14:textId="7DB4445A" w:rsidR="00954880" w:rsidRDefault="007A4AE4" w:rsidP="00954880">
      <w:pPr>
        <w:jc w:val="both"/>
      </w:pPr>
      <w:r>
        <w:t xml:space="preserve">Table 1 provides some common interpretations from various </w:t>
      </w:r>
      <w:r w:rsidR="00547B2B">
        <w:t>regulators</w:t>
      </w:r>
      <w:r>
        <w:t xml:space="preserve"> and medical </w:t>
      </w:r>
      <w:r w:rsidR="00547B2B">
        <w:t>device organizations</w:t>
      </w:r>
      <w:r>
        <w:t xml:space="preserve"> of the term </w:t>
      </w:r>
      <w:r w:rsidR="00547B2B">
        <w:t>‘</w:t>
      </w:r>
      <w:r>
        <w:t>off</w:t>
      </w:r>
      <w:r w:rsidR="00547B2B">
        <w:t>-</w:t>
      </w:r>
      <w:r>
        <w:t xml:space="preserve">label’ in the context of medical devices </w:t>
      </w:r>
    </w:p>
    <w:tbl>
      <w:tblPr>
        <w:tblStyle w:val="Grilledutableau"/>
        <w:tblW w:w="0" w:type="auto"/>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BFBFBF" w:themeFill="background1" w:themeFillShade="BF"/>
        <w:tblLook w:val="04A0" w:firstRow="1" w:lastRow="0" w:firstColumn="1" w:lastColumn="0" w:noHBand="0" w:noVBand="1"/>
      </w:tblPr>
      <w:tblGrid>
        <w:gridCol w:w="4443"/>
        <w:gridCol w:w="4463"/>
      </w:tblGrid>
      <w:tr w:rsidR="000878AC" w14:paraId="2E4E0F3B" w14:textId="77777777" w:rsidTr="000878AC">
        <w:tc>
          <w:tcPr>
            <w:tcW w:w="4443" w:type="dxa"/>
            <w:shd w:val="clear" w:color="auto" w:fill="D9D9D9" w:themeFill="background1" w:themeFillShade="D9"/>
          </w:tcPr>
          <w:p w14:paraId="36201DF5" w14:textId="02A2B86F" w:rsidR="00E43C29" w:rsidRPr="000878AC" w:rsidRDefault="00E43C29">
            <w:pPr>
              <w:rPr>
                <w:b/>
                <w:bCs/>
              </w:rPr>
            </w:pPr>
            <w:r w:rsidRPr="000878AC">
              <w:rPr>
                <w:b/>
                <w:bCs/>
              </w:rPr>
              <w:t xml:space="preserve">Organization </w:t>
            </w:r>
          </w:p>
        </w:tc>
        <w:tc>
          <w:tcPr>
            <w:tcW w:w="4463" w:type="dxa"/>
            <w:shd w:val="clear" w:color="auto" w:fill="D9D9D9" w:themeFill="background1" w:themeFillShade="D9"/>
          </w:tcPr>
          <w:p w14:paraId="092A1401" w14:textId="3E837845" w:rsidR="00E43C29" w:rsidRPr="000878AC" w:rsidRDefault="009120E0">
            <w:pPr>
              <w:rPr>
                <w:b/>
                <w:bCs/>
              </w:rPr>
            </w:pPr>
            <w:r w:rsidRPr="000878AC">
              <w:rPr>
                <w:b/>
                <w:bCs/>
              </w:rPr>
              <w:t>Definition/Interpretation</w:t>
            </w:r>
          </w:p>
        </w:tc>
      </w:tr>
      <w:tr w:rsidR="009120E0" w14:paraId="6E17B142" w14:textId="77777777" w:rsidTr="000878AC">
        <w:tc>
          <w:tcPr>
            <w:tcW w:w="4443" w:type="dxa"/>
            <w:shd w:val="clear" w:color="auto" w:fill="D9D9D9" w:themeFill="background1" w:themeFillShade="D9"/>
          </w:tcPr>
          <w:p w14:paraId="03AB0C00" w14:textId="1817F1F3" w:rsidR="00E43C29" w:rsidRDefault="009120E0">
            <w:r w:rsidRPr="007E5B73">
              <w:t>Medicines &amp; Healthcare products Regulatory Agency (MHRA), the UK regulating authority</w:t>
            </w:r>
            <w:r>
              <w:t>1</w:t>
            </w:r>
            <w:r>
              <w:rPr>
                <w:rStyle w:val="Appelnotedebasdep"/>
              </w:rPr>
              <w:footnoteReference w:id="1"/>
            </w:r>
          </w:p>
        </w:tc>
        <w:tc>
          <w:tcPr>
            <w:tcW w:w="4463" w:type="dxa"/>
            <w:shd w:val="clear" w:color="auto" w:fill="D9D9D9" w:themeFill="background1" w:themeFillShade="D9"/>
          </w:tcPr>
          <w:p w14:paraId="53F80D01" w14:textId="7BC5E382" w:rsidR="00E43C29" w:rsidRDefault="009120E0">
            <w:r w:rsidRPr="00E43C29">
              <w:t>You should use medical devices as described by the manufacturer in the instructions. If you use the device in any other way, it’s considered ‘off-label’ use</w:t>
            </w:r>
          </w:p>
        </w:tc>
      </w:tr>
      <w:tr w:rsidR="009120E0" w14:paraId="2D8B2C2D" w14:textId="77777777" w:rsidTr="000878AC">
        <w:tc>
          <w:tcPr>
            <w:tcW w:w="4443" w:type="dxa"/>
            <w:shd w:val="clear" w:color="auto" w:fill="D9D9D9" w:themeFill="background1" w:themeFillShade="D9"/>
          </w:tcPr>
          <w:p w14:paraId="3F9B19BD" w14:textId="24EF8AE3" w:rsidR="009120E0" w:rsidRPr="007E5B73" w:rsidRDefault="009120E0" w:rsidP="009120E0">
            <w:pPr>
              <w:tabs>
                <w:tab w:val="left" w:pos="3146"/>
              </w:tabs>
            </w:pPr>
            <w:r>
              <w:t>Therapeutic Goods Administration – The Australian Regulating Authority</w:t>
            </w:r>
            <w:r w:rsidR="00302FBA">
              <w:rPr>
                <w:rStyle w:val="Appelnotedebasdep"/>
              </w:rPr>
              <w:footnoteReference w:id="2"/>
            </w:r>
          </w:p>
        </w:tc>
        <w:tc>
          <w:tcPr>
            <w:tcW w:w="4463" w:type="dxa"/>
            <w:shd w:val="clear" w:color="auto" w:fill="D9D9D9" w:themeFill="background1" w:themeFillShade="D9"/>
          </w:tcPr>
          <w:p w14:paraId="3C3738CF" w14:textId="20998059" w:rsidR="009120E0" w:rsidRPr="00E43C29" w:rsidRDefault="00A363D8">
            <w:r>
              <w:t>‘O</w:t>
            </w:r>
            <w:r w:rsidR="00302FBA" w:rsidRPr="00302FBA">
              <w:t>ff-label use' generally refers to the use of a therapeutic good for an indication or intended purpose that is not specified in its Australian Register of Therapeutic Goods (ARTG) entry. Therapeutic goods are included in the ARTG with either specific indication(s) or intended purpose(s).</w:t>
            </w:r>
          </w:p>
        </w:tc>
        <w:bookmarkStart w:id="0" w:name="_GoBack"/>
        <w:bookmarkEnd w:id="0"/>
      </w:tr>
      <w:tr w:rsidR="00302FBA" w14:paraId="3D97441F" w14:textId="77777777" w:rsidTr="000878AC">
        <w:tc>
          <w:tcPr>
            <w:tcW w:w="4443" w:type="dxa"/>
            <w:shd w:val="clear" w:color="auto" w:fill="D9D9D9" w:themeFill="background1" w:themeFillShade="D9"/>
          </w:tcPr>
          <w:p w14:paraId="1DF81F46" w14:textId="347D2705" w:rsidR="00E43C29" w:rsidRDefault="009120E0">
            <w:r>
              <w:t>Medical Device Network</w:t>
            </w:r>
            <w:r w:rsidR="00302FBA">
              <w:rPr>
                <w:rStyle w:val="Appelnotedebasdep"/>
              </w:rPr>
              <w:footnoteReference w:id="3"/>
            </w:r>
          </w:p>
        </w:tc>
        <w:tc>
          <w:tcPr>
            <w:tcW w:w="4463" w:type="dxa"/>
            <w:shd w:val="clear" w:color="auto" w:fill="D9D9D9" w:themeFill="background1" w:themeFillShade="D9"/>
          </w:tcPr>
          <w:p w14:paraId="52D4824A" w14:textId="37CD9D3F" w:rsidR="00E43C29" w:rsidRDefault="009120E0">
            <w:r w:rsidRPr="009120E0">
              <w:t>Any information that comes with a product is considered labelling and when the product is used for a clinical indication that is not approved, it is regarded as off-label use.</w:t>
            </w:r>
          </w:p>
        </w:tc>
      </w:tr>
    </w:tbl>
    <w:p w14:paraId="07391826" w14:textId="58C1D4BF" w:rsidR="00E43C29" w:rsidRPr="00C83D76" w:rsidRDefault="00E43C29">
      <w:pPr>
        <w:rPr>
          <w:i/>
          <w:iCs/>
        </w:rPr>
      </w:pPr>
      <w:r w:rsidRPr="00C83D76">
        <w:rPr>
          <w:i/>
          <w:iCs/>
        </w:rPr>
        <w:t xml:space="preserve">Table 1 – Definitions/Interpretations of Off-Label Use for Medical Devices </w:t>
      </w:r>
    </w:p>
    <w:p w14:paraId="4AF646C9" w14:textId="63A0E705" w:rsidR="00C453FB" w:rsidRDefault="000878AC" w:rsidP="00C83D76">
      <w:pPr>
        <w:jc w:val="both"/>
      </w:pPr>
      <w:r>
        <w:t xml:space="preserve">Off-label use of a medical device is generally accepted to mean when a device is used outside of the approved </w:t>
      </w:r>
      <w:r w:rsidR="00C83D76">
        <w:t xml:space="preserve">instructions </w:t>
      </w:r>
      <w:r w:rsidR="008A1E88">
        <w:t>for use</w:t>
      </w:r>
      <w:r w:rsidR="0026003F">
        <w:t xml:space="preserve"> including</w:t>
      </w:r>
      <w:r w:rsidR="00C83D76">
        <w:t xml:space="preserve"> indications</w:t>
      </w:r>
      <w:r w:rsidR="0026003F">
        <w:t>.</w:t>
      </w:r>
    </w:p>
    <w:p w14:paraId="154E34D5" w14:textId="4B34B7F2" w:rsidR="000878AC" w:rsidRDefault="000878AC" w:rsidP="00C83D76">
      <w:pPr>
        <w:jc w:val="both"/>
      </w:pPr>
      <w:r>
        <w:lastRenderedPageBreak/>
        <w:t xml:space="preserve">Specifically off-label use of a device outside the approved indications could </w:t>
      </w:r>
      <w:r w:rsidR="00C453FB">
        <w:t>include</w:t>
      </w:r>
      <w:r>
        <w:t xml:space="preserve"> the use of a device</w:t>
      </w:r>
      <w:r w:rsidR="005F5589">
        <w:t>*</w:t>
      </w:r>
      <w:r>
        <w:t>;</w:t>
      </w:r>
    </w:p>
    <w:p w14:paraId="175D9397" w14:textId="32BDB254" w:rsidR="000878AC" w:rsidRDefault="000878AC" w:rsidP="000878AC">
      <w:pPr>
        <w:pStyle w:val="Paragraphedeliste"/>
        <w:numPr>
          <w:ilvl w:val="0"/>
          <w:numId w:val="2"/>
        </w:numPr>
      </w:pPr>
      <w:r>
        <w:t xml:space="preserve">Outside specified populations such as paediatrics; </w:t>
      </w:r>
    </w:p>
    <w:p w14:paraId="326F0B12" w14:textId="2951842E" w:rsidR="000878AC" w:rsidRDefault="00C83D76" w:rsidP="000878AC">
      <w:pPr>
        <w:pStyle w:val="Paragraphedeliste"/>
        <w:numPr>
          <w:ilvl w:val="0"/>
          <w:numId w:val="2"/>
        </w:numPr>
      </w:pPr>
      <w:r>
        <w:t>For a d</w:t>
      </w:r>
      <w:r w:rsidR="000878AC">
        <w:t xml:space="preserve">ifferent stage or severity of disease </w:t>
      </w:r>
    </w:p>
    <w:p w14:paraId="4E185406" w14:textId="63217AF3" w:rsidR="005F5589" w:rsidRDefault="00C83D76" w:rsidP="000878AC">
      <w:pPr>
        <w:pStyle w:val="Paragraphedeliste"/>
        <w:numPr>
          <w:ilvl w:val="0"/>
          <w:numId w:val="2"/>
        </w:numPr>
      </w:pPr>
      <w:r>
        <w:t>For a</w:t>
      </w:r>
      <w:r w:rsidR="005F5589">
        <w:t xml:space="preserve"> similar (not identical) clinical condition</w:t>
      </w:r>
    </w:p>
    <w:p w14:paraId="084E0D67" w14:textId="06196483" w:rsidR="005F5589" w:rsidRDefault="00C83D76" w:rsidP="000878AC">
      <w:pPr>
        <w:pStyle w:val="Paragraphedeliste"/>
        <w:numPr>
          <w:ilvl w:val="0"/>
          <w:numId w:val="2"/>
        </w:numPr>
      </w:pPr>
      <w:r>
        <w:t>Being introduced to the body</w:t>
      </w:r>
      <w:r w:rsidR="005F5589">
        <w:t xml:space="preserve"> through alternative </w:t>
      </w:r>
      <w:r>
        <w:t>routes</w:t>
      </w:r>
    </w:p>
    <w:p w14:paraId="0CCE2BF3" w14:textId="31439950" w:rsidR="00E43C29" w:rsidRPr="007E5B73" w:rsidRDefault="005F5589">
      <w:pPr>
        <w:rPr>
          <w:i/>
          <w:iCs/>
        </w:rPr>
      </w:pPr>
      <w:r>
        <w:rPr>
          <w:i/>
          <w:iCs/>
        </w:rPr>
        <w:t xml:space="preserve">*Note: This is an example list and not an exhaustive list. </w:t>
      </w:r>
    </w:p>
    <w:p w14:paraId="3EC77414" w14:textId="00CE5E96" w:rsidR="00C453FB" w:rsidRDefault="00C83D76" w:rsidP="003D2446">
      <w:pPr>
        <w:jc w:val="both"/>
      </w:pPr>
      <w:r>
        <w:t xml:space="preserve">Under Article 7 </w:t>
      </w:r>
      <w:r w:rsidR="00C453FB">
        <w:t>clause</w:t>
      </w:r>
      <w:r>
        <w:t xml:space="preserve"> (d)</w:t>
      </w:r>
      <w:r w:rsidR="00C453FB">
        <w:rPr>
          <w:rStyle w:val="Appelnotedebasdep"/>
        </w:rPr>
        <w:footnoteReference w:id="4"/>
      </w:r>
      <w:r w:rsidR="00C453FB">
        <w:t xml:space="preserve"> </w:t>
      </w:r>
      <w:r>
        <w:t xml:space="preserve">of the MDR, manufacturers must not promote the misuse of a device </w:t>
      </w:r>
      <w:r w:rsidR="00C453FB">
        <w:t xml:space="preserve">and manufacturers should as part of the general safety and performance requirements </w:t>
      </w:r>
      <w:r w:rsidR="00D44CEA">
        <w:t xml:space="preserve">(GSPR) </w:t>
      </w:r>
      <w:r w:rsidR="00C453FB">
        <w:t>consider the potential foreseeable misuse of the device</w:t>
      </w:r>
      <w:r w:rsidR="00C453FB">
        <w:rPr>
          <w:rStyle w:val="Appelnotedebasdep"/>
        </w:rPr>
        <w:footnoteReference w:id="5"/>
      </w:r>
      <w:r w:rsidR="009707C7">
        <w:t>. W</w:t>
      </w:r>
      <w:r w:rsidR="00C453FB">
        <w:t xml:space="preserve">hen misuse is identified </w:t>
      </w:r>
      <w:r w:rsidR="00112B40">
        <w:t xml:space="preserve">the manufacturer shall </w:t>
      </w:r>
      <w:r w:rsidR="00C453FB">
        <w:t>eliminate or control the risks</w:t>
      </w:r>
      <w:r w:rsidR="00C453FB">
        <w:rPr>
          <w:rStyle w:val="Appelnotedebasdep"/>
        </w:rPr>
        <w:footnoteReference w:id="6"/>
      </w:r>
      <w:r w:rsidR="00C453FB">
        <w:t xml:space="preserve"> in accordance with risk control measures</w:t>
      </w:r>
      <w:r w:rsidR="00F46A98">
        <w:t xml:space="preserve">. </w:t>
      </w:r>
    </w:p>
    <w:p w14:paraId="695712F6" w14:textId="14904F30" w:rsidR="00C453FB" w:rsidRDefault="00F46A98" w:rsidP="003D2446">
      <w:pPr>
        <w:jc w:val="both"/>
      </w:pPr>
      <w:r>
        <w:t xml:space="preserve">Foreseeable misuse may be identified through usability studies or pre-market clinical investigation </w:t>
      </w:r>
      <w:r w:rsidR="00631734">
        <w:t>reports,</w:t>
      </w:r>
      <w:r>
        <w:t xml:space="preserve"> but it is often difficult for manufacturers to predict areas of future misuse and without the manufacturer having direct supervision </w:t>
      </w:r>
      <w:r w:rsidR="007050F3">
        <w:t>over the use of each individual</w:t>
      </w:r>
      <w:r>
        <w:t xml:space="preserve"> device</w:t>
      </w:r>
      <w:r w:rsidR="003D2446">
        <w:t>,</w:t>
      </w:r>
      <w:r>
        <w:t xml:space="preserve"> it is inevitable that in </w:t>
      </w:r>
      <w:r w:rsidR="00EA1365">
        <w:t>off-label use may occur.</w:t>
      </w:r>
      <w:r w:rsidR="00C651B7">
        <w:t xml:space="preserve"> </w:t>
      </w:r>
    </w:p>
    <w:p w14:paraId="581A2329" w14:textId="3FCEF8D3" w:rsidR="00C651B7" w:rsidRDefault="00C651B7" w:rsidP="003D2446">
      <w:pPr>
        <w:jc w:val="both"/>
      </w:pPr>
      <w:r>
        <w:t xml:space="preserve">Physicians and healthcare practitioners who use a medical device off-label are accountable for their actions and such use of a device could result in local law enforcement procedures or potential implications to their national/state registration. The </w:t>
      </w:r>
      <w:r w:rsidR="000C5A47">
        <w:t xml:space="preserve">use of a device within its intended purpose and indications fundamentally supports the </w:t>
      </w:r>
      <w:r>
        <w:t xml:space="preserve">principles </w:t>
      </w:r>
      <w:r w:rsidR="000C5A47">
        <w:t>evidence-based</w:t>
      </w:r>
      <w:r>
        <w:t xml:space="preserve"> medicine.  </w:t>
      </w:r>
    </w:p>
    <w:p w14:paraId="06AD2DD7" w14:textId="73CD9D22" w:rsidR="00402FCD" w:rsidRDefault="00C651B7" w:rsidP="003D2446">
      <w:pPr>
        <w:jc w:val="both"/>
      </w:pPr>
      <w:r>
        <w:t>However, there are occasions when physicians and healthcare practitioners through the</w:t>
      </w:r>
      <w:r w:rsidR="00E51D78">
        <w:t xml:space="preserve"> </w:t>
      </w:r>
      <w:r w:rsidR="0070473C">
        <w:t xml:space="preserve">experience and use of </w:t>
      </w:r>
      <w:r w:rsidR="00502899">
        <w:t xml:space="preserve">a </w:t>
      </w:r>
      <w:r w:rsidR="0070473C">
        <w:t>device under approved conditions</w:t>
      </w:r>
      <w:r w:rsidR="00502899">
        <w:t xml:space="preserve">, identify </w:t>
      </w:r>
      <w:r>
        <w:t>potential solution</w:t>
      </w:r>
      <w:r w:rsidR="00502899">
        <w:t>s</w:t>
      </w:r>
      <w:r>
        <w:t xml:space="preserve"> to </w:t>
      </w:r>
      <w:r w:rsidR="0070473C">
        <w:t>other</w:t>
      </w:r>
      <w:r>
        <w:t xml:space="preserve"> problems</w:t>
      </w:r>
      <w:r w:rsidR="003D2446">
        <w:t xml:space="preserve"> that could benefit a subset of patients</w:t>
      </w:r>
      <w:r w:rsidR="00502899">
        <w:t xml:space="preserve"> that are outside the on-label use of the device. </w:t>
      </w:r>
    </w:p>
    <w:p w14:paraId="6A4E7C82" w14:textId="579A9A8B" w:rsidR="00C651B7" w:rsidRDefault="00502899" w:rsidP="003D2446">
      <w:pPr>
        <w:jc w:val="both"/>
      </w:pPr>
      <w:r>
        <w:t>For</w:t>
      </w:r>
      <w:r w:rsidR="00C651B7">
        <w:t xml:space="preserve"> example </w:t>
      </w:r>
      <w:r w:rsidR="00772522">
        <w:t xml:space="preserve">in the context of a situation where there is </w:t>
      </w:r>
      <w:r w:rsidR="00C651B7">
        <w:t xml:space="preserve">an unmet medical </w:t>
      </w:r>
      <w:r w:rsidR="00855781">
        <w:t>need,</w:t>
      </w:r>
      <w:r w:rsidR="00772522">
        <w:t xml:space="preserve"> and</w:t>
      </w:r>
      <w:r w:rsidR="00C651B7">
        <w:t xml:space="preserve"> no other approved </w:t>
      </w:r>
      <w:r w:rsidR="00402FCD">
        <w:t xml:space="preserve">viable </w:t>
      </w:r>
      <w:r w:rsidR="00C651B7">
        <w:t xml:space="preserve">alternatives </w:t>
      </w:r>
      <w:r w:rsidR="00402FCD">
        <w:t xml:space="preserve">are </w:t>
      </w:r>
      <w:r w:rsidR="00C651B7">
        <w:t xml:space="preserve">available </w:t>
      </w:r>
      <w:r w:rsidR="003D2446">
        <w:t>it could be ethically acceptable for a physician to consider alternative options. Such use</w:t>
      </w:r>
      <w:r w:rsidR="00855781">
        <w:t xml:space="preserve"> of a device</w:t>
      </w:r>
      <w:r w:rsidR="003D2446">
        <w:t xml:space="preserve"> is </w:t>
      </w:r>
      <w:r w:rsidR="000C5A47">
        <w:t xml:space="preserve">often </w:t>
      </w:r>
      <w:r w:rsidR="003D2446">
        <w:t xml:space="preserve">reported as </w:t>
      </w:r>
      <w:r w:rsidR="00177385">
        <w:t xml:space="preserve">individual </w:t>
      </w:r>
      <w:r w:rsidR="003D2446">
        <w:t xml:space="preserve">case studies within peer reviewed </w:t>
      </w:r>
      <w:r w:rsidR="000C5A47">
        <w:t>literature and manufacturers may identify such off-label use as part of their general post market activities</w:t>
      </w:r>
      <w:r w:rsidR="00855781">
        <w:t xml:space="preserve"> through literature searches</w:t>
      </w:r>
      <w:r w:rsidR="000C5A47">
        <w:t xml:space="preserve">. This </w:t>
      </w:r>
      <w:r w:rsidR="00D11D7F">
        <w:t xml:space="preserve">identified </w:t>
      </w:r>
      <w:r w:rsidR="000C5A47">
        <w:t xml:space="preserve">data should always be considered as part of the clinical evaluation of a device </w:t>
      </w:r>
      <w:r w:rsidR="00D11D7F">
        <w:t>in addition to</w:t>
      </w:r>
      <w:r w:rsidR="000C5A47">
        <w:t xml:space="preserve"> the </w:t>
      </w:r>
      <w:r w:rsidR="00D11D7F">
        <w:t>already mentioned GSPR</w:t>
      </w:r>
      <w:r w:rsidR="000C5A47">
        <w:t xml:space="preserve"> </w:t>
      </w:r>
      <w:r w:rsidR="00D11D7F">
        <w:t>of</w:t>
      </w:r>
      <w:r w:rsidR="000C5A47">
        <w:t xml:space="preserve"> Annex I of the MDR to reduce or eliminate the risks of future misuse. </w:t>
      </w:r>
    </w:p>
    <w:p w14:paraId="66B69436" w14:textId="2A3AC4A0" w:rsidR="000C5A47" w:rsidRDefault="00A854BB" w:rsidP="003D2446">
      <w:pPr>
        <w:jc w:val="both"/>
      </w:pPr>
      <w:r>
        <w:lastRenderedPageBreak/>
        <w:t>The MDR requires that</w:t>
      </w:r>
      <w:r w:rsidR="000C5A47">
        <w:t xml:space="preserve"> the manufacturer</w:t>
      </w:r>
      <w:r>
        <w:t>’</w:t>
      </w:r>
      <w:r w:rsidR="000C5A47">
        <w:t xml:space="preserve">s post market clinical follow up (PMCF) plan must </w:t>
      </w:r>
      <w:r>
        <w:t xml:space="preserve">identify </w:t>
      </w:r>
      <w:r w:rsidRPr="00A854BB">
        <w:rPr>
          <w:i/>
          <w:iCs/>
        </w:rPr>
        <w:t>systematic misuse or off-label use of the device with a view to verifying that the intended purpose of the device is correct</w:t>
      </w:r>
      <w:r>
        <w:t>.</w:t>
      </w:r>
      <w:r>
        <w:rPr>
          <w:rStyle w:val="Appelnotedebasdep"/>
        </w:rPr>
        <w:footnoteReference w:id="7"/>
      </w:r>
      <w:r>
        <w:t xml:space="preserve"> </w:t>
      </w:r>
    </w:p>
    <w:p w14:paraId="596603B4" w14:textId="5C2D69FF" w:rsidR="00402FCD" w:rsidRDefault="001A1CD2" w:rsidP="003D2446">
      <w:pPr>
        <w:jc w:val="both"/>
      </w:pPr>
      <w:r>
        <w:t>In this context, ‘s</w:t>
      </w:r>
      <w:r w:rsidR="00A854BB">
        <w:t>ystematic</w:t>
      </w:r>
      <w:r>
        <w:t>’</w:t>
      </w:r>
      <w:r w:rsidR="00A854BB">
        <w:t xml:space="preserve"> should </w:t>
      </w:r>
      <w:r>
        <w:t xml:space="preserve">be interpreted </w:t>
      </w:r>
      <w:r w:rsidR="007E3A2D">
        <w:t>when</w:t>
      </w:r>
      <w:r w:rsidR="00402FCD">
        <w:t xml:space="preserve"> a device is used repeatedly or continuously outside its</w:t>
      </w:r>
      <w:r>
        <w:t xml:space="preserve"> approved</w:t>
      </w:r>
      <w:r w:rsidR="00402FCD">
        <w:t xml:space="preserve"> intended purpose and indications. This should be considered different to the earlier example of the unmet medical need where a device has been used ‘unsystematically’ meaning randomly. </w:t>
      </w:r>
    </w:p>
    <w:p w14:paraId="4F3A68CD" w14:textId="286CF21B" w:rsidR="00402FCD" w:rsidRDefault="0014054A" w:rsidP="003D2446">
      <w:pPr>
        <w:jc w:val="both"/>
      </w:pPr>
      <w:r>
        <w:t>The</w:t>
      </w:r>
      <w:r w:rsidR="00A36FCA">
        <w:t xml:space="preserve"> identification </w:t>
      </w:r>
      <w:r>
        <w:t xml:space="preserve">and results </w:t>
      </w:r>
      <w:r w:rsidR="00A36FCA">
        <w:t xml:space="preserve">of </w:t>
      </w:r>
      <w:r w:rsidR="00300BC0">
        <w:t xml:space="preserve">systematic </w:t>
      </w:r>
      <w:r w:rsidR="00A36FCA">
        <w:t>misuse</w:t>
      </w:r>
      <w:r w:rsidR="00300BC0">
        <w:t xml:space="preserve"> of the device</w:t>
      </w:r>
      <w:r w:rsidR="00A36FCA">
        <w:t xml:space="preserve"> should</w:t>
      </w:r>
      <w:r>
        <w:t xml:space="preserve"> be</w:t>
      </w:r>
      <w:r w:rsidR="00A36FCA">
        <w:t xml:space="preserve"> report</w:t>
      </w:r>
      <w:r>
        <w:t>ed</w:t>
      </w:r>
      <w:r w:rsidR="00A36FCA">
        <w:t xml:space="preserve">  within the PMCF evaluation report and consider</w:t>
      </w:r>
      <w:r>
        <w:t>ation of</w:t>
      </w:r>
      <w:r w:rsidR="00A36FCA">
        <w:t xml:space="preserve"> its </w:t>
      </w:r>
      <w:r>
        <w:t xml:space="preserve">overall </w:t>
      </w:r>
      <w:r w:rsidR="00A36FCA">
        <w:t xml:space="preserve">impact in the context of risk management </w:t>
      </w:r>
      <w:r>
        <w:t xml:space="preserve">should be applied. </w:t>
      </w:r>
      <w:r w:rsidR="00A36FCA">
        <w:t xml:space="preserve"> </w:t>
      </w:r>
    </w:p>
    <w:p w14:paraId="721D0705" w14:textId="77777777" w:rsidR="00CC78C7" w:rsidRDefault="00A36FCA" w:rsidP="003D2446">
      <w:pPr>
        <w:jc w:val="both"/>
      </w:pPr>
      <w:r>
        <w:t>When</w:t>
      </w:r>
      <w:r w:rsidR="00C02129">
        <w:t xml:space="preserve"> systematic</w:t>
      </w:r>
      <w:r>
        <w:t xml:space="preserve"> </w:t>
      </w:r>
      <w:r w:rsidR="00C02129">
        <w:t xml:space="preserve">off-label use </w:t>
      </w:r>
      <w:r w:rsidR="00CC78C7">
        <w:t xml:space="preserve">has been </w:t>
      </w:r>
      <w:r w:rsidR="00C02129">
        <w:t>identified through the PMCF plan and report</w:t>
      </w:r>
      <w:r w:rsidR="00CC78C7">
        <w:t>ed upon,</w:t>
      </w:r>
      <w:r w:rsidR="00C02129">
        <w:t xml:space="preserve"> this may be considered as clinical </w:t>
      </w:r>
      <w:r>
        <w:t>data</w:t>
      </w:r>
      <w:r w:rsidR="00C02129">
        <w:t xml:space="preserve">. The MDR does require that both </w:t>
      </w:r>
      <w:r w:rsidR="00B67D61">
        <w:t>favourable</w:t>
      </w:r>
      <w:r w:rsidR="00C02129">
        <w:t xml:space="preserve"> and </w:t>
      </w:r>
      <w:r w:rsidR="00B67D61">
        <w:t>unfavourable</w:t>
      </w:r>
      <w:r w:rsidR="00C02129">
        <w:t xml:space="preserve"> </w:t>
      </w:r>
      <w:r w:rsidR="00B67D61">
        <w:t>data is considered as part of the clinical evaluation.</w:t>
      </w:r>
      <w:r w:rsidR="00B67D61">
        <w:rPr>
          <w:rStyle w:val="Appelnotedebasdep"/>
        </w:rPr>
        <w:footnoteReference w:id="8"/>
      </w:r>
      <w:r w:rsidR="00B67D61">
        <w:t xml:space="preserve"> </w:t>
      </w:r>
    </w:p>
    <w:p w14:paraId="36C524DC" w14:textId="15DD6215" w:rsidR="00A36FCA" w:rsidRPr="00B67D61" w:rsidRDefault="00C02129" w:rsidP="003D2446">
      <w:pPr>
        <w:jc w:val="both"/>
        <w:rPr>
          <w:i/>
          <w:iCs/>
        </w:rPr>
      </w:pPr>
      <w:r>
        <w:t>This</w:t>
      </w:r>
      <w:r w:rsidR="00CC78C7">
        <w:t xml:space="preserve"> understanding of ‘off-label’ data being considered clinical data</w:t>
      </w:r>
      <w:r>
        <w:t xml:space="preserve"> is further clarified through the interpretation of ‘clinical data’ under article 2 </w:t>
      </w:r>
      <w:r w:rsidR="00CC78C7">
        <w:t xml:space="preserve">and </w:t>
      </w:r>
      <w:r>
        <w:t>definition 48</w:t>
      </w:r>
      <w:r w:rsidR="00B67D61">
        <w:t xml:space="preserve"> </w:t>
      </w:r>
      <w:r w:rsidR="00CC78C7">
        <w:t>of the MDR and</w:t>
      </w:r>
      <w:r w:rsidR="00B67D61">
        <w:t xml:space="preserve"> mentions </w:t>
      </w:r>
      <w:r w:rsidR="00CC78C7">
        <w:t xml:space="preserve">specifically </w:t>
      </w:r>
      <w:r w:rsidR="00B67D61">
        <w:t xml:space="preserve">the use of data coming </w:t>
      </w:r>
      <w:r w:rsidR="00B67D61" w:rsidRPr="00B67D61">
        <w:t>from post market clinical follow up.</w:t>
      </w:r>
      <w:r w:rsidR="00B67D61" w:rsidRPr="00B67D61">
        <w:rPr>
          <w:i/>
          <w:iCs/>
        </w:rPr>
        <w:t xml:space="preserve"> </w:t>
      </w:r>
    </w:p>
    <w:p w14:paraId="33E55296" w14:textId="51923386" w:rsidR="000C5A47" w:rsidRDefault="00B67D61" w:rsidP="003D2446">
      <w:pPr>
        <w:jc w:val="both"/>
      </w:pPr>
      <w:r>
        <w:rPr>
          <w:noProof/>
          <w:lang w:eastAsia="en-GB"/>
        </w:rPr>
        <mc:AlternateContent>
          <mc:Choice Requires="wps">
            <w:drawing>
              <wp:anchor distT="0" distB="0" distL="114300" distR="114300" simplePos="0" relativeHeight="251659264" behindDoc="0" locked="0" layoutInCell="1" allowOverlap="1" wp14:anchorId="70CF86D3" wp14:editId="16B6ABEC">
                <wp:simplePos x="0" y="0"/>
                <wp:positionH relativeFrom="column">
                  <wp:posOffset>-22860</wp:posOffset>
                </wp:positionH>
                <wp:positionV relativeFrom="paragraph">
                  <wp:posOffset>33655</wp:posOffset>
                </wp:positionV>
                <wp:extent cx="6004560" cy="3040380"/>
                <wp:effectExtent l="0" t="0" r="15240" b="26670"/>
                <wp:wrapNone/>
                <wp:docPr id="1" name="Rectangle: Rounded Corners 1"/>
                <wp:cNvGraphicFramePr/>
                <a:graphic xmlns:a="http://schemas.openxmlformats.org/drawingml/2006/main">
                  <a:graphicData uri="http://schemas.microsoft.com/office/word/2010/wordprocessingShape">
                    <wps:wsp>
                      <wps:cNvSpPr/>
                      <wps:spPr>
                        <a:xfrm>
                          <a:off x="0" y="0"/>
                          <a:ext cx="6004560" cy="304038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B59C9E" w14:textId="2E655093" w:rsidR="00B67D61" w:rsidRPr="00CC78C7" w:rsidRDefault="00B67D61" w:rsidP="00B67D61">
                            <w:pPr>
                              <w:jc w:val="both"/>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8C7">
                              <w:rPr>
                                <w:rFonts w:asciiTheme="majorHAnsi" w:hAnsiTheme="majorHAnsi" w:cstheme="maj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data’</w:t>
                            </w:r>
                            <w:r w:rsidRPr="00CC78C7">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information concerning safety or performance that is generated from the use of a device and is sourced from the following: </w:t>
                            </w:r>
                          </w:p>
                          <w:p w14:paraId="2AC307CF" w14:textId="77777777" w:rsidR="00B67D61" w:rsidRPr="00CC78C7" w:rsidRDefault="00B67D61" w:rsidP="00B67D61">
                            <w:pPr>
                              <w:jc w:val="both"/>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8C7">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clinical investigation(s) of the device concerned, </w:t>
                            </w:r>
                          </w:p>
                          <w:p w14:paraId="451356ED" w14:textId="77777777" w:rsidR="00B67D61" w:rsidRPr="00CC78C7" w:rsidRDefault="00B67D61" w:rsidP="00B67D61">
                            <w:pPr>
                              <w:jc w:val="both"/>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8C7">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clinical investigation(s) or other studies reported in scientific literature, of a device for which equivalence to the device in question can be demonstrated, </w:t>
                            </w:r>
                          </w:p>
                          <w:p w14:paraId="61C637CD" w14:textId="77777777" w:rsidR="00B67D61" w:rsidRPr="00CC78C7" w:rsidRDefault="00B67D61" w:rsidP="00B67D61">
                            <w:pPr>
                              <w:jc w:val="both"/>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8C7">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reports published in peer reviewed scientific literature on other clinical experience of either the device in question or a device for which equivalence to the device in question can be demonstrated, </w:t>
                            </w:r>
                          </w:p>
                          <w:p w14:paraId="650DDD5C" w14:textId="65D32CBE" w:rsidR="00B67D61" w:rsidRPr="00B67D61" w:rsidRDefault="00B67D61" w:rsidP="00B67D61">
                            <w:pPr>
                              <w:jc w:val="both"/>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8C7">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78C7">
                              <w:rPr>
                                <w:rFonts w:asciiTheme="majorHAnsi" w:hAnsiTheme="majorHAnsi" w:cstheme="maj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clinically relevant information coming from post-market surveillance, in particular the post-market clinical follow-up;</w:t>
                            </w:r>
                            <w:r w:rsidRPr="00B67D61">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67D61">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 2 (48) EU MDR 2017/745)</w:t>
                            </w:r>
                          </w:p>
                          <w:p w14:paraId="33442876" w14:textId="77777777" w:rsidR="00B67D61" w:rsidRPr="00B67D61" w:rsidRDefault="00B67D61" w:rsidP="00B67D6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CF86D3" id="Rectangle: Rounded Corners 1" o:spid="_x0000_s1026" style="position:absolute;left:0;text-align:left;margin-left:-1.8pt;margin-top:2.65pt;width:472.8pt;height:23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" fillcolor="#d8d8d8 [2732]" strokecolor="#1f3763 [1604]" strokeweight="1pt">
                <v:stroke joinstyle="miter"/>
                <v:textbox>
                  <w:txbxContent>
                    <w:p w14:paraId="5CB59C9E" w14:textId="2E655093" w:rsidR="00B67D61" w:rsidRPr="00CC78C7" w:rsidRDefault="00B67D61" w:rsidP="00B67D61">
                      <w:pPr>
                        <w:jc w:val="both"/>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8C7">
                        <w:rPr>
                          <w:rFonts w:asciiTheme="majorHAnsi" w:hAnsiTheme="majorHAnsi" w:cstheme="maj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 data’</w:t>
                      </w:r>
                      <w:r w:rsidRPr="00CC78C7">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means information concerning safety or performance that is generated from the use of a device and is sourced from the following: </w:t>
                      </w:r>
                    </w:p>
                    <w:p w14:paraId="2AC307CF" w14:textId="77777777" w:rsidR="00B67D61" w:rsidRPr="00CC78C7" w:rsidRDefault="00B67D61" w:rsidP="00B67D61">
                      <w:pPr>
                        <w:jc w:val="both"/>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8C7">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clinical investigation(s) of the device concerned, </w:t>
                      </w:r>
                    </w:p>
                    <w:p w14:paraId="451356ED" w14:textId="77777777" w:rsidR="00B67D61" w:rsidRPr="00CC78C7" w:rsidRDefault="00B67D61" w:rsidP="00B67D61">
                      <w:pPr>
                        <w:jc w:val="both"/>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8C7">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clinical investigation(s) or other studies reported in scientific literature, of a device for which equivalence to the device in question can be demonstrated, </w:t>
                      </w:r>
                    </w:p>
                    <w:p w14:paraId="61C637CD" w14:textId="77777777" w:rsidR="00B67D61" w:rsidRPr="00CC78C7" w:rsidRDefault="00B67D61" w:rsidP="00B67D61">
                      <w:pPr>
                        <w:jc w:val="both"/>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8C7">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reports published in peer reviewed scientific literature on other clinical experience of either the device in question or a device for which equivalence to the device in question can be demonstrated, </w:t>
                      </w:r>
                    </w:p>
                    <w:p w14:paraId="650DDD5C" w14:textId="65D32CBE" w:rsidR="00B67D61" w:rsidRPr="00B67D61" w:rsidRDefault="00B67D61" w:rsidP="00B67D61">
                      <w:pPr>
                        <w:jc w:val="both"/>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8C7">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78C7">
                        <w:rPr>
                          <w:rFonts w:asciiTheme="majorHAnsi" w:hAnsiTheme="majorHAnsi" w:cstheme="majorHAnsi"/>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clinically relevant information coming from post-market surveillance, in particular the post-market clinical follow-up;</w:t>
                      </w:r>
                      <w:r w:rsidRPr="00B67D61">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B67D61">
                        <w:rPr>
                          <w:bCs/>
                          <w:color w:val="000000" w:themeColor="tex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 2 (48) EU MDR 2017/745)</w:t>
                      </w:r>
                    </w:p>
                    <w:p w14:paraId="33442876" w14:textId="77777777" w:rsidR="00B67D61" w:rsidRPr="00B67D61" w:rsidRDefault="00B67D61" w:rsidP="00B67D61">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4B738337" w14:textId="77777777" w:rsidR="00C453FB" w:rsidRDefault="00C453FB" w:rsidP="00C453FB">
      <w:pPr>
        <w:rPr>
          <w:i/>
          <w:iCs/>
          <w:sz w:val="19"/>
          <w:szCs w:val="19"/>
        </w:rPr>
      </w:pPr>
    </w:p>
    <w:p w14:paraId="5D7AB471" w14:textId="187806B0" w:rsidR="00C83D76" w:rsidRDefault="00C83D76" w:rsidP="00142A9A">
      <w:pPr>
        <w:rPr>
          <w:i/>
          <w:iCs/>
          <w:sz w:val="19"/>
          <w:szCs w:val="19"/>
        </w:rPr>
      </w:pPr>
      <w:r>
        <w:rPr>
          <w:i/>
          <w:iCs/>
          <w:sz w:val="19"/>
          <w:szCs w:val="19"/>
        </w:rPr>
        <w:t xml:space="preserve"> </w:t>
      </w:r>
    </w:p>
    <w:p w14:paraId="4FA5429D" w14:textId="11F94F1D" w:rsidR="00142A9A" w:rsidRDefault="00142A9A" w:rsidP="00142A9A">
      <w:pPr>
        <w:rPr>
          <w:i/>
          <w:iCs/>
          <w:sz w:val="19"/>
          <w:szCs w:val="19"/>
        </w:rPr>
      </w:pPr>
    </w:p>
    <w:p w14:paraId="245CC95A" w14:textId="16A555EB" w:rsidR="00142A9A" w:rsidRDefault="00142A9A" w:rsidP="00142A9A">
      <w:pPr>
        <w:rPr>
          <w:i/>
          <w:iCs/>
          <w:sz w:val="19"/>
          <w:szCs w:val="19"/>
        </w:rPr>
      </w:pPr>
    </w:p>
    <w:p w14:paraId="5FDDD224" w14:textId="5BD38AA4" w:rsidR="00142A9A" w:rsidRDefault="00142A9A" w:rsidP="00142A9A">
      <w:pPr>
        <w:rPr>
          <w:i/>
          <w:iCs/>
          <w:sz w:val="19"/>
          <w:szCs w:val="19"/>
        </w:rPr>
      </w:pPr>
    </w:p>
    <w:p w14:paraId="5D7A8E11" w14:textId="41A90FDF" w:rsidR="00142A9A" w:rsidRDefault="00142A9A" w:rsidP="00142A9A">
      <w:pPr>
        <w:rPr>
          <w:i/>
          <w:iCs/>
          <w:sz w:val="19"/>
          <w:szCs w:val="19"/>
        </w:rPr>
      </w:pPr>
    </w:p>
    <w:p w14:paraId="0DD2B4DB" w14:textId="6770FD0A" w:rsidR="00142A9A" w:rsidRDefault="00142A9A" w:rsidP="00142A9A">
      <w:pPr>
        <w:rPr>
          <w:i/>
          <w:iCs/>
          <w:sz w:val="19"/>
          <w:szCs w:val="19"/>
        </w:rPr>
      </w:pPr>
    </w:p>
    <w:p w14:paraId="74A84D69" w14:textId="77AE9ABF" w:rsidR="00142A9A" w:rsidRDefault="00142A9A" w:rsidP="00142A9A">
      <w:pPr>
        <w:rPr>
          <w:i/>
          <w:iCs/>
          <w:sz w:val="19"/>
          <w:szCs w:val="19"/>
        </w:rPr>
      </w:pPr>
    </w:p>
    <w:p w14:paraId="007376EB" w14:textId="68A5CDA4" w:rsidR="00142A9A" w:rsidRDefault="00142A9A" w:rsidP="00142A9A">
      <w:pPr>
        <w:rPr>
          <w:i/>
          <w:iCs/>
          <w:sz w:val="19"/>
          <w:szCs w:val="19"/>
        </w:rPr>
      </w:pPr>
    </w:p>
    <w:p w14:paraId="3BCEF63B" w14:textId="0DC8F8B9" w:rsidR="00142A9A" w:rsidRDefault="00142A9A" w:rsidP="00142A9A">
      <w:pPr>
        <w:rPr>
          <w:i/>
          <w:iCs/>
          <w:sz w:val="19"/>
          <w:szCs w:val="19"/>
        </w:rPr>
      </w:pPr>
    </w:p>
    <w:p w14:paraId="71FA8907" w14:textId="3367B7BF" w:rsidR="00142A9A" w:rsidRDefault="00142A9A" w:rsidP="00142A9A">
      <w:pPr>
        <w:rPr>
          <w:i/>
          <w:iCs/>
          <w:sz w:val="19"/>
          <w:szCs w:val="19"/>
        </w:rPr>
      </w:pPr>
    </w:p>
    <w:p w14:paraId="5A029BE4" w14:textId="77777777" w:rsidR="00CC78C7" w:rsidRDefault="00CC78C7" w:rsidP="00142A9A">
      <w:pPr>
        <w:jc w:val="both"/>
      </w:pPr>
    </w:p>
    <w:p w14:paraId="2D00EAF0" w14:textId="2C7A1B7F" w:rsidR="00142A9A" w:rsidRDefault="00142A9A" w:rsidP="00142A9A">
      <w:pPr>
        <w:jc w:val="both"/>
      </w:pPr>
      <w:r w:rsidRPr="00142A9A">
        <w:lastRenderedPageBreak/>
        <w:t xml:space="preserve">As part of the clinical evaluation the manufacturer should consider the </w:t>
      </w:r>
      <w:r>
        <w:t xml:space="preserve">off-label </w:t>
      </w:r>
      <w:r w:rsidRPr="00142A9A">
        <w:t xml:space="preserve">data </w:t>
      </w:r>
      <w:r>
        <w:t xml:space="preserve">as part of the </w:t>
      </w:r>
      <w:r w:rsidR="00284F95">
        <w:t xml:space="preserve">overall clinical evaluation, as reported per the </w:t>
      </w:r>
      <w:r>
        <w:t>requirement in Annex XIV to plan, continuously conduct and document a clinical evaluation.</w:t>
      </w:r>
      <w:r>
        <w:rPr>
          <w:rStyle w:val="Appelnotedebasdep"/>
        </w:rPr>
        <w:footnoteReference w:id="9"/>
      </w:r>
      <w:r>
        <w:t xml:space="preserve"> </w:t>
      </w:r>
    </w:p>
    <w:p w14:paraId="40BC85CE" w14:textId="7BBBCE97" w:rsidR="00D44CEA" w:rsidRPr="00D44CEA" w:rsidRDefault="00D44CEA" w:rsidP="00D44CEA">
      <w:pPr>
        <w:rPr>
          <w:b/>
          <w:bCs/>
          <w:sz w:val="28"/>
          <w:szCs w:val="28"/>
        </w:rPr>
      </w:pPr>
      <w:r w:rsidRPr="00D44CEA">
        <w:rPr>
          <w:b/>
          <w:bCs/>
          <w:sz w:val="28"/>
          <w:szCs w:val="28"/>
        </w:rPr>
        <w:t xml:space="preserve">Can off-label data be used to expand the intended purpose/indications?  </w:t>
      </w:r>
    </w:p>
    <w:p w14:paraId="5EA44AAF" w14:textId="69EBD2E0" w:rsidR="00142A9A" w:rsidRDefault="00142A9A" w:rsidP="00142A9A">
      <w:pPr>
        <w:jc w:val="both"/>
      </w:pPr>
      <w:r>
        <w:t xml:space="preserve">The </w:t>
      </w:r>
      <w:r w:rsidR="00D44CEA">
        <w:t>manufacturer is required per Article 61 of the MDR to specify and justify the level of evidence to demonstrate conformity with the general safety and performance requirements of the MDR</w:t>
      </w:r>
      <w:r w:rsidR="00C3708B">
        <w:t xml:space="preserve"> taking into consideration the intended purpose of the device.</w:t>
      </w:r>
      <w:r w:rsidR="00C3708B">
        <w:rPr>
          <w:rStyle w:val="Appelnotedebasdep"/>
        </w:rPr>
        <w:footnoteReference w:id="10"/>
      </w:r>
      <w:r>
        <w:t xml:space="preserve"> </w:t>
      </w:r>
      <w:r w:rsidR="00C3708B">
        <w:t xml:space="preserve">As part of this assessment the </w:t>
      </w:r>
      <w:r w:rsidR="00BB2E5B">
        <w:t>‘</w:t>
      </w:r>
      <w:r w:rsidR="00C3708B">
        <w:t>sufficiency</w:t>
      </w:r>
      <w:r w:rsidR="00BB2E5B">
        <w:t>’</w:t>
      </w:r>
      <w:r w:rsidR="00C3708B">
        <w:t xml:space="preserve"> of this data needs to be considered. Sufficiency should be interpreted </w:t>
      </w:r>
      <w:r w:rsidR="00BB2E5B">
        <w:t>with</w:t>
      </w:r>
      <w:r w:rsidR="00C3708B">
        <w:t>in this conte</w:t>
      </w:r>
      <w:r w:rsidR="001F6589">
        <w:t>x</w:t>
      </w:r>
      <w:r w:rsidR="00C3708B">
        <w:t xml:space="preserve">t to mean both quality and quantity.  </w:t>
      </w:r>
    </w:p>
    <w:p w14:paraId="659EF53C" w14:textId="64D1F5F6" w:rsidR="00426BD4" w:rsidRDefault="00C3708B" w:rsidP="00142A9A">
      <w:pPr>
        <w:jc w:val="both"/>
      </w:pPr>
      <w:r>
        <w:t xml:space="preserve">Off-label data typically </w:t>
      </w:r>
      <w:r w:rsidR="00D73018">
        <w:t>does not have</w:t>
      </w:r>
      <w:r>
        <w:t xml:space="preserve"> </w:t>
      </w:r>
      <w:r w:rsidR="00426BD4">
        <w:t>‘sufficiency’. Whilst it may hold sufficient quantity,</w:t>
      </w:r>
      <w:r w:rsidR="00D73018">
        <w:t xml:space="preserve"> </w:t>
      </w:r>
      <w:r w:rsidR="00426BD4">
        <w:t>particularly if systematic off-label use has bee</w:t>
      </w:r>
      <w:r w:rsidR="00D73018">
        <w:t>n</w:t>
      </w:r>
      <w:r w:rsidR="00426BD4">
        <w:t xml:space="preserve"> identified</w:t>
      </w:r>
      <w:r w:rsidR="0081279C">
        <w:t>,</w:t>
      </w:r>
      <w:r w:rsidR="00426BD4">
        <w:t xml:space="preserve"> it</w:t>
      </w:r>
      <w:r w:rsidR="00D73018">
        <w:t xml:space="preserve"> however</w:t>
      </w:r>
      <w:r w:rsidR="00426BD4">
        <w:t xml:space="preserve"> will often </w:t>
      </w:r>
      <w:r w:rsidR="0081279C">
        <w:t xml:space="preserve">fail to have </w:t>
      </w:r>
      <w:r w:rsidR="00426BD4">
        <w:t>sufficient quality</w:t>
      </w:r>
      <w:r w:rsidR="0081279C">
        <w:t xml:space="preserve"> in terms or meaningful conclusions</w:t>
      </w:r>
      <w:r w:rsidR="00426BD4">
        <w:t xml:space="preserve">. </w:t>
      </w:r>
    </w:p>
    <w:p w14:paraId="6A1589EF" w14:textId="77777777" w:rsidR="00E46A7E" w:rsidRDefault="00426BD4" w:rsidP="00142A9A">
      <w:pPr>
        <w:jc w:val="both"/>
      </w:pPr>
      <w:r>
        <w:t xml:space="preserve">Off-label data is </w:t>
      </w:r>
      <w:r w:rsidR="00E46A7E">
        <w:t xml:space="preserve">typically </w:t>
      </w:r>
      <w:r>
        <w:t xml:space="preserve">collected outside any formal protocols and the absence of any </w:t>
      </w:r>
      <w:r w:rsidR="00E46A7E">
        <w:t xml:space="preserve">protocols </w:t>
      </w:r>
      <w:r>
        <w:t xml:space="preserve">ultimately results in the lack of sufficient quality </w:t>
      </w:r>
      <w:r w:rsidR="00E46A7E">
        <w:t xml:space="preserve">and the inability </w:t>
      </w:r>
      <w:r>
        <w:t xml:space="preserve">to </w:t>
      </w:r>
      <w:r w:rsidR="001F6589">
        <w:t xml:space="preserve">be able to </w:t>
      </w:r>
      <w:r w:rsidR="00FC3EEA">
        <w:t>draw</w:t>
      </w:r>
      <w:r>
        <w:t xml:space="preserve"> evidence-based conclusions.</w:t>
      </w:r>
      <w:r w:rsidR="008172BF">
        <w:t xml:space="preserve"> </w:t>
      </w:r>
    </w:p>
    <w:p w14:paraId="1B55F237" w14:textId="01398C51" w:rsidR="008172BF" w:rsidRDefault="008172BF" w:rsidP="00142A9A">
      <w:pPr>
        <w:jc w:val="both"/>
      </w:pPr>
      <w:r>
        <w:t xml:space="preserve">When considering the hierarchy of clinical evidence it would be typically assumed that data generated from off-label use outside of a controlled protocol would be low and could be considered to </w:t>
      </w:r>
      <w:r w:rsidR="00314138">
        <w:t>hold similar</w:t>
      </w:r>
      <w:r>
        <w:t xml:space="preserve"> </w:t>
      </w:r>
      <w:r w:rsidR="006A180B">
        <w:t xml:space="preserve">weighting </w:t>
      </w:r>
      <w:r w:rsidR="00314138">
        <w:t xml:space="preserve">to clinical evidence </w:t>
      </w:r>
      <w:r>
        <w:t xml:space="preserve">for </w:t>
      </w:r>
      <w:r w:rsidR="00314138">
        <w:t xml:space="preserve">individual </w:t>
      </w:r>
      <w:r>
        <w:t xml:space="preserve">case studies. </w:t>
      </w:r>
    </w:p>
    <w:p w14:paraId="746F1E6E" w14:textId="3DB19352" w:rsidR="00FC3EEA" w:rsidRDefault="00FC3EEA" w:rsidP="00142A9A">
      <w:pPr>
        <w:jc w:val="both"/>
      </w:pPr>
      <w:r>
        <w:t xml:space="preserve">When manufacturers identify systematic off-label use they should take appropriate measures not only to reduce the misuse but also to consider whether there is a genuine need within the medical community for the newly identified </w:t>
      </w:r>
      <w:r w:rsidR="001E5275">
        <w:t xml:space="preserve">use in relation to the specific </w:t>
      </w:r>
      <w:r>
        <w:t>medical purpose/indication.</w:t>
      </w:r>
    </w:p>
    <w:p w14:paraId="1D9FEEE9" w14:textId="0EC15C47" w:rsidR="00FC3EEA" w:rsidRDefault="00FC3EEA" w:rsidP="00142A9A">
      <w:pPr>
        <w:jc w:val="both"/>
      </w:pPr>
      <w:r>
        <w:t xml:space="preserve">If the conclusion of this consideration is </w:t>
      </w:r>
      <w:r w:rsidR="001F6589">
        <w:t>favourable,</w:t>
      </w:r>
      <w:r>
        <w:t xml:space="preserve"> then manufacturers should proceed to formalise the process of collecting the data and follow the requirement</w:t>
      </w:r>
      <w:r w:rsidR="001F6589">
        <w:t>s</w:t>
      </w:r>
      <w:r>
        <w:t xml:space="preserve"> of the MDR. </w:t>
      </w:r>
      <w:r w:rsidR="001F6589">
        <w:t xml:space="preserve">This may include the need to set up a clinical investigation to focus on this identified use. The MDR is clear that any </w:t>
      </w:r>
      <w:r w:rsidR="001759BE">
        <w:t>clinical</w:t>
      </w:r>
      <w:r w:rsidR="001F6589">
        <w:t xml:space="preserve"> </w:t>
      </w:r>
      <w:r w:rsidR="001759BE">
        <w:t>investigations</w:t>
      </w:r>
      <w:r w:rsidR="001F6589">
        <w:t xml:space="preserve"> that are conducted </w:t>
      </w:r>
      <w:r w:rsidR="001759BE">
        <w:t>outside of the scope of the intended purpose of a CE marked device must follow the same requirements of</w:t>
      </w:r>
      <w:r w:rsidR="006C29F2">
        <w:t xml:space="preserve"> a</w:t>
      </w:r>
      <w:r w:rsidR="001759BE">
        <w:t xml:space="preserve"> pre-market clinical investigation.</w:t>
      </w:r>
      <w:r w:rsidR="001759BE">
        <w:rPr>
          <w:rStyle w:val="Appelnotedebasdep"/>
        </w:rPr>
        <w:footnoteReference w:id="11"/>
      </w:r>
      <w:r w:rsidR="001759BE">
        <w:t xml:space="preserve"> </w:t>
      </w:r>
    </w:p>
    <w:p w14:paraId="78EDD1B5" w14:textId="6E85D3D3" w:rsidR="00FC3EEA" w:rsidRDefault="0075353E" w:rsidP="00142A9A">
      <w:pPr>
        <w:jc w:val="both"/>
      </w:pPr>
      <w:r>
        <w:t xml:space="preserve">Collecting data outside of the intended purpose in a formal manner such as a controlled clinical investigation with a robust protocol and appropriate statistical analysis plan is likely to yield sufficient quality and quantity data that can be leveraged </w:t>
      </w:r>
      <w:r w:rsidR="005D2A30">
        <w:t>to support a</w:t>
      </w:r>
      <w:r>
        <w:t xml:space="preserve"> conformity assessment. </w:t>
      </w:r>
    </w:p>
    <w:p w14:paraId="08CEEC84" w14:textId="0CB77064" w:rsidR="00D44CEA" w:rsidRPr="001759BE" w:rsidRDefault="001759BE" w:rsidP="00142A9A">
      <w:pPr>
        <w:jc w:val="both"/>
        <w:rPr>
          <w:b/>
          <w:bCs/>
          <w:sz w:val="28"/>
          <w:szCs w:val="28"/>
        </w:rPr>
      </w:pPr>
      <w:r>
        <w:rPr>
          <w:b/>
          <w:bCs/>
          <w:sz w:val="28"/>
          <w:szCs w:val="28"/>
        </w:rPr>
        <w:lastRenderedPageBreak/>
        <w:t xml:space="preserve">Derogation </w:t>
      </w:r>
      <w:r w:rsidR="00694CEE">
        <w:rPr>
          <w:b/>
          <w:bCs/>
          <w:sz w:val="28"/>
          <w:szCs w:val="28"/>
        </w:rPr>
        <w:t xml:space="preserve">from Conformity Assessment Procedures for </w:t>
      </w:r>
      <w:r>
        <w:rPr>
          <w:b/>
          <w:bCs/>
          <w:sz w:val="28"/>
          <w:szCs w:val="28"/>
        </w:rPr>
        <w:t xml:space="preserve">a Medical Device for an </w:t>
      </w:r>
      <w:r w:rsidR="00D44CEA" w:rsidRPr="001759BE">
        <w:rPr>
          <w:b/>
          <w:bCs/>
          <w:sz w:val="28"/>
          <w:szCs w:val="28"/>
        </w:rPr>
        <w:t xml:space="preserve">Unmet </w:t>
      </w:r>
      <w:r>
        <w:rPr>
          <w:b/>
          <w:bCs/>
          <w:sz w:val="28"/>
          <w:szCs w:val="28"/>
        </w:rPr>
        <w:t>M</w:t>
      </w:r>
      <w:r w:rsidR="00D44CEA" w:rsidRPr="001759BE">
        <w:rPr>
          <w:b/>
          <w:bCs/>
          <w:sz w:val="28"/>
          <w:szCs w:val="28"/>
        </w:rPr>
        <w:t xml:space="preserve">edical </w:t>
      </w:r>
      <w:r>
        <w:rPr>
          <w:b/>
          <w:bCs/>
          <w:sz w:val="28"/>
          <w:szCs w:val="28"/>
        </w:rPr>
        <w:t>N</w:t>
      </w:r>
      <w:r w:rsidR="00D44CEA" w:rsidRPr="001759BE">
        <w:rPr>
          <w:b/>
          <w:bCs/>
          <w:sz w:val="28"/>
          <w:szCs w:val="28"/>
        </w:rPr>
        <w:t>eed</w:t>
      </w:r>
    </w:p>
    <w:p w14:paraId="29F5DA9C" w14:textId="4753F509" w:rsidR="006A180B" w:rsidRDefault="001759BE" w:rsidP="00142A9A">
      <w:pPr>
        <w:jc w:val="both"/>
      </w:pPr>
      <w:r>
        <w:t xml:space="preserve">There are circumstances that a device may be </w:t>
      </w:r>
      <w:r w:rsidR="006B47F4">
        <w:t xml:space="preserve">used </w:t>
      </w:r>
      <w:r w:rsidR="00DC4A73">
        <w:t xml:space="preserve">for an unmet medical need for example for the diagnosis or treatment of a </w:t>
      </w:r>
      <w:r w:rsidR="00694CEE">
        <w:t>rare disease</w:t>
      </w:r>
      <w:r w:rsidR="006B47F4">
        <w:t xml:space="preserve"> condition</w:t>
      </w:r>
      <w:r w:rsidR="00DC4A73">
        <w:t xml:space="preserve"> </w:t>
      </w:r>
      <w:r w:rsidR="006B47F4">
        <w:t xml:space="preserve">for which the device has not been approved. </w:t>
      </w:r>
      <w:r w:rsidR="008172BF">
        <w:t xml:space="preserve">There are </w:t>
      </w:r>
      <w:r w:rsidR="001F1BF0">
        <w:t xml:space="preserve">in such circumstances </w:t>
      </w:r>
      <w:r w:rsidR="008172BF">
        <w:t xml:space="preserve">limitations </w:t>
      </w:r>
      <w:r w:rsidR="001F1BF0">
        <w:t>i</w:t>
      </w:r>
      <w:r w:rsidR="006A180B">
        <w:t xml:space="preserve">n the collection of </w:t>
      </w:r>
      <w:r w:rsidR="001F1BF0">
        <w:t xml:space="preserve">sufficient </w:t>
      </w:r>
      <w:r w:rsidR="008172BF">
        <w:t xml:space="preserve">data, </w:t>
      </w:r>
      <w:r w:rsidR="006A180B">
        <w:t>where</w:t>
      </w:r>
      <w:r w:rsidR="008172BF">
        <w:t xml:space="preserve"> often both </w:t>
      </w:r>
      <w:r w:rsidR="006A180B">
        <w:t xml:space="preserve">sufficient </w:t>
      </w:r>
      <w:r w:rsidR="008172BF">
        <w:t xml:space="preserve">quality and </w:t>
      </w:r>
      <w:r w:rsidR="006A180B">
        <w:t>quantity cannot be achieved</w:t>
      </w:r>
      <w:r w:rsidR="001F1BF0">
        <w:t xml:space="preserve"> for a meaningful conclusion. </w:t>
      </w:r>
    </w:p>
    <w:p w14:paraId="01D2DD32" w14:textId="78A552B6" w:rsidR="00D44CEA" w:rsidRPr="00142A9A" w:rsidRDefault="001F1BF0" w:rsidP="00142A9A">
      <w:pPr>
        <w:jc w:val="both"/>
      </w:pPr>
      <w:r>
        <w:t>In such circumstances, i</w:t>
      </w:r>
      <w:r w:rsidR="003E140C">
        <w:t xml:space="preserve">t may be possible for manufacturers </w:t>
      </w:r>
      <w:r w:rsidR="008959F5">
        <w:t>to consider requesting derogation</w:t>
      </w:r>
      <w:r w:rsidR="006C29F2">
        <w:t xml:space="preserve"> from conformity assessment</w:t>
      </w:r>
      <w:r w:rsidR="008959F5">
        <w:t xml:space="preserve"> </w:t>
      </w:r>
      <w:r w:rsidR="00981459">
        <w:t xml:space="preserve">procedures </w:t>
      </w:r>
      <w:r w:rsidR="008959F5">
        <w:t xml:space="preserve">for the use of the </w:t>
      </w:r>
      <w:r w:rsidR="00981459">
        <w:t xml:space="preserve">medical </w:t>
      </w:r>
      <w:r w:rsidR="008959F5">
        <w:t>device under Article 59 of the MDR.</w:t>
      </w:r>
      <w:r w:rsidR="006C29F2">
        <w:t xml:space="preserve"> This</w:t>
      </w:r>
      <w:r w:rsidR="00873094">
        <w:t xml:space="preserve"> request </w:t>
      </w:r>
      <w:r w:rsidR="00B03A5A">
        <w:t xml:space="preserve">should </w:t>
      </w:r>
      <w:r w:rsidR="00981459">
        <w:t>be</w:t>
      </w:r>
      <w:r w:rsidR="00B03A5A">
        <w:t xml:space="preserve"> made to the competent authority of the member state for which the device is intended to be used. </w:t>
      </w:r>
      <w:r w:rsidR="00B03A5A">
        <w:rPr>
          <w:rStyle w:val="Appelnotedebasdep"/>
        </w:rPr>
        <w:footnoteReference w:id="12"/>
      </w:r>
    </w:p>
    <w:sectPr w:rsidR="00D44CEA" w:rsidRPr="00142A9A" w:rsidSect="005F354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4C299" w14:textId="77777777" w:rsidR="009120E0" w:rsidRDefault="009120E0" w:rsidP="009120E0">
      <w:pPr>
        <w:spacing w:after="0" w:line="240" w:lineRule="auto"/>
      </w:pPr>
      <w:r>
        <w:separator/>
      </w:r>
    </w:p>
  </w:endnote>
  <w:endnote w:type="continuationSeparator" w:id="0">
    <w:p w14:paraId="3D68AAAF" w14:textId="77777777" w:rsidR="009120E0" w:rsidRDefault="009120E0" w:rsidP="00912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026BC" w14:textId="77777777" w:rsidR="00A65589" w:rsidRDefault="00A65589" w:rsidP="00A65589">
    <w:pPr>
      <w:pStyle w:val="Pieddepage"/>
    </w:pPr>
  </w:p>
  <w:tbl>
    <w:tblPr>
      <w:tblW w:w="9709" w:type="dxa"/>
      <w:jc w:val="center"/>
      <w:tblLayout w:type="fixed"/>
      <w:tblCellMar>
        <w:left w:w="70" w:type="dxa"/>
        <w:right w:w="70" w:type="dxa"/>
      </w:tblCellMar>
      <w:tblLook w:val="0000" w:firstRow="0" w:lastRow="0" w:firstColumn="0" w:lastColumn="0" w:noHBand="0" w:noVBand="0"/>
    </w:tblPr>
    <w:tblGrid>
      <w:gridCol w:w="1843"/>
      <w:gridCol w:w="6237"/>
      <w:gridCol w:w="1629"/>
    </w:tblGrid>
    <w:tr w:rsidR="00A65589" w:rsidRPr="00BB3ED6" w14:paraId="5F24147C" w14:textId="77777777" w:rsidTr="001D7F01">
      <w:trPr>
        <w:cantSplit/>
        <w:trHeight w:val="132"/>
        <w:jc w:val="center"/>
      </w:trPr>
      <w:tc>
        <w:tcPr>
          <w:tcW w:w="1843" w:type="dxa"/>
          <w:tcBorders>
            <w:top w:val="single" w:sz="4" w:space="0" w:color="auto"/>
          </w:tcBorders>
          <w:vAlign w:val="center"/>
        </w:tcPr>
        <w:p w14:paraId="313AA36F" w14:textId="77777777" w:rsidR="00A65589" w:rsidRPr="00BB3ED6" w:rsidRDefault="00A65589" w:rsidP="00A65589">
          <w:pPr>
            <w:pStyle w:val="Pieddepage"/>
            <w:tabs>
              <w:tab w:val="clear" w:pos="4536"/>
              <w:tab w:val="left" w:pos="1418"/>
            </w:tabs>
            <w:rPr>
              <w:rFonts w:ascii="Calibri" w:hAnsi="Calibri"/>
              <w:sz w:val="17"/>
            </w:rPr>
          </w:pPr>
          <w:r w:rsidRPr="00BB3ED6">
            <w:rPr>
              <w:rFonts w:ascii="Calibri" w:hAnsi="Calibri"/>
              <w:b/>
              <w:snapToGrid w:val="0"/>
              <w:sz w:val="19"/>
            </w:rPr>
            <w:t>TEAM-NB</w:t>
          </w:r>
          <w:r w:rsidRPr="00BB3ED6">
            <w:rPr>
              <w:rFonts w:ascii="Calibri" w:hAnsi="Calibri"/>
              <w:sz w:val="17"/>
            </w:rPr>
            <w:t xml:space="preserve"> </w:t>
          </w:r>
        </w:p>
      </w:tc>
      <w:tc>
        <w:tcPr>
          <w:tcW w:w="6237" w:type="dxa"/>
          <w:tcBorders>
            <w:top w:val="single" w:sz="4" w:space="0" w:color="auto"/>
          </w:tcBorders>
          <w:vAlign w:val="center"/>
        </w:tcPr>
        <w:p w14:paraId="319CA873" w14:textId="6CD09AEB" w:rsidR="00A65589" w:rsidRPr="00BB3ED6" w:rsidRDefault="006943C2" w:rsidP="00A65589">
          <w:pPr>
            <w:pStyle w:val="Pieddepage"/>
            <w:tabs>
              <w:tab w:val="clear" w:pos="4536"/>
            </w:tabs>
            <w:jc w:val="center"/>
            <w:rPr>
              <w:rFonts w:ascii="Calibri" w:hAnsi="Calibri"/>
              <w:snapToGrid w:val="0"/>
              <w:sz w:val="16"/>
            </w:rPr>
          </w:pPr>
          <w:r w:rsidRPr="006943C2">
            <w:rPr>
              <w:rFonts w:ascii="Calibri" w:hAnsi="Calibri"/>
              <w:sz w:val="17"/>
            </w:rPr>
            <w:t>Team-NB-PositionPaper-Off-LabelUse</w:t>
          </w:r>
          <w:r w:rsidR="00D25606">
            <w:rPr>
              <w:rFonts w:ascii="Calibri" w:hAnsi="Calibri"/>
              <w:sz w:val="17"/>
            </w:rPr>
            <w:t>-V1-20221005</w:t>
          </w:r>
        </w:p>
      </w:tc>
      <w:tc>
        <w:tcPr>
          <w:tcW w:w="1629" w:type="dxa"/>
          <w:tcBorders>
            <w:top w:val="single" w:sz="4" w:space="0" w:color="auto"/>
          </w:tcBorders>
          <w:vAlign w:val="center"/>
        </w:tcPr>
        <w:p w14:paraId="61F7166C" w14:textId="7368E747" w:rsidR="00A65589" w:rsidRPr="00BB3ED6" w:rsidRDefault="00A65589" w:rsidP="00A65589">
          <w:pPr>
            <w:pStyle w:val="Pieddepage"/>
            <w:tabs>
              <w:tab w:val="left" w:pos="1418"/>
            </w:tabs>
            <w:jc w:val="right"/>
            <w:rPr>
              <w:rFonts w:ascii="Calibri" w:hAnsi="Calibri"/>
              <w:snapToGrid w:val="0"/>
              <w:sz w:val="16"/>
              <w:lang w:val="fr-BE"/>
            </w:rPr>
          </w:pPr>
          <w:r w:rsidRPr="00BB3ED6">
            <w:rPr>
              <w:rFonts w:ascii="Calibri" w:hAnsi="Calibri"/>
              <w:sz w:val="17"/>
              <w:lang w:val="fr-BE"/>
            </w:rPr>
            <w:t xml:space="preserve">Page </w:t>
          </w:r>
          <w:r w:rsidRPr="00BB3ED6">
            <w:rPr>
              <w:rFonts w:ascii="Calibri" w:hAnsi="Calibri"/>
              <w:sz w:val="17"/>
              <w:lang w:val="fr-BE"/>
            </w:rPr>
            <w:fldChar w:fldCharType="begin"/>
          </w:r>
          <w:r w:rsidRPr="00BB3ED6">
            <w:rPr>
              <w:rFonts w:ascii="Calibri" w:hAnsi="Calibri"/>
              <w:sz w:val="17"/>
              <w:lang w:val="fr-BE"/>
            </w:rPr>
            <w:instrText xml:space="preserve"> PAGE </w:instrText>
          </w:r>
          <w:r w:rsidRPr="00BB3ED6">
            <w:rPr>
              <w:rFonts w:ascii="Calibri" w:hAnsi="Calibri"/>
              <w:sz w:val="17"/>
              <w:lang w:val="fr-BE"/>
            </w:rPr>
            <w:fldChar w:fldCharType="separate"/>
          </w:r>
          <w:r w:rsidR="00D25606">
            <w:rPr>
              <w:rFonts w:ascii="Calibri" w:hAnsi="Calibri"/>
              <w:noProof/>
              <w:sz w:val="17"/>
              <w:lang w:val="fr-BE"/>
            </w:rPr>
            <w:t>1</w:t>
          </w:r>
          <w:r w:rsidRPr="00BB3ED6">
            <w:rPr>
              <w:rFonts w:ascii="Calibri" w:hAnsi="Calibri"/>
              <w:sz w:val="17"/>
              <w:lang w:val="fr-BE"/>
            </w:rPr>
            <w:fldChar w:fldCharType="end"/>
          </w:r>
          <w:r w:rsidRPr="00BB3ED6">
            <w:rPr>
              <w:rFonts w:ascii="Calibri" w:hAnsi="Calibri"/>
              <w:sz w:val="17"/>
              <w:lang w:val="fr-BE"/>
            </w:rPr>
            <w:t>/</w:t>
          </w:r>
          <w:r w:rsidRPr="00BB3ED6">
            <w:rPr>
              <w:rFonts w:ascii="Calibri" w:hAnsi="Calibri"/>
              <w:sz w:val="17"/>
              <w:lang w:val="fr-BE"/>
            </w:rPr>
            <w:fldChar w:fldCharType="begin"/>
          </w:r>
          <w:r w:rsidRPr="00BB3ED6">
            <w:rPr>
              <w:rFonts w:ascii="Calibri" w:hAnsi="Calibri"/>
              <w:sz w:val="17"/>
              <w:lang w:val="fr-BE"/>
            </w:rPr>
            <w:instrText xml:space="preserve"> NUMPAGES </w:instrText>
          </w:r>
          <w:r w:rsidRPr="00BB3ED6">
            <w:rPr>
              <w:rFonts w:ascii="Calibri" w:hAnsi="Calibri"/>
              <w:sz w:val="17"/>
              <w:lang w:val="fr-BE"/>
            </w:rPr>
            <w:fldChar w:fldCharType="separate"/>
          </w:r>
          <w:r w:rsidR="00D25606">
            <w:rPr>
              <w:rFonts w:ascii="Calibri" w:hAnsi="Calibri"/>
              <w:noProof/>
              <w:sz w:val="17"/>
              <w:lang w:val="fr-BE"/>
            </w:rPr>
            <w:t>5</w:t>
          </w:r>
          <w:r w:rsidRPr="00BB3ED6">
            <w:rPr>
              <w:rFonts w:ascii="Calibri" w:hAnsi="Calibri"/>
              <w:sz w:val="17"/>
              <w:lang w:val="fr-BE"/>
            </w:rPr>
            <w:fldChar w:fldCharType="end"/>
          </w:r>
        </w:p>
      </w:tc>
    </w:tr>
  </w:tbl>
  <w:p w14:paraId="69CBF6F9" w14:textId="53392160" w:rsidR="00A65589" w:rsidRDefault="00A65589" w:rsidP="005F3545">
    <w:pPr>
      <w:pStyle w:val="Pieddepage"/>
      <w:tabs>
        <w:tab w:val="clear" w:pos="4536"/>
        <w:tab w:val="clear" w:pos="9072"/>
        <w:tab w:val="left" w:pos="237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5555" w14:textId="77777777" w:rsidR="009120E0" w:rsidRDefault="009120E0" w:rsidP="009120E0">
      <w:pPr>
        <w:spacing w:after="0" w:line="240" w:lineRule="auto"/>
      </w:pPr>
      <w:r>
        <w:separator/>
      </w:r>
    </w:p>
  </w:footnote>
  <w:footnote w:type="continuationSeparator" w:id="0">
    <w:p w14:paraId="310AB847" w14:textId="77777777" w:rsidR="009120E0" w:rsidRDefault="009120E0" w:rsidP="009120E0">
      <w:pPr>
        <w:spacing w:after="0" w:line="240" w:lineRule="auto"/>
      </w:pPr>
      <w:r>
        <w:continuationSeparator/>
      </w:r>
    </w:p>
  </w:footnote>
  <w:footnote w:id="1">
    <w:p w14:paraId="69A9B671" w14:textId="77538B15" w:rsidR="009120E0" w:rsidRDefault="009120E0">
      <w:pPr>
        <w:pStyle w:val="Notedebasdepage"/>
      </w:pPr>
      <w:r>
        <w:rPr>
          <w:rStyle w:val="Appelnotedebasdep"/>
        </w:rPr>
        <w:footnoteRef/>
      </w:r>
      <w:r>
        <w:t xml:space="preserve"> </w:t>
      </w:r>
      <w:r w:rsidRPr="009120E0">
        <w:t>https://www.gov.uk/government/publications/medical-devices-off-label-use/off-label-use-of-a-medical-device</w:t>
      </w:r>
    </w:p>
  </w:footnote>
  <w:footnote w:id="2">
    <w:p w14:paraId="14AFEEA0" w14:textId="0943D74D" w:rsidR="00302FBA" w:rsidRDefault="00302FBA">
      <w:pPr>
        <w:pStyle w:val="Notedebasdepage"/>
      </w:pPr>
      <w:r>
        <w:rPr>
          <w:rStyle w:val="Appelnotedebasdep"/>
        </w:rPr>
        <w:footnoteRef/>
      </w:r>
      <w:r>
        <w:t xml:space="preserve"> </w:t>
      </w:r>
      <w:r w:rsidRPr="00302FBA">
        <w:t>https://www.tga.gov.au/label-use-medical-devices-frequently-asked-questions</w:t>
      </w:r>
    </w:p>
  </w:footnote>
  <w:footnote w:id="3">
    <w:p w14:paraId="404EB9A4" w14:textId="461D9AE4" w:rsidR="00302FBA" w:rsidRDefault="00302FBA">
      <w:pPr>
        <w:pStyle w:val="Notedebasdepage"/>
      </w:pPr>
      <w:r>
        <w:rPr>
          <w:rStyle w:val="Appelnotedebasdep"/>
        </w:rPr>
        <w:footnoteRef/>
      </w:r>
      <w:r>
        <w:t xml:space="preserve"> </w:t>
      </w:r>
      <w:hyperlink r:id="rId1" w:history="1">
        <w:r w:rsidRPr="00FB71A1">
          <w:rPr>
            <w:rStyle w:val="Lienhypertexte"/>
          </w:rPr>
          <w:t>https://www.medicaldevice-network.com/comment/commentoff-label-use-of-medical-devices-5820363/</w:t>
        </w:r>
      </w:hyperlink>
      <w:r>
        <w:t xml:space="preserve"> </w:t>
      </w:r>
    </w:p>
  </w:footnote>
  <w:footnote w:id="4">
    <w:p w14:paraId="07BD623C" w14:textId="621E58F9" w:rsidR="00C453FB" w:rsidRDefault="00C453FB">
      <w:pPr>
        <w:pStyle w:val="Notedebasdepage"/>
      </w:pPr>
      <w:r>
        <w:rPr>
          <w:rStyle w:val="Appelnotedebasdep"/>
        </w:rPr>
        <w:footnoteRef/>
      </w:r>
      <w:r>
        <w:t xml:space="preserve"> EU MDR 2017/745 Article 7 </w:t>
      </w:r>
      <w:r w:rsidR="00F46A98">
        <w:t>–</w:t>
      </w:r>
      <w:r>
        <w:t xml:space="preserve"> </w:t>
      </w:r>
      <w:r w:rsidR="00F46A98" w:rsidRPr="00F46A98">
        <w:rPr>
          <w:i/>
          <w:iCs/>
          <w:sz w:val="16"/>
          <w:szCs w:val="16"/>
        </w:rPr>
        <w:t>(</w:t>
      </w:r>
      <w:r w:rsidRPr="00F46A98">
        <w:rPr>
          <w:i/>
          <w:iCs/>
          <w:sz w:val="16"/>
          <w:szCs w:val="16"/>
        </w:rPr>
        <w:t>d) suggesting uses for the device other than those stated to form part of the intended purpose for which the conformity assessment was carried out.</w:t>
      </w:r>
    </w:p>
  </w:footnote>
  <w:footnote w:id="5">
    <w:p w14:paraId="0C5007CF" w14:textId="268D0D3F" w:rsidR="00C453FB" w:rsidRDefault="00C453FB">
      <w:pPr>
        <w:pStyle w:val="Notedebasdepage"/>
      </w:pPr>
      <w:r>
        <w:rPr>
          <w:rStyle w:val="Appelnotedebasdep"/>
        </w:rPr>
        <w:footnoteRef/>
      </w:r>
      <w:r>
        <w:t xml:space="preserve"> EU MDR 2017/745 Annex I Clause 3 </w:t>
      </w:r>
      <w:r w:rsidRPr="00F46A98">
        <w:rPr>
          <w:i/>
          <w:iCs/>
          <w:sz w:val="16"/>
          <w:szCs w:val="16"/>
        </w:rPr>
        <w:t>(c) - estimate and evaluate the risks associated with, and occurring during, the intended use and during reasonably foreseeable misuse;</w:t>
      </w:r>
    </w:p>
  </w:footnote>
  <w:footnote w:id="6">
    <w:p w14:paraId="676E86B6" w14:textId="37875E2A" w:rsidR="00C453FB" w:rsidRDefault="00C453FB">
      <w:pPr>
        <w:pStyle w:val="Notedebasdepage"/>
      </w:pPr>
      <w:r>
        <w:rPr>
          <w:rStyle w:val="Appelnotedebasdep"/>
        </w:rPr>
        <w:footnoteRef/>
      </w:r>
      <w:r>
        <w:t xml:space="preserve"> EU MDR 2017/745 Annex I Clause 3 </w:t>
      </w:r>
      <w:r w:rsidR="00F46A98" w:rsidRPr="00F46A98">
        <w:rPr>
          <w:i/>
          <w:iCs/>
          <w:sz w:val="16"/>
          <w:szCs w:val="16"/>
        </w:rPr>
        <w:t>(d) eliminate or control the risks referred to in point (c) in accordance with the requirements of Section 4;</w:t>
      </w:r>
    </w:p>
  </w:footnote>
  <w:footnote w:id="7">
    <w:p w14:paraId="2B95F48F" w14:textId="10ECA90F" w:rsidR="00A854BB" w:rsidRDefault="00A854BB">
      <w:pPr>
        <w:pStyle w:val="Notedebasdepage"/>
      </w:pPr>
      <w:r>
        <w:rPr>
          <w:rStyle w:val="Appelnotedebasdep"/>
        </w:rPr>
        <w:footnoteRef/>
      </w:r>
      <w:r>
        <w:t xml:space="preserve"> EU MDR 2017/745 Annex XIV Part B </w:t>
      </w:r>
      <w:r w:rsidR="00B67D61">
        <w:t xml:space="preserve">Clause </w:t>
      </w:r>
      <w:r>
        <w:t xml:space="preserve">6.1 </w:t>
      </w:r>
      <w:r w:rsidRPr="00A854BB">
        <w:rPr>
          <w:i/>
          <w:iCs/>
          <w:sz w:val="16"/>
          <w:szCs w:val="16"/>
        </w:rPr>
        <w:t>(e) identifying possible systematic misuse or off-label use of the device, with a view to verifying that the intended purpose is correct.</w:t>
      </w:r>
    </w:p>
  </w:footnote>
  <w:footnote w:id="8">
    <w:p w14:paraId="1E240745" w14:textId="65620A06" w:rsidR="00B67D61" w:rsidRPr="00B67D61" w:rsidRDefault="00B67D61">
      <w:pPr>
        <w:pStyle w:val="Notedebasdepage"/>
        <w:rPr>
          <w:i/>
          <w:iCs/>
          <w:sz w:val="16"/>
          <w:szCs w:val="16"/>
        </w:rPr>
      </w:pPr>
      <w:r>
        <w:rPr>
          <w:rStyle w:val="Appelnotedebasdep"/>
        </w:rPr>
        <w:footnoteRef/>
      </w:r>
      <w:r>
        <w:t xml:space="preserve"> EU MDR 2017/745 Annex XIV Part A Clause 2 </w:t>
      </w:r>
      <w:r w:rsidRPr="00B67D61">
        <w:rPr>
          <w:i/>
          <w:iCs/>
          <w:sz w:val="16"/>
          <w:szCs w:val="16"/>
        </w:rPr>
        <w:t>The clinical evaluation shall be thorough and objective and take into account both favourable and unfavourable data.</w:t>
      </w:r>
    </w:p>
  </w:footnote>
  <w:footnote w:id="9">
    <w:p w14:paraId="06632AD7" w14:textId="2C760820" w:rsidR="00142A9A" w:rsidRDefault="00142A9A" w:rsidP="00142A9A">
      <w:pPr>
        <w:pStyle w:val="Notedebasdepage"/>
        <w:jc w:val="both"/>
      </w:pPr>
      <w:r>
        <w:rPr>
          <w:rStyle w:val="Appelnotedebasdep"/>
        </w:rPr>
        <w:footnoteRef/>
      </w:r>
      <w:r>
        <w:t xml:space="preserve"> EU MDR 2107/745 Annex XIV Part A Clause 1 </w:t>
      </w:r>
      <w:r w:rsidRPr="00142A9A">
        <w:rPr>
          <w:i/>
          <w:iCs/>
          <w:sz w:val="16"/>
          <w:szCs w:val="16"/>
        </w:rPr>
        <w:t>To plan, continuously conduct and document a clinical evaluation, manufacturers shall</w:t>
      </w:r>
      <w:r>
        <w:rPr>
          <w:i/>
          <w:iCs/>
          <w:sz w:val="16"/>
          <w:szCs w:val="16"/>
        </w:rPr>
        <w:t xml:space="preserve">.. </w:t>
      </w:r>
    </w:p>
  </w:footnote>
  <w:footnote w:id="10">
    <w:p w14:paraId="4F179AF1" w14:textId="2B554F23" w:rsidR="00C3708B" w:rsidRDefault="00C3708B">
      <w:pPr>
        <w:pStyle w:val="Notedebasdepage"/>
      </w:pPr>
      <w:r>
        <w:rPr>
          <w:rStyle w:val="Appelnotedebasdep"/>
        </w:rPr>
        <w:footnoteRef/>
      </w:r>
      <w:r>
        <w:t xml:space="preserve"> EU MDR 2017/745 Article 61 Clause 1 - </w:t>
      </w:r>
      <w:r w:rsidRPr="00C3708B">
        <w:rPr>
          <w:i/>
          <w:iCs/>
          <w:sz w:val="16"/>
          <w:szCs w:val="16"/>
        </w:rPr>
        <w:t>The manufacturer shall specify and justify the level of clinical evidence necessary to demonstrate conformity with the relevant general safety and performance requirements. That level of clinical evidence shall be appropriate in view of the characteristics of the device and its intended purpose.</w:t>
      </w:r>
    </w:p>
  </w:footnote>
  <w:footnote w:id="11">
    <w:p w14:paraId="38172124" w14:textId="36BBCBED" w:rsidR="001759BE" w:rsidRDefault="001759BE">
      <w:pPr>
        <w:pStyle w:val="Notedebasdepage"/>
      </w:pPr>
      <w:r>
        <w:rPr>
          <w:rStyle w:val="Appelnotedebasdep"/>
        </w:rPr>
        <w:footnoteRef/>
      </w:r>
      <w:r>
        <w:t xml:space="preserve"> EU MDR 2</w:t>
      </w:r>
      <w:r w:rsidR="00B03A5A">
        <w:t>01</w:t>
      </w:r>
      <w:r>
        <w:t>7/745 Article 74 Clause 2 -</w:t>
      </w:r>
      <w:r w:rsidRPr="001759BE">
        <w:rPr>
          <w:i/>
          <w:iCs/>
          <w:sz w:val="16"/>
          <w:szCs w:val="16"/>
        </w:rPr>
        <w:t xml:space="preserve"> Where a clinical investigation is to be conducted to assess, outside the scope of its intended purpose, a device which already bears the CE marking in accordance with Article 20(1), Articles 62 to 81 shall apply.</w:t>
      </w:r>
    </w:p>
  </w:footnote>
  <w:footnote w:id="12">
    <w:p w14:paraId="65919B57" w14:textId="77D72F43" w:rsidR="00B03A5A" w:rsidRDefault="00B03A5A">
      <w:pPr>
        <w:pStyle w:val="Notedebasdepage"/>
      </w:pPr>
      <w:r>
        <w:rPr>
          <w:rStyle w:val="Appelnotedebasdep"/>
        </w:rPr>
        <w:footnoteRef/>
      </w:r>
      <w:r>
        <w:t xml:space="preserve"> EU MDR 2017/745 Art</w:t>
      </w:r>
      <w:r w:rsidR="00E42635">
        <w:t xml:space="preserve">icle 59 Clause 1 - </w:t>
      </w:r>
      <w:r w:rsidR="00E42635" w:rsidRPr="00E42635">
        <w:rPr>
          <w:i/>
          <w:iCs/>
          <w:sz w:val="16"/>
          <w:szCs w:val="16"/>
        </w:rPr>
        <w:t>By way of derogation from Article 52, any competent authority may authorise, on a duly justified request, the placing on the market or putting into service within the territory of the Member State concerned, of a specific device for which the procedures referred to in that Article have not been carried out but use of which is in the interest of public health or patient safety or health.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5394" w:type="pct"/>
      <w:tblBorders>
        <w:insideH w:val="none" w:sz="0" w:space="0" w:color="auto"/>
        <w:insideV w:val="none" w:sz="0" w:space="0" w:color="auto"/>
      </w:tblBorders>
      <w:tblLook w:val="0000" w:firstRow="0" w:lastRow="0" w:firstColumn="0" w:lastColumn="0" w:noHBand="0" w:noVBand="0"/>
    </w:tblPr>
    <w:tblGrid>
      <w:gridCol w:w="2231"/>
      <w:gridCol w:w="7495"/>
    </w:tblGrid>
    <w:tr w:rsidR="00A65589" w:rsidRPr="00456F7F" w14:paraId="0D0CD841" w14:textId="77777777" w:rsidTr="001D7F01">
      <w:trPr>
        <w:trHeight w:val="1835"/>
      </w:trPr>
      <w:tc>
        <w:tcPr>
          <w:tcW w:w="1147" w:type="pct"/>
        </w:tcPr>
        <w:p w14:paraId="19BA50D5" w14:textId="026DA97B" w:rsidR="00A65589" w:rsidRPr="00740D33" w:rsidRDefault="00A65589" w:rsidP="00A65589">
          <w:pPr>
            <w:jc w:val="center"/>
            <w:rPr>
              <w:rFonts w:ascii="Calibri" w:eastAsia="Times New Roman" w:hAnsi="Calibri" w:cs="Arial"/>
              <w:b/>
              <w:bCs/>
              <w:sz w:val="16"/>
              <w:szCs w:val="16"/>
              <w:lang w:val="en-US" w:eastAsia="fr-FR"/>
            </w:rPr>
          </w:pPr>
          <w:r w:rsidRPr="00CA319A">
            <w:rPr>
              <w:rFonts w:ascii="Calibri" w:eastAsia="Times New Roman" w:hAnsi="Calibri" w:cs="Arial"/>
              <w:noProof/>
              <w:szCs w:val="20"/>
              <w:lang w:eastAsia="en-GB"/>
            </w:rPr>
            <w:drawing>
              <wp:anchor distT="0" distB="0" distL="114300" distR="114300" simplePos="0" relativeHeight="251659264" behindDoc="0" locked="0" layoutInCell="1" allowOverlap="1" wp14:anchorId="40D0FFF1" wp14:editId="2CF7A196">
                <wp:simplePos x="0" y="0"/>
                <wp:positionH relativeFrom="column">
                  <wp:posOffset>219710</wp:posOffset>
                </wp:positionH>
                <wp:positionV relativeFrom="paragraph">
                  <wp:posOffset>50165</wp:posOffset>
                </wp:positionV>
                <wp:extent cx="857250" cy="800100"/>
                <wp:effectExtent l="0" t="0" r="0" b="0"/>
                <wp:wrapSquare wrapText="bothSides"/>
                <wp:docPr id="3" name="Image 3" descr="R-Logo-Team-N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Logo-Team-NB-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a:ln>
                          <a:noFill/>
                        </a:ln>
                      </pic:spPr>
                    </pic:pic>
                  </a:graphicData>
                </a:graphic>
              </wp:anchor>
            </w:drawing>
          </w:r>
          <w:r w:rsidRPr="00CA319A">
            <w:rPr>
              <w:rFonts w:ascii="Calibri" w:eastAsia="Times New Roman" w:hAnsi="Calibri" w:cs="Arial"/>
              <w:szCs w:val="20"/>
              <w:lang w:val="en-US" w:eastAsia="fr-FR"/>
            </w:rPr>
            <w:t xml:space="preserve"> </w:t>
          </w:r>
          <w:r w:rsidRPr="00740D33">
            <w:rPr>
              <w:b/>
              <w:bCs/>
              <w:sz w:val="14"/>
              <w:szCs w:val="16"/>
              <w:lang w:val="en"/>
            </w:rPr>
            <w:t>T</w:t>
          </w:r>
          <w:r w:rsidRPr="00740D33">
            <w:rPr>
              <w:sz w:val="14"/>
              <w:szCs w:val="16"/>
              <w:lang w:val="en"/>
            </w:rPr>
            <w:t xml:space="preserve">he </w:t>
          </w:r>
          <w:r w:rsidRPr="00740D33">
            <w:rPr>
              <w:b/>
              <w:bCs/>
              <w:sz w:val="14"/>
              <w:szCs w:val="16"/>
              <w:lang w:val="en"/>
            </w:rPr>
            <w:t>E</w:t>
          </w:r>
          <w:r w:rsidRPr="00740D33">
            <w:rPr>
              <w:sz w:val="14"/>
              <w:szCs w:val="16"/>
              <w:lang w:val="en"/>
            </w:rPr>
            <w:t xml:space="preserve">uropean </w:t>
          </w:r>
          <w:r w:rsidRPr="00740D33">
            <w:rPr>
              <w:b/>
              <w:bCs/>
              <w:sz w:val="14"/>
              <w:szCs w:val="16"/>
              <w:lang w:val="en"/>
            </w:rPr>
            <w:t>A</w:t>
          </w:r>
          <w:r w:rsidRPr="00740D33">
            <w:rPr>
              <w:sz w:val="14"/>
              <w:szCs w:val="16"/>
              <w:lang w:val="en"/>
            </w:rPr>
            <w:t xml:space="preserve">ssociation of </w:t>
          </w:r>
          <w:r w:rsidRPr="00740D33">
            <w:rPr>
              <w:b/>
              <w:bCs/>
              <w:sz w:val="14"/>
              <w:szCs w:val="16"/>
              <w:lang w:val="en"/>
            </w:rPr>
            <w:t>M</w:t>
          </w:r>
          <w:r w:rsidRPr="00740D33">
            <w:rPr>
              <w:sz w:val="14"/>
              <w:szCs w:val="16"/>
              <w:lang w:val="en"/>
            </w:rPr>
            <w:t xml:space="preserve">edical devices </w:t>
          </w:r>
          <w:r w:rsidRPr="00740D33">
            <w:rPr>
              <w:b/>
              <w:bCs/>
              <w:sz w:val="14"/>
              <w:szCs w:val="16"/>
              <w:lang w:val="en"/>
            </w:rPr>
            <w:t>N</w:t>
          </w:r>
          <w:r w:rsidRPr="00740D33">
            <w:rPr>
              <w:sz w:val="14"/>
              <w:szCs w:val="16"/>
              <w:lang w:val="en"/>
            </w:rPr>
            <w:t xml:space="preserve">otified </w:t>
          </w:r>
          <w:r w:rsidRPr="00740D33">
            <w:rPr>
              <w:b/>
              <w:bCs/>
              <w:sz w:val="14"/>
              <w:szCs w:val="16"/>
              <w:lang w:val="en"/>
            </w:rPr>
            <w:t>B</w:t>
          </w:r>
          <w:r w:rsidRPr="00740D33">
            <w:rPr>
              <w:sz w:val="14"/>
              <w:szCs w:val="16"/>
              <w:lang w:val="en"/>
            </w:rPr>
            <w:t>odies</w:t>
          </w:r>
        </w:p>
      </w:tc>
      <w:tc>
        <w:tcPr>
          <w:tcW w:w="3853" w:type="pct"/>
        </w:tcPr>
        <w:p w14:paraId="1BBBC1F7" w14:textId="77777777" w:rsidR="00A65589" w:rsidRPr="002764C5" w:rsidRDefault="00A65589" w:rsidP="00A65589">
          <w:pPr>
            <w:spacing w:before="480"/>
            <w:jc w:val="center"/>
            <w:rPr>
              <w:rFonts w:ascii="Calibri" w:eastAsia="Times New Roman" w:hAnsi="Calibri" w:cs="Arial"/>
              <w:b/>
              <w:bCs/>
              <w:sz w:val="40"/>
              <w:szCs w:val="26"/>
              <w:lang w:eastAsia="fr-FR"/>
            </w:rPr>
          </w:pPr>
          <w:r w:rsidRPr="002764C5">
            <w:rPr>
              <w:rFonts w:ascii="Calibri" w:eastAsia="Times New Roman" w:hAnsi="Calibri" w:cs="Arial"/>
              <w:b/>
              <w:bCs/>
              <w:sz w:val="40"/>
              <w:szCs w:val="26"/>
              <w:lang w:eastAsia="fr-FR"/>
            </w:rPr>
            <w:t>Team-NB</w:t>
          </w:r>
          <w:r>
            <w:rPr>
              <w:rFonts w:ascii="Calibri" w:eastAsia="Times New Roman" w:hAnsi="Calibri" w:cs="Arial"/>
              <w:b/>
              <w:bCs/>
              <w:sz w:val="40"/>
              <w:szCs w:val="26"/>
              <w:lang w:eastAsia="fr-FR"/>
            </w:rPr>
            <w:t xml:space="preserve"> </w:t>
          </w:r>
          <w:r w:rsidRPr="002764C5">
            <w:rPr>
              <w:rFonts w:ascii="Calibri" w:eastAsia="Times New Roman" w:hAnsi="Calibri" w:cs="Arial"/>
              <w:b/>
              <w:bCs/>
              <w:sz w:val="40"/>
              <w:szCs w:val="26"/>
              <w:lang w:eastAsia="fr-FR"/>
            </w:rPr>
            <w:t>Position Paper</w:t>
          </w:r>
        </w:p>
      </w:tc>
    </w:tr>
  </w:tbl>
  <w:p w14:paraId="1375E357" w14:textId="77777777" w:rsidR="00A65589" w:rsidRDefault="00A65589">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5C8"/>
    <w:multiLevelType w:val="hybridMultilevel"/>
    <w:tmpl w:val="F55A040A"/>
    <w:lvl w:ilvl="0" w:tplc="9D568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E1426"/>
    <w:multiLevelType w:val="hybridMultilevel"/>
    <w:tmpl w:val="7A6A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34"/>
    <w:rsid w:val="000878AC"/>
    <w:rsid w:val="000C5A47"/>
    <w:rsid w:val="00112B40"/>
    <w:rsid w:val="0014054A"/>
    <w:rsid w:val="00142A9A"/>
    <w:rsid w:val="001759BE"/>
    <w:rsid w:val="00177385"/>
    <w:rsid w:val="001A1CD2"/>
    <w:rsid w:val="001E5275"/>
    <w:rsid w:val="001F1BF0"/>
    <w:rsid w:val="001F6589"/>
    <w:rsid w:val="0026003F"/>
    <w:rsid w:val="00284F95"/>
    <w:rsid w:val="00300BC0"/>
    <w:rsid w:val="00302FBA"/>
    <w:rsid w:val="00314138"/>
    <w:rsid w:val="003A1920"/>
    <w:rsid w:val="003D2446"/>
    <w:rsid w:val="003E140C"/>
    <w:rsid w:val="00402FCD"/>
    <w:rsid w:val="00426BD4"/>
    <w:rsid w:val="00502899"/>
    <w:rsid w:val="005028E1"/>
    <w:rsid w:val="0052516B"/>
    <w:rsid w:val="00547B2B"/>
    <w:rsid w:val="005D2A30"/>
    <w:rsid w:val="005F3545"/>
    <w:rsid w:val="005F5589"/>
    <w:rsid w:val="00631734"/>
    <w:rsid w:val="006943C2"/>
    <w:rsid w:val="00694CEE"/>
    <w:rsid w:val="006A180B"/>
    <w:rsid w:val="006B47F4"/>
    <w:rsid w:val="006C29F2"/>
    <w:rsid w:val="0070473C"/>
    <w:rsid w:val="007050F3"/>
    <w:rsid w:val="0075353E"/>
    <w:rsid w:val="00772522"/>
    <w:rsid w:val="007A185B"/>
    <w:rsid w:val="007A4AE4"/>
    <w:rsid w:val="007C3E34"/>
    <w:rsid w:val="007E3A2D"/>
    <w:rsid w:val="007E5B73"/>
    <w:rsid w:val="0081279C"/>
    <w:rsid w:val="008172BF"/>
    <w:rsid w:val="00855781"/>
    <w:rsid w:val="00863723"/>
    <w:rsid w:val="00873094"/>
    <w:rsid w:val="008959F5"/>
    <w:rsid w:val="008A1E88"/>
    <w:rsid w:val="009120E0"/>
    <w:rsid w:val="00950E7B"/>
    <w:rsid w:val="00954880"/>
    <w:rsid w:val="009707C7"/>
    <w:rsid w:val="00981459"/>
    <w:rsid w:val="00A363D8"/>
    <w:rsid w:val="00A36FCA"/>
    <w:rsid w:val="00A65589"/>
    <w:rsid w:val="00A854BB"/>
    <w:rsid w:val="00B03A5A"/>
    <w:rsid w:val="00B67D61"/>
    <w:rsid w:val="00B84251"/>
    <w:rsid w:val="00BB2E5B"/>
    <w:rsid w:val="00C02129"/>
    <w:rsid w:val="00C3708B"/>
    <w:rsid w:val="00C453FB"/>
    <w:rsid w:val="00C651B7"/>
    <w:rsid w:val="00C83D76"/>
    <w:rsid w:val="00CC78C7"/>
    <w:rsid w:val="00D11D7F"/>
    <w:rsid w:val="00D25606"/>
    <w:rsid w:val="00D44CEA"/>
    <w:rsid w:val="00D73018"/>
    <w:rsid w:val="00DC4A73"/>
    <w:rsid w:val="00E42635"/>
    <w:rsid w:val="00E43C29"/>
    <w:rsid w:val="00E46A7E"/>
    <w:rsid w:val="00E51D78"/>
    <w:rsid w:val="00EA1365"/>
    <w:rsid w:val="00F46A98"/>
    <w:rsid w:val="00F93B11"/>
    <w:rsid w:val="00FC3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79A95"/>
  <w15:chartTrackingRefBased/>
  <w15:docId w15:val="{9B02EEF3-17B7-4D10-BFEA-386C832A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D6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43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120E0"/>
    <w:pPr>
      <w:ind w:left="720"/>
      <w:contextualSpacing/>
    </w:pPr>
  </w:style>
  <w:style w:type="character" w:styleId="Lienhypertexte">
    <w:name w:val="Hyperlink"/>
    <w:basedOn w:val="Policepardfaut"/>
    <w:uiPriority w:val="99"/>
    <w:unhideWhenUsed/>
    <w:rsid w:val="009120E0"/>
    <w:rPr>
      <w:color w:val="0563C1" w:themeColor="hyperlink"/>
      <w:u w:val="single"/>
    </w:rPr>
  </w:style>
  <w:style w:type="character" w:customStyle="1" w:styleId="UnresolvedMention">
    <w:name w:val="Unresolved Mention"/>
    <w:basedOn w:val="Policepardfaut"/>
    <w:uiPriority w:val="99"/>
    <w:semiHidden/>
    <w:unhideWhenUsed/>
    <w:rsid w:val="009120E0"/>
    <w:rPr>
      <w:color w:val="605E5C"/>
      <w:shd w:val="clear" w:color="auto" w:fill="E1DFDD"/>
    </w:rPr>
  </w:style>
  <w:style w:type="paragraph" w:styleId="Notedebasdepage">
    <w:name w:val="footnote text"/>
    <w:basedOn w:val="Normal"/>
    <w:link w:val="NotedebasdepageCar"/>
    <w:uiPriority w:val="99"/>
    <w:semiHidden/>
    <w:unhideWhenUsed/>
    <w:rsid w:val="009120E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120E0"/>
    <w:rPr>
      <w:sz w:val="20"/>
      <w:szCs w:val="20"/>
    </w:rPr>
  </w:style>
  <w:style w:type="character" w:styleId="Appelnotedebasdep">
    <w:name w:val="footnote reference"/>
    <w:basedOn w:val="Policepardfaut"/>
    <w:uiPriority w:val="99"/>
    <w:semiHidden/>
    <w:unhideWhenUsed/>
    <w:rsid w:val="009120E0"/>
    <w:rPr>
      <w:vertAlign w:val="superscript"/>
    </w:rPr>
  </w:style>
  <w:style w:type="paragraph" w:styleId="En-tte">
    <w:name w:val="header"/>
    <w:basedOn w:val="Normal"/>
    <w:link w:val="En-tteCar"/>
    <w:uiPriority w:val="99"/>
    <w:unhideWhenUsed/>
    <w:rsid w:val="00A65589"/>
    <w:pPr>
      <w:tabs>
        <w:tab w:val="center" w:pos="4536"/>
        <w:tab w:val="right" w:pos="9072"/>
      </w:tabs>
      <w:spacing w:after="0" w:line="240" w:lineRule="auto"/>
    </w:pPr>
  </w:style>
  <w:style w:type="character" w:customStyle="1" w:styleId="En-tteCar">
    <w:name w:val="En-tête Car"/>
    <w:basedOn w:val="Policepardfaut"/>
    <w:link w:val="En-tte"/>
    <w:uiPriority w:val="99"/>
    <w:rsid w:val="00A65589"/>
  </w:style>
  <w:style w:type="paragraph" w:styleId="Pieddepage">
    <w:name w:val="footer"/>
    <w:basedOn w:val="Normal"/>
    <w:link w:val="PieddepageCar"/>
    <w:unhideWhenUsed/>
    <w:rsid w:val="00A655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589"/>
  </w:style>
  <w:style w:type="character" w:styleId="Numrodeligne">
    <w:name w:val="line number"/>
    <w:basedOn w:val="Policepardfaut"/>
    <w:uiPriority w:val="99"/>
    <w:semiHidden/>
    <w:unhideWhenUsed/>
    <w:rsid w:val="005F3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ldevice-network.com/comment/commentoff-label-use-of-medical-devices-58203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D522-DCB6-4419-8A6F-F2652F35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1334</Words>
  <Characters>7610</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Holborow</dc:creator>
  <cp:keywords/>
  <dc:description/>
  <cp:lastModifiedBy>Team-NB-asst</cp:lastModifiedBy>
  <cp:revision>4</cp:revision>
  <dcterms:created xsi:type="dcterms:W3CDTF">2022-08-26T08:33:00Z</dcterms:created>
  <dcterms:modified xsi:type="dcterms:W3CDTF">2022-10-07T09:02:00Z</dcterms:modified>
</cp:coreProperties>
</file>