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FFDEA" w14:textId="77777777" w:rsidR="008B2664" w:rsidRPr="00C937A5" w:rsidRDefault="008B2664" w:rsidP="00EA6EFC">
      <w:pPr>
        <w:rPr>
          <w:rFonts w:cstheme="minorHAnsi"/>
        </w:rPr>
      </w:pPr>
    </w:p>
    <w:p w14:paraId="18DCE72E" w14:textId="77777777" w:rsidR="00CA3EC6" w:rsidRPr="00C937A5" w:rsidRDefault="00CA3EC6" w:rsidP="00EA6EFC">
      <w:pPr>
        <w:rPr>
          <w:rFonts w:cstheme="minorHAnsi"/>
          <w:color w:val="002060"/>
          <w:sz w:val="32"/>
          <w:szCs w:val="32"/>
        </w:rPr>
      </w:pPr>
    </w:p>
    <w:p w14:paraId="6D9D9C23" w14:textId="77777777" w:rsidR="003F5F19" w:rsidRPr="00C937A5" w:rsidRDefault="003F5F19" w:rsidP="00EA6EFC">
      <w:pPr>
        <w:rPr>
          <w:rFonts w:cstheme="minorHAnsi"/>
          <w:color w:val="002060"/>
          <w:sz w:val="32"/>
          <w:szCs w:val="32"/>
        </w:rPr>
      </w:pPr>
    </w:p>
    <w:p w14:paraId="527BCF0B" w14:textId="77777777" w:rsidR="00CA3EC6" w:rsidRPr="00C937A5" w:rsidRDefault="00CA3EC6" w:rsidP="00903B5D">
      <w:pPr>
        <w:pBdr>
          <w:top w:val="single" w:sz="8" w:space="1" w:color="002060"/>
          <w:left w:val="single" w:sz="8" w:space="4" w:color="002060"/>
          <w:bottom w:val="single" w:sz="8" w:space="1" w:color="002060"/>
          <w:right w:val="single" w:sz="8" w:space="4" w:color="002060"/>
        </w:pBdr>
        <w:rPr>
          <w:rFonts w:cstheme="minorHAnsi"/>
          <w:b/>
          <w:color w:val="002060"/>
          <w:sz w:val="32"/>
          <w:szCs w:val="32"/>
        </w:rPr>
      </w:pPr>
    </w:p>
    <w:p w14:paraId="72C2BB39" w14:textId="77777777" w:rsidR="00EA6EFC" w:rsidRPr="00C937A5" w:rsidRDefault="00C74468" w:rsidP="00EA6EFC">
      <w:pPr>
        <w:pBdr>
          <w:top w:val="single" w:sz="8" w:space="1" w:color="002060"/>
          <w:left w:val="single" w:sz="8" w:space="4" w:color="002060"/>
          <w:bottom w:val="single" w:sz="8" w:space="1" w:color="002060"/>
          <w:right w:val="single" w:sz="8" w:space="4" w:color="002060"/>
        </w:pBdr>
        <w:rPr>
          <w:rFonts w:cstheme="minorHAnsi"/>
          <w:b/>
          <w:color w:val="002060"/>
          <w:sz w:val="48"/>
          <w:szCs w:val="48"/>
        </w:rPr>
      </w:pPr>
      <w:r w:rsidRPr="00C937A5">
        <w:rPr>
          <w:rFonts w:cstheme="minorHAnsi"/>
          <w:b/>
          <w:color w:val="002060"/>
          <w:sz w:val="48"/>
          <w:szCs w:val="48"/>
        </w:rPr>
        <w:t>MDCG 20</w:t>
      </w:r>
      <w:r w:rsidR="00EA6EFC" w:rsidRPr="00C937A5">
        <w:rPr>
          <w:rFonts w:cstheme="minorHAnsi"/>
          <w:b/>
          <w:color w:val="002060"/>
          <w:sz w:val="48"/>
          <w:szCs w:val="48"/>
        </w:rPr>
        <w:t>22</w:t>
      </w:r>
      <w:r w:rsidRPr="00C937A5">
        <w:rPr>
          <w:rFonts w:cstheme="minorHAnsi"/>
          <w:b/>
          <w:color w:val="002060"/>
          <w:sz w:val="48"/>
          <w:szCs w:val="48"/>
        </w:rPr>
        <w:t>-</w:t>
      </w:r>
      <w:r w:rsidR="00EA6EFC" w:rsidRPr="00C937A5">
        <w:rPr>
          <w:rFonts w:cstheme="minorHAnsi"/>
          <w:b/>
          <w:color w:val="002060"/>
          <w:sz w:val="48"/>
          <w:szCs w:val="48"/>
          <w:highlight w:val="yellow"/>
        </w:rPr>
        <w:t>XX</w:t>
      </w:r>
    </w:p>
    <w:p w14:paraId="33957EEE" w14:textId="77777777" w:rsidR="005D35D6" w:rsidRPr="00C937A5" w:rsidRDefault="006A3F33" w:rsidP="00EA6EFC">
      <w:pPr>
        <w:pBdr>
          <w:top w:val="single" w:sz="8" w:space="1" w:color="002060"/>
          <w:left w:val="single" w:sz="8" w:space="4" w:color="002060"/>
          <w:bottom w:val="single" w:sz="8" w:space="1" w:color="002060"/>
          <w:right w:val="single" w:sz="8" w:space="4" w:color="002060"/>
        </w:pBdr>
        <w:rPr>
          <w:rFonts w:cstheme="minorHAnsi"/>
          <w:b/>
          <w:color w:val="002060"/>
          <w:sz w:val="28"/>
          <w:szCs w:val="28"/>
        </w:rPr>
      </w:pPr>
      <w:r w:rsidRPr="00C937A5">
        <w:rPr>
          <w:rFonts w:cstheme="minorHAnsi"/>
          <w:b/>
          <w:color w:val="002060"/>
          <w:sz w:val="48"/>
          <w:szCs w:val="48"/>
        </w:rPr>
        <w:t xml:space="preserve">MDCG position paper on </w:t>
      </w:r>
      <w:r w:rsidR="001E10AA">
        <w:rPr>
          <w:rFonts w:cstheme="minorHAnsi"/>
          <w:b/>
          <w:color w:val="002060"/>
          <w:sz w:val="48"/>
          <w:szCs w:val="48"/>
        </w:rPr>
        <w:t>‘</w:t>
      </w:r>
      <w:r w:rsidRPr="00C937A5">
        <w:rPr>
          <w:rFonts w:cstheme="minorHAnsi"/>
          <w:b/>
          <w:color w:val="002060"/>
          <w:sz w:val="48"/>
          <w:szCs w:val="48"/>
        </w:rPr>
        <w:t>hybrid audits</w:t>
      </w:r>
      <w:r w:rsidR="001E10AA">
        <w:rPr>
          <w:rFonts w:cstheme="minorHAnsi"/>
          <w:b/>
          <w:color w:val="002060"/>
          <w:sz w:val="48"/>
          <w:szCs w:val="48"/>
        </w:rPr>
        <w:t>’</w:t>
      </w:r>
    </w:p>
    <w:p w14:paraId="093348CE" w14:textId="77777777" w:rsidR="003F5F19" w:rsidRPr="00C937A5" w:rsidRDefault="003F5F19" w:rsidP="00903B5D">
      <w:pPr>
        <w:pBdr>
          <w:top w:val="single" w:sz="8" w:space="1" w:color="002060"/>
          <w:left w:val="single" w:sz="8" w:space="4" w:color="002060"/>
          <w:bottom w:val="single" w:sz="8" w:space="1" w:color="002060"/>
          <w:right w:val="single" w:sz="8" w:space="4" w:color="002060"/>
        </w:pBdr>
        <w:rPr>
          <w:rFonts w:cstheme="minorHAnsi"/>
          <w:b/>
          <w:color w:val="002060"/>
          <w:sz w:val="24"/>
          <w:szCs w:val="24"/>
        </w:rPr>
      </w:pPr>
    </w:p>
    <w:p w14:paraId="0F7CC03C" w14:textId="77777777" w:rsidR="00903B5D" w:rsidRPr="00C937A5" w:rsidRDefault="00DF2020" w:rsidP="00903B5D">
      <w:pPr>
        <w:pBdr>
          <w:top w:val="single" w:sz="8" w:space="1" w:color="002060"/>
          <w:left w:val="single" w:sz="8" w:space="4" w:color="002060"/>
          <w:bottom w:val="single" w:sz="8" w:space="1" w:color="002060"/>
          <w:right w:val="single" w:sz="8" w:space="4" w:color="002060"/>
        </w:pBdr>
        <w:rPr>
          <w:rFonts w:cstheme="minorHAnsi"/>
          <w:b/>
          <w:color w:val="002060"/>
          <w:sz w:val="32"/>
          <w:szCs w:val="32"/>
        </w:rPr>
      </w:pPr>
      <w:r w:rsidRPr="00C937A5">
        <w:rPr>
          <w:rFonts w:cstheme="minorHAnsi"/>
          <w:b/>
          <w:color w:val="002060"/>
          <w:sz w:val="32"/>
          <w:szCs w:val="32"/>
          <w:highlight w:val="yellow"/>
        </w:rPr>
        <w:t>Month</w:t>
      </w:r>
      <w:r w:rsidR="00B06FF5" w:rsidRPr="00C937A5">
        <w:rPr>
          <w:rFonts w:cstheme="minorHAnsi"/>
          <w:b/>
          <w:color w:val="002060"/>
          <w:sz w:val="24"/>
          <w:szCs w:val="24"/>
        </w:rPr>
        <w:t xml:space="preserve"> </w:t>
      </w:r>
      <w:r w:rsidR="00B06FF5" w:rsidRPr="00C937A5">
        <w:rPr>
          <w:rFonts w:cstheme="minorHAnsi"/>
          <w:b/>
          <w:color w:val="002060"/>
          <w:sz w:val="32"/>
          <w:szCs w:val="32"/>
        </w:rPr>
        <w:t>20</w:t>
      </w:r>
      <w:r w:rsidR="00214B17" w:rsidRPr="00C937A5">
        <w:rPr>
          <w:rFonts w:cstheme="minorHAnsi"/>
          <w:b/>
          <w:color w:val="002060"/>
          <w:sz w:val="32"/>
          <w:szCs w:val="32"/>
        </w:rPr>
        <w:t>2</w:t>
      </w:r>
      <w:r w:rsidR="00EA6EFC" w:rsidRPr="00C937A5">
        <w:rPr>
          <w:rFonts w:cstheme="minorHAnsi"/>
          <w:b/>
          <w:color w:val="002060"/>
          <w:sz w:val="32"/>
          <w:szCs w:val="32"/>
        </w:rPr>
        <w:t>2</w:t>
      </w:r>
    </w:p>
    <w:p w14:paraId="3FE77685" w14:textId="77777777" w:rsidR="003F5F19" w:rsidRPr="00C937A5" w:rsidRDefault="003F5F19" w:rsidP="00903B5D">
      <w:pPr>
        <w:pBdr>
          <w:top w:val="single" w:sz="8" w:space="1" w:color="002060"/>
          <w:left w:val="single" w:sz="8" w:space="4" w:color="002060"/>
          <w:bottom w:val="single" w:sz="8" w:space="1" w:color="002060"/>
          <w:right w:val="single" w:sz="8" w:space="4" w:color="002060"/>
        </w:pBdr>
        <w:rPr>
          <w:rFonts w:cstheme="minorHAnsi"/>
          <w:b/>
          <w:color w:val="000000" w:themeColor="text1"/>
          <w:sz w:val="24"/>
          <w:szCs w:val="24"/>
        </w:rPr>
      </w:pPr>
    </w:p>
    <w:p w14:paraId="2DBA930D" w14:textId="77777777" w:rsidR="00116357" w:rsidRPr="00C937A5" w:rsidRDefault="00116357" w:rsidP="00EA6EFC">
      <w:pPr>
        <w:rPr>
          <w:rFonts w:cstheme="minorHAnsi"/>
        </w:rPr>
      </w:pPr>
    </w:p>
    <w:p w14:paraId="69A81F2E" w14:textId="77777777" w:rsidR="00116357" w:rsidRDefault="00116357" w:rsidP="00EA6EFC">
      <w:pPr>
        <w:rPr>
          <w:rFonts w:cstheme="minorHAnsi"/>
        </w:rPr>
      </w:pPr>
    </w:p>
    <w:p w14:paraId="71C11029" w14:textId="77777777" w:rsidR="001E10AA" w:rsidRDefault="001E10AA" w:rsidP="00EA6EFC">
      <w:pPr>
        <w:rPr>
          <w:rFonts w:cstheme="minorHAnsi"/>
        </w:rPr>
      </w:pPr>
    </w:p>
    <w:p w14:paraId="1695D6AE" w14:textId="77777777" w:rsidR="001E10AA" w:rsidRPr="00C937A5" w:rsidRDefault="001E10AA" w:rsidP="00EA6EFC">
      <w:pPr>
        <w:rPr>
          <w:rFonts w:cstheme="minorHAnsi"/>
        </w:rPr>
      </w:pPr>
    </w:p>
    <w:p w14:paraId="0D598657" w14:textId="77777777" w:rsidR="00116357" w:rsidRDefault="00116357" w:rsidP="00EA6EFC">
      <w:pPr>
        <w:rPr>
          <w:rFonts w:cstheme="minorHAnsi"/>
        </w:rPr>
      </w:pPr>
    </w:p>
    <w:p w14:paraId="3E8362C4" w14:textId="77777777" w:rsidR="001E10AA" w:rsidRDefault="001E10AA" w:rsidP="00EA6EFC">
      <w:pPr>
        <w:rPr>
          <w:rFonts w:cstheme="minorHAnsi"/>
        </w:rPr>
      </w:pPr>
    </w:p>
    <w:p w14:paraId="5170C4A8" w14:textId="77777777" w:rsidR="001E10AA" w:rsidRDefault="001E10AA" w:rsidP="00EA6EFC">
      <w:pPr>
        <w:rPr>
          <w:rFonts w:cstheme="minorHAnsi"/>
        </w:rPr>
      </w:pPr>
    </w:p>
    <w:p w14:paraId="6E35377F" w14:textId="77777777" w:rsidR="00D9786B" w:rsidRPr="00C937A5" w:rsidRDefault="00D9786B" w:rsidP="00D9786B">
      <w:pPr>
        <w:rPr>
          <w:rFonts w:cstheme="minorHAnsi"/>
          <w:bCs/>
          <w:sz w:val="24"/>
          <w:szCs w:val="24"/>
        </w:rPr>
      </w:pPr>
      <w:r w:rsidRPr="00C937A5">
        <w:rPr>
          <w:rFonts w:cstheme="minorHAnsi"/>
          <w:bCs/>
          <w:sz w:val="24"/>
          <w:szCs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0A9EF482" w14:textId="77777777" w:rsidR="00D9786B" w:rsidRPr="00C937A5" w:rsidRDefault="00D9786B" w:rsidP="00D9786B">
      <w:pPr>
        <w:rPr>
          <w:rFonts w:cstheme="minorHAnsi"/>
          <w:color w:val="002060"/>
          <w:sz w:val="24"/>
          <w:szCs w:val="24"/>
        </w:rPr>
      </w:pPr>
      <w:r w:rsidRPr="00C937A5">
        <w:rPr>
          <w:rFonts w:cstheme="minorHAnsi"/>
          <w:bCs/>
          <w:sz w:val="24"/>
          <w:szCs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0F16CBF6" w14:textId="77777777" w:rsidR="00116357" w:rsidRPr="00C937A5" w:rsidRDefault="00116357" w:rsidP="00EA6EFC">
      <w:pPr>
        <w:rPr>
          <w:rFonts w:cstheme="minorHAnsi"/>
        </w:rPr>
      </w:pPr>
    </w:p>
    <w:p w14:paraId="789B60B3" w14:textId="77777777" w:rsidR="00937265" w:rsidRPr="00C937A5" w:rsidRDefault="00937265" w:rsidP="00EA6EFC">
      <w:pPr>
        <w:rPr>
          <w:rFonts w:cstheme="minorHAnsi"/>
        </w:rPr>
      </w:pPr>
      <w:r w:rsidRPr="00C937A5">
        <w:rPr>
          <w:rFonts w:cstheme="minorHAnsi"/>
        </w:rPr>
        <w:br w:type="page"/>
      </w:r>
    </w:p>
    <w:p w14:paraId="2285E327" w14:textId="77777777" w:rsidR="00521F16" w:rsidRDefault="00521F16" w:rsidP="001E198E"/>
    <w:p w14:paraId="29D955D6" w14:textId="6AF70BA0" w:rsidR="00CB1D77" w:rsidRDefault="006F485C" w:rsidP="001E198E">
      <w:r>
        <w:t xml:space="preserve">This paper </w:t>
      </w:r>
      <w:r w:rsidR="007E2591">
        <w:t xml:space="preserve">outlines the </w:t>
      </w:r>
      <w:r w:rsidR="00FB0630">
        <w:t>Medical Device Coordination Group (</w:t>
      </w:r>
      <w:r w:rsidR="007E2591">
        <w:t>MDCG</w:t>
      </w:r>
      <w:r w:rsidR="00FB0630">
        <w:t>)</w:t>
      </w:r>
      <w:r w:rsidR="007E2591">
        <w:t xml:space="preserve"> position </w:t>
      </w:r>
      <w:r w:rsidR="00C077C4">
        <w:t>on</w:t>
      </w:r>
      <w:r w:rsidR="007E2591">
        <w:t xml:space="preserve"> </w:t>
      </w:r>
      <w:r w:rsidR="00E12A7E">
        <w:t>the</w:t>
      </w:r>
      <w:r w:rsidR="007E2591">
        <w:t xml:space="preserve"> </w:t>
      </w:r>
      <w:r w:rsidR="00891A6B">
        <w:t xml:space="preserve">possible </w:t>
      </w:r>
      <w:r w:rsidR="00E12A7E">
        <w:t>use</w:t>
      </w:r>
      <w:r w:rsidR="007E2591">
        <w:t xml:space="preserve"> of hybrid audits </w:t>
      </w:r>
      <w:r w:rsidR="00E12A7E">
        <w:t xml:space="preserve">by notified bodies </w:t>
      </w:r>
      <w:r w:rsidR="007E2591">
        <w:t xml:space="preserve">under </w:t>
      </w:r>
      <w:r w:rsidR="00365681">
        <w:t>Regulation (EU) 2017/745 on medical devices (</w:t>
      </w:r>
      <w:r w:rsidR="007E2591">
        <w:t>MDR</w:t>
      </w:r>
      <w:r w:rsidR="00365681">
        <w:t>)</w:t>
      </w:r>
      <w:r w:rsidR="007E2591">
        <w:t xml:space="preserve"> and </w:t>
      </w:r>
      <w:r w:rsidR="007213C5">
        <w:t>R</w:t>
      </w:r>
      <w:r w:rsidR="00365681">
        <w:t xml:space="preserve">egulation (EU) 2017/746 on </w:t>
      </w:r>
      <w:r w:rsidR="00365681" w:rsidRPr="00FB0630">
        <w:rPr>
          <w:i/>
        </w:rPr>
        <w:t>in vitro</w:t>
      </w:r>
      <w:r w:rsidR="00365681">
        <w:t xml:space="preserve"> diagnostic medical devices (</w:t>
      </w:r>
      <w:r w:rsidR="007E2591">
        <w:t>IVDR</w:t>
      </w:r>
      <w:r w:rsidR="00365681">
        <w:t>)</w:t>
      </w:r>
      <w:r w:rsidR="007E2591">
        <w:t>.</w:t>
      </w:r>
    </w:p>
    <w:p w14:paraId="67C3C6F1" w14:textId="6CF3B28C" w:rsidR="00C937A5" w:rsidRDefault="007E2591" w:rsidP="001E198E">
      <w:r>
        <w:t xml:space="preserve">It is recognised that there was a disruption to the traditional auditing method during the global COVID-19 pandemic due to travel restrictions and other </w:t>
      </w:r>
      <w:r w:rsidR="00EF35B6">
        <w:t>health advice</w:t>
      </w:r>
      <w:r w:rsidR="00E12A7E">
        <w:t xml:space="preserve"> at that time</w:t>
      </w:r>
      <w:r w:rsidR="00EF35B6">
        <w:t xml:space="preserve">. Since </w:t>
      </w:r>
      <w:r w:rsidR="00E12A7E">
        <w:t>then</w:t>
      </w:r>
      <w:r w:rsidR="00EF35B6">
        <w:t xml:space="preserve">, </w:t>
      </w:r>
      <w:r>
        <w:t xml:space="preserve">auditors and auditees have become accustomed </w:t>
      </w:r>
      <w:r w:rsidR="00EF35B6">
        <w:t>with</w:t>
      </w:r>
      <w:r>
        <w:t xml:space="preserve"> </w:t>
      </w:r>
      <w:r w:rsidR="00EF35B6">
        <w:t xml:space="preserve">the use of information and communication technologies (ICT) during audits </w:t>
      </w:r>
      <w:r w:rsidR="00871CAA" w:rsidRPr="00871CAA">
        <w:t xml:space="preserve">as </w:t>
      </w:r>
      <w:r w:rsidR="00871CAA">
        <w:t xml:space="preserve">described in </w:t>
      </w:r>
      <w:r w:rsidR="00871CAA" w:rsidRPr="00871CAA">
        <w:t>MDCG 2020-4</w:t>
      </w:r>
      <w:r w:rsidR="00FB0630">
        <w:rPr>
          <w:rStyle w:val="FootnoteReference"/>
        </w:rPr>
        <w:footnoteReference w:id="1"/>
      </w:r>
      <w:r w:rsidR="00871CAA" w:rsidRPr="00871CAA">
        <w:t xml:space="preserve"> and MDCG 2020-17</w:t>
      </w:r>
      <w:r w:rsidR="00FB0630">
        <w:rPr>
          <w:rStyle w:val="FootnoteReference"/>
        </w:rPr>
        <w:footnoteReference w:id="2"/>
      </w:r>
      <w:r w:rsidR="00EF35B6">
        <w:t xml:space="preserve">. </w:t>
      </w:r>
      <w:r w:rsidR="00E12A7E">
        <w:t xml:space="preserve">This paper aims to provide a definition for hybrid audits and </w:t>
      </w:r>
      <w:r w:rsidR="00365681">
        <w:t xml:space="preserve">clarifications </w:t>
      </w:r>
      <w:r w:rsidR="00E12A7E">
        <w:t>with respect to how hybrid audits can be used under MDR and IVDR as advised f</w:t>
      </w:r>
      <w:r w:rsidR="001E198E" w:rsidRPr="001E198E">
        <w:t>ollowing the publication of MDCG 2022-14</w:t>
      </w:r>
      <w:r w:rsidR="00FB0630">
        <w:rPr>
          <w:rStyle w:val="FootnoteReference"/>
        </w:rPr>
        <w:footnoteReference w:id="3"/>
      </w:r>
      <w:r w:rsidR="00E12A7E">
        <w:t xml:space="preserve">. </w:t>
      </w:r>
    </w:p>
    <w:p w14:paraId="5CB3E863" w14:textId="76FD125E" w:rsidR="00C937A5" w:rsidRDefault="00C937A5" w:rsidP="00C937A5">
      <w:r>
        <w:t xml:space="preserve">Certain conformity assessment procedures under </w:t>
      </w:r>
      <w:r w:rsidR="003D15BC">
        <w:t xml:space="preserve">the </w:t>
      </w:r>
      <w:r w:rsidR="00871CAA">
        <w:t xml:space="preserve">MDR and </w:t>
      </w:r>
      <w:r w:rsidR="003D15BC">
        <w:t xml:space="preserve">the </w:t>
      </w:r>
      <w:r w:rsidR="00871CAA">
        <w:t>IVDR</w:t>
      </w:r>
      <w:r>
        <w:t xml:space="preserve"> require the notified body to carry out audits of the manufacturer’s </w:t>
      </w:r>
      <w:r w:rsidR="004E60E2">
        <w:t>q</w:t>
      </w:r>
      <w:r>
        <w:t xml:space="preserve">uality </w:t>
      </w:r>
      <w:r w:rsidR="004E60E2">
        <w:t xml:space="preserve">management system </w:t>
      </w:r>
      <w:r>
        <w:t xml:space="preserve">(QMS). </w:t>
      </w:r>
      <w:r w:rsidR="004E60E2">
        <w:t>The assessment procedure must include an audit on</w:t>
      </w:r>
      <w:r>
        <w:t xml:space="preserve"> the manufacturer</w:t>
      </w:r>
      <w:r w:rsidR="004E60E2">
        <w:t>’s</w:t>
      </w:r>
      <w:r>
        <w:t xml:space="preserve"> premises both for the initial assessment</w:t>
      </w:r>
      <w:r>
        <w:rPr>
          <w:rStyle w:val="FootnoteReference"/>
        </w:rPr>
        <w:footnoteReference w:id="4"/>
      </w:r>
      <w:r>
        <w:t xml:space="preserve"> and for the periodic surveillance</w:t>
      </w:r>
      <w:r>
        <w:rPr>
          <w:rStyle w:val="FootnoteReference"/>
        </w:rPr>
        <w:footnoteReference w:id="5"/>
      </w:r>
      <w:r>
        <w:t>.</w:t>
      </w:r>
      <w:r w:rsidR="004E60E2">
        <w:t xml:space="preserve"> The same requirement applies</w:t>
      </w:r>
      <w:r w:rsidR="006F485C">
        <w:t>, as appropriate, for audits to occur on the premises of the manufacturer’s suppliers and/or subcontractors.</w:t>
      </w:r>
      <w:r w:rsidR="00871CAA">
        <w:t xml:space="preserve"> </w:t>
      </w:r>
    </w:p>
    <w:p w14:paraId="763F5EBC" w14:textId="65E07F41" w:rsidR="00C937A5" w:rsidRDefault="000A52B5" w:rsidP="00C937A5">
      <w:r>
        <w:t>In addition to the terms ‘premises</w:t>
      </w:r>
      <w:r w:rsidR="004B7C38">
        <w:t>’</w:t>
      </w:r>
      <w:r>
        <w:t xml:space="preserve"> or ‘on the premises’</w:t>
      </w:r>
      <w:r w:rsidR="004B7C38">
        <w:t xml:space="preserve">, also ‘on-site’ and ‘off-site’ are used in </w:t>
      </w:r>
      <w:r w:rsidR="003D15BC">
        <w:t xml:space="preserve">the </w:t>
      </w:r>
      <w:r>
        <w:t xml:space="preserve">MDR and </w:t>
      </w:r>
      <w:r w:rsidR="003D15BC">
        <w:t xml:space="preserve">the </w:t>
      </w:r>
      <w:r>
        <w:t>IVDR</w:t>
      </w:r>
      <w:r w:rsidR="004B7C38">
        <w:t xml:space="preserve"> to describe where conformity assessment activities take place. </w:t>
      </w:r>
    </w:p>
    <w:p w14:paraId="4BD95261" w14:textId="25575556" w:rsidR="00EC276F" w:rsidRDefault="004B7C38" w:rsidP="00EC276F">
      <w:r>
        <w:t xml:space="preserve">To clarify the meaning of the term ‘hybrid audit’, </w:t>
      </w:r>
      <w:r w:rsidR="00EC276F">
        <w:t xml:space="preserve">the MDCG </w:t>
      </w:r>
      <w:r w:rsidR="00FB0630">
        <w:t xml:space="preserve">agrees on </w:t>
      </w:r>
      <w:r w:rsidR="00307D41">
        <w:t>the following definition</w:t>
      </w:r>
      <w:r w:rsidR="00EC276F">
        <w:t>.</w:t>
      </w:r>
    </w:p>
    <w:p w14:paraId="2F0303BC" w14:textId="0002680D" w:rsidR="00F74EC0" w:rsidRDefault="00EC276F" w:rsidP="00FB0630">
      <w:pPr>
        <w:rPr>
          <w:b/>
        </w:rPr>
      </w:pPr>
      <w:r w:rsidRPr="00FB0630">
        <w:rPr>
          <w:b/>
        </w:rPr>
        <w:t>A ‘hybrid audit’ should be understood as an audit on the premises of the manufacturer or its supplier(s) and/or subcontractor(s) with at least one auditor present on the premises and other</w:t>
      </w:r>
      <w:r w:rsidR="007A4B35" w:rsidRPr="00FB0630">
        <w:rPr>
          <w:b/>
        </w:rPr>
        <w:t xml:space="preserve"> </w:t>
      </w:r>
      <w:r w:rsidRPr="00FB0630">
        <w:rPr>
          <w:b/>
        </w:rPr>
        <w:t>members of the audit team participating from elsewhere using information and communication technologies (ICT).</w:t>
      </w:r>
    </w:p>
    <w:p w14:paraId="69FC677C" w14:textId="77777777" w:rsidR="00FB0630" w:rsidRDefault="0033605D" w:rsidP="0033605D">
      <w:r>
        <w:lastRenderedPageBreak/>
        <w:t xml:space="preserve">The presence of the auditor(s) on the </w:t>
      </w:r>
      <w:r w:rsidR="00AE6A6F">
        <w:t>auditee’s premises</w:t>
      </w:r>
      <w:r>
        <w:t xml:space="preserve"> and of the other members of the audit team can last either from the opening meeting to the closing meeting or for a portion of that time.</w:t>
      </w:r>
    </w:p>
    <w:p w14:paraId="1DDCED43" w14:textId="24BFFCA0" w:rsidR="0033605D" w:rsidRDefault="0033605D" w:rsidP="0033605D">
      <w:r>
        <w:t xml:space="preserve">A </w:t>
      </w:r>
      <w:r w:rsidR="002D0F3C">
        <w:t xml:space="preserve">conformity assessment </w:t>
      </w:r>
      <w:r>
        <w:t xml:space="preserve">activity included in the audit plan can be carried out either on the </w:t>
      </w:r>
      <w:r w:rsidR="00AE6A6F">
        <w:t>auditee’s</w:t>
      </w:r>
      <w:r>
        <w:t xml:space="preserve"> premises, from elsewhere or simultaneously from the </w:t>
      </w:r>
      <w:r w:rsidR="00AE6A6F">
        <w:t>auditee’s</w:t>
      </w:r>
      <w:r>
        <w:t xml:space="preserve"> premises and elsewhere. The auditee should be involved in any case.</w:t>
      </w:r>
    </w:p>
    <w:p w14:paraId="77232FAC" w14:textId="0ACFE4DD" w:rsidR="007A4B35" w:rsidRDefault="0033605D" w:rsidP="00C937A5">
      <w:r>
        <w:t>When establishing their audit plan</w:t>
      </w:r>
      <w:r w:rsidR="00FB6BD5">
        <w:rPr>
          <w:rStyle w:val="FootnoteReference"/>
        </w:rPr>
        <w:footnoteReference w:id="6"/>
      </w:r>
      <w:r>
        <w:t xml:space="preserve">, notified bodies need to make sure that they plan sufficient time to audit the relevant processes on the </w:t>
      </w:r>
      <w:r w:rsidR="00AE6A6F">
        <w:t>auditee’s premises</w:t>
      </w:r>
      <w:r w:rsidR="00F74EC0">
        <w:t xml:space="preserve"> and identify the </w:t>
      </w:r>
      <w:r w:rsidR="002D0F3C">
        <w:t xml:space="preserve">conformity assessment </w:t>
      </w:r>
      <w:r w:rsidR="00F74EC0">
        <w:t xml:space="preserve">activities that are carried out on the </w:t>
      </w:r>
      <w:r w:rsidR="00AE6A6F">
        <w:t xml:space="preserve">auditee’s </w:t>
      </w:r>
      <w:r w:rsidR="00F74EC0">
        <w:t>premises or using ICT</w:t>
      </w:r>
      <w:r>
        <w:t>.</w:t>
      </w:r>
    </w:p>
    <w:p w14:paraId="15A63478" w14:textId="2BBD0B98" w:rsidR="003A7BE4" w:rsidRDefault="003A7BE4" w:rsidP="00C937A5">
      <w:bookmarkStart w:id="0" w:name="_GoBack"/>
      <w:bookmarkEnd w:id="0"/>
    </w:p>
    <w:p w14:paraId="21E80A09" w14:textId="1AB8DDCC" w:rsidR="0033605D" w:rsidRDefault="003D15BC" w:rsidP="00C937A5">
      <w:r>
        <w:t xml:space="preserve">The </w:t>
      </w:r>
      <w:r w:rsidR="0033605D">
        <w:t xml:space="preserve">MDCG </w:t>
      </w:r>
      <w:r w:rsidR="002B1059">
        <w:t xml:space="preserve">may review this position and determine </w:t>
      </w:r>
      <w:r w:rsidR="007A4B35">
        <w:t xml:space="preserve">whether modifications are needed </w:t>
      </w:r>
      <w:r w:rsidR="0033605D">
        <w:t xml:space="preserve">based on the experience </w:t>
      </w:r>
      <w:r w:rsidR="007A4B35">
        <w:t>gained</w:t>
      </w:r>
      <w:r w:rsidR="00CE17CE">
        <w:t>.</w:t>
      </w:r>
    </w:p>
    <w:p w14:paraId="41219C5F" w14:textId="7976C3A3" w:rsidR="00D97F57" w:rsidRDefault="00D97F57" w:rsidP="00C937A5">
      <w:r>
        <w:t>The MDCG advises NBCG-Med to further elaborate on operational elements, including the identification of as aspects to be audited on the auditee’s premises.</w:t>
      </w:r>
    </w:p>
    <w:sectPr w:rsidR="00D97F57" w:rsidSect="006170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981A2" w14:textId="77777777" w:rsidR="005D35D6" w:rsidRDefault="005D35D6" w:rsidP="005D35D6">
      <w:pPr>
        <w:spacing w:after="0" w:line="240" w:lineRule="auto"/>
      </w:pPr>
      <w:r>
        <w:separator/>
      </w:r>
    </w:p>
  </w:endnote>
  <w:endnote w:type="continuationSeparator" w:id="0">
    <w:p w14:paraId="12AEBC52" w14:textId="77777777" w:rsidR="005D35D6" w:rsidRDefault="005D35D6" w:rsidP="005D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2564E" w14:textId="77777777" w:rsidR="00230D70" w:rsidRDefault="00230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143676"/>
      <w:docPartObj>
        <w:docPartGallery w:val="Page Numbers (Bottom of Page)"/>
        <w:docPartUnique/>
      </w:docPartObj>
    </w:sdtPr>
    <w:sdtEndPr/>
    <w:sdtContent>
      <w:sdt>
        <w:sdtPr>
          <w:id w:val="-1416395078"/>
          <w:docPartObj>
            <w:docPartGallery w:val="Page Numbers (Top of Page)"/>
            <w:docPartUnique/>
          </w:docPartObj>
        </w:sdtPr>
        <w:sdtEndPr/>
        <w:sdtContent>
          <w:p w14:paraId="3648ED28" w14:textId="288A6706" w:rsidR="00CA3EC6" w:rsidRDefault="00CA3E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708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708A">
              <w:rPr>
                <w:b/>
                <w:bCs/>
                <w:noProof/>
              </w:rPr>
              <w:t>3</w:t>
            </w:r>
            <w:r>
              <w:rPr>
                <w:b/>
                <w:bCs/>
                <w:sz w:val="24"/>
                <w:szCs w:val="24"/>
              </w:rPr>
              <w:fldChar w:fldCharType="end"/>
            </w:r>
          </w:p>
        </w:sdtContent>
      </w:sdt>
    </w:sdtContent>
  </w:sdt>
  <w:p w14:paraId="26BEF977" w14:textId="77777777" w:rsidR="008B2664" w:rsidRDefault="008B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B6F3" w14:textId="77777777" w:rsidR="00230D70" w:rsidRDefault="00230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5BFD4" w14:textId="77777777" w:rsidR="005D35D6" w:rsidRDefault="005D35D6" w:rsidP="005D35D6">
      <w:pPr>
        <w:spacing w:after="0" w:line="240" w:lineRule="auto"/>
      </w:pPr>
      <w:r>
        <w:separator/>
      </w:r>
    </w:p>
  </w:footnote>
  <w:footnote w:type="continuationSeparator" w:id="0">
    <w:p w14:paraId="16D512EA" w14:textId="77777777" w:rsidR="005D35D6" w:rsidRDefault="005D35D6" w:rsidP="005D35D6">
      <w:pPr>
        <w:spacing w:after="0" w:line="240" w:lineRule="auto"/>
      </w:pPr>
      <w:r>
        <w:continuationSeparator/>
      </w:r>
    </w:p>
  </w:footnote>
  <w:footnote w:id="1">
    <w:p w14:paraId="54FA79FC" w14:textId="06D6CF55" w:rsidR="00FB0630" w:rsidRPr="00FB0630" w:rsidRDefault="00FB0630" w:rsidP="00521F16">
      <w:pPr>
        <w:pStyle w:val="FootnoteText"/>
        <w:rPr>
          <w:lang w:val="it-IT"/>
        </w:rPr>
      </w:pPr>
      <w:r>
        <w:rPr>
          <w:rStyle w:val="FootnoteReference"/>
        </w:rPr>
        <w:footnoteRef/>
      </w:r>
      <w:r>
        <w:t xml:space="preserve"> </w:t>
      </w:r>
      <w:r w:rsidRPr="00C937A5">
        <w:t xml:space="preserve">MDCG 2020-4 “Guidance on temporary extraordinary measures related to medical device notified body audits during COVID-19 quarantine orders and travel restrictions” </w:t>
      </w:r>
      <w:r w:rsidR="00521F16">
        <w:t>(</w:t>
      </w:r>
      <w:hyperlink r:id="rId1" w:history="1">
        <w:r w:rsidRPr="00430593">
          <w:rPr>
            <w:rStyle w:val="Hyperlink"/>
          </w:rPr>
          <w:t>https://health.ec.europa.eu/document/download/8811a216-fdd1-45c7-bd82-381a37696f05_en?filename=md_mdcg_2020_4_nb_audits_covid-19_en.pdf</w:t>
        </w:r>
      </w:hyperlink>
      <w:r w:rsidR="00521F16" w:rsidRPr="00521F16">
        <w:t>).</w:t>
      </w:r>
    </w:p>
  </w:footnote>
  <w:footnote w:id="2">
    <w:p w14:paraId="6995B162" w14:textId="2BC3DD79" w:rsidR="00FB0630" w:rsidRPr="00FB0630" w:rsidRDefault="00FB0630" w:rsidP="00521F16">
      <w:pPr>
        <w:pStyle w:val="FootnoteText"/>
        <w:rPr>
          <w:lang w:val="it-IT"/>
        </w:rPr>
      </w:pPr>
      <w:r>
        <w:rPr>
          <w:rStyle w:val="FootnoteReference"/>
        </w:rPr>
        <w:footnoteRef/>
      </w:r>
      <w:r>
        <w:t xml:space="preserve"> </w:t>
      </w:r>
      <w:r w:rsidRPr="00C937A5">
        <w:t>MDCG 2020-</w:t>
      </w:r>
      <w:r>
        <w:t>17</w:t>
      </w:r>
      <w:r w:rsidRPr="00C937A5">
        <w:t xml:space="preserve"> “Questions and Answers related to MDCG 2020-4” </w:t>
      </w:r>
      <w:r w:rsidR="00521F16">
        <w:t>(</w:t>
      </w:r>
      <w:hyperlink r:id="rId2" w:history="1">
        <w:r w:rsidRPr="00430593">
          <w:rPr>
            <w:rStyle w:val="Hyperlink"/>
          </w:rPr>
          <w:t>https://health.ec.europa.eu/document/download/a3bbc84b-078a-46d7-a281-d68136da6d38_en?filename=md_2020-17-guidance-mdcg-qa_en.pdf</w:t>
        </w:r>
      </w:hyperlink>
      <w:r w:rsidR="00521F16" w:rsidRPr="00521F16">
        <w:t>).</w:t>
      </w:r>
    </w:p>
  </w:footnote>
  <w:footnote w:id="3">
    <w:p w14:paraId="0212FA4C" w14:textId="40F1C98A" w:rsidR="00FB0630" w:rsidRPr="00FB0630" w:rsidRDefault="00FB0630" w:rsidP="00521F16">
      <w:pPr>
        <w:pStyle w:val="FootnoteText"/>
        <w:rPr>
          <w:lang w:val="it-IT"/>
        </w:rPr>
      </w:pPr>
      <w:r>
        <w:rPr>
          <w:rStyle w:val="FootnoteReference"/>
        </w:rPr>
        <w:footnoteRef/>
      </w:r>
      <w:r>
        <w:t xml:space="preserve"> </w:t>
      </w:r>
      <w:r>
        <w:rPr>
          <w:lang w:val="it-IT"/>
        </w:rPr>
        <w:t>MDCG 2022-14 “</w:t>
      </w:r>
      <w:r w:rsidRPr="00FB0630">
        <w:rPr>
          <w:lang w:val="en-IE"/>
        </w:rPr>
        <w:t>Transition to the MDR and IVDR - Notified body capacity and availability of medical devices and IVDs”</w:t>
      </w:r>
      <w:r>
        <w:rPr>
          <w:lang w:val="it-IT"/>
        </w:rPr>
        <w:t xml:space="preserve"> </w:t>
      </w:r>
      <w:r w:rsidR="00521F16">
        <w:rPr>
          <w:lang w:val="it-IT"/>
        </w:rPr>
        <w:t>(</w:t>
      </w:r>
      <w:hyperlink r:id="rId3" w:history="1">
        <w:r w:rsidRPr="00732A22">
          <w:rPr>
            <w:rStyle w:val="Hyperlink"/>
            <w:lang w:val="it-IT"/>
          </w:rPr>
          <w:t>https://health.ec.europa.eu/document/download/2db053bc-283c-4d2e-93f4-c3e8032e66da_en?filename=mdcg_2022-14_en.pdf</w:t>
        </w:r>
      </w:hyperlink>
      <w:r w:rsidR="00521F16">
        <w:rPr>
          <w:lang w:val="it-IT"/>
        </w:rPr>
        <w:t>).</w:t>
      </w:r>
    </w:p>
  </w:footnote>
  <w:footnote w:id="4">
    <w:p w14:paraId="0DF9005C" w14:textId="7C2A3E97" w:rsidR="00C937A5" w:rsidRPr="00C937A5" w:rsidRDefault="00C937A5" w:rsidP="00521F16">
      <w:pPr>
        <w:pStyle w:val="FootnoteText"/>
        <w:rPr>
          <w:lang w:val="it-IT"/>
        </w:rPr>
      </w:pPr>
      <w:r>
        <w:rPr>
          <w:rStyle w:val="FootnoteReference"/>
        </w:rPr>
        <w:footnoteRef/>
      </w:r>
      <w:r>
        <w:t xml:space="preserve"> </w:t>
      </w:r>
      <w:r w:rsidRPr="00C937A5">
        <w:t>In accordance with Section 2.3 of Annex IX to MDR and IDVR and similar requirements from Annexe</w:t>
      </w:r>
      <w:r w:rsidR="007213C5">
        <w:t>s</w:t>
      </w:r>
      <w:r w:rsidRPr="00C937A5">
        <w:t xml:space="preserve"> XI to MDR and IVDR</w:t>
      </w:r>
      <w:r w:rsidR="007213C5">
        <w:t>: “</w:t>
      </w:r>
      <w:r w:rsidR="007213C5" w:rsidRPr="007213C5">
        <w:t xml:space="preserve">The assessment procedure shall include an audit on the manufacturer's premises and, if appropriate, on the premises of the manufacturer's suppliers and/or subcontractors </w:t>
      </w:r>
      <w:r w:rsidR="007213C5" w:rsidRPr="00521F16">
        <w:t>to verify the manufacturing and other relevant processes</w:t>
      </w:r>
      <w:r w:rsidR="007213C5">
        <w:t>”</w:t>
      </w:r>
      <w:r w:rsidRPr="00C937A5">
        <w:t>.</w:t>
      </w:r>
    </w:p>
  </w:footnote>
  <w:footnote w:id="5">
    <w:p w14:paraId="248F721C" w14:textId="14BDCBBE" w:rsidR="00C937A5" w:rsidRPr="00C937A5" w:rsidRDefault="00C937A5" w:rsidP="00521F16">
      <w:pPr>
        <w:pStyle w:val="FootnoteText"/>
        <w:rPr>
          <w:lang w:val="it-IT"/>
        </w:rPr>
      </w:pPr>
      <w:r>
        <w:rPr>
          <w:rStyle w:val="FootnoteReference"/>
        </w:rPr>
        <w:footnoteRef/>
      </w:r>
      <w:r>
        <w:t xml:space="preserve"> </w:t>
      </w:r>
      <w:r w:rsidR="007213C5">
        <w:t>I</w:t>
      </w:r>
      <w:r w:rsidRPr="00C937A5">
        <w:t>n accordance with Section 3.3 of Annex IX to MDR and IVDR</w:t>
      </w:r>
      <w:r w:rsidR="007213C5">
        <w:t>: “</w:t>
      </w:r>
      <w:r w:rsidR="007213C5" w:rsidRPr="007213C5">
        <w:t xml:space="preserve">Notified bodies shall periodically, at least once every 12 months, carry out appropriate audits and assessments </w:t>
      </w:r>
      <w:r w:rsidR="007213C5" w:rsidRPr="00521F16">
        <w:t>to</w:t>
      </w:r>
      <w:r w:rsidR="007213C5" w:rsidRPr="007213C5">
        <w:t xml:space="preserve"> </w:t>
      </w:r>
      <w:r w:rsidR="007213C5" w:rsidRPr="00521F16">
        <w:t>make sure that the manufacturer in question applies the approved quality management system and the post- market surveillance plan</w:t>
      </w:r>
      <w:r w:rsidR="007213C5" w:rsidRPr="007213C5">
        <w:t>. Those audits and assessments shall include audits on the premises of the manufacturer and, if appropriate, of the manufacturer's suppliers and/or subcontractors</w:t>
      </w:r>
      <w:r w:rsidR="007213C5">
        <w:t>. …”</w:t>
      </w:r>
      <w:r w:rsidRPr="00C937A5">
        <w:t>.</w:t>
      </w:r>
    </w:p>
  </w:footnote>
  <w:footnote w:id="6">
    <w:p w14:paraId="648BA276" w14:textId="4504F6F5" w:rsidR="00FB6BD5" w:rsidRPr="00FB6BD5" w:rsidRDefault="00FB6BD5">
      <w:pPr>
        <w:pStyle w:val="FootnoteText"/>
      </w:pPr>
      <w:r>
        <w:rPr>
          <w:rStyle w:val="FootnoteReference"/>
        </w:rPr>
        <w:footnoteRef/>
      </w:r>
      <w:r>
        <w:t xml:space="preserve"> I</w:t>
      </w:r>
      <w:r w:rsidRPr="00C937A5">
        <w:t xml:space="preserve">n accordance with Section </w:t>
      </w:r>
      <w:r>
        <w:t xml:space="preserve">4.5.2 a) </w:t>
      </w:r>
      <w:r w:rsidRPr="00C937A5">
        <w:t xml:space="preserve">of Annex </w:t>
      </w:r>
      <w:r>
        <w:t>V</w:t>
      </w:r>
      <w:r w:rsidRPr="00C937A5">
        <w:t>I</w:t>
      </w:r>
      <w:r>
        <w:t>I</w:t>
      </w:r>
      <w:r w:rsidRPr="00C937A5">
        <w:t xml:space="preserve"> to MDR and IVDR</w:t>
      </w:r>
      <w:r>
        <w:t xml:space="preserve">: “… </w:t>
      </w:r>
      <w:r w:rsidRPr="00FB6BD5">
        <w:t>a notified body shall</w:t>
      </w:r>
      <w:r>
        <w:t xml:space="preserve"> … </w:t>
      </w:r>
      <w:r w:rsidRPr="00FB6BD5">
        <w:t>draw up an audit programme which clearly identifies the number and sequence of activities required to demonstrate complete coverage of a manufacturer's quality management system</w:t>
      </w:r>
      <w:r>
        <w:t xml:space="preserve"> … </w:t>
      </w:r>
      <w:r w:rsidRPr="00521F16">
        <w:t>clearly define, for each audit identified in the audit programme, the objectives, criteria and scope of the audit, and draw up an audit plan that adequately addresses and takes account of the specific requirements for the devices, technologies and processes involved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672C" w14:textId="77777777" w:rsidR="00230D70" w:rsidRDefault="00230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8BF5C" w14:textId="134D95C7" w:rsidR="00694735" w:rsidRPr="00C937A5" w:rsidRDefault="0061708A" w:rsidP="00694735">
    <w:pPr>
      <w:pStyle w:val="Header"/>
      <w:rPr>
        <w:rFonts w:cstheme="minorHAnsi"/>
        <w:color w:val="002060"/>
        <w:sz w:val="40"/>
        <w:szCs w:val="40"/>
        <w:lang w:val="fr-BE"/>
      </w:rPr>
    </w:pPr>
    <w:sdt>
      <w:sdtPr>
        <w:rPr>
          <w:rFonts w:cstheme="minorHAnsi"/>
          <w:b/>
          <w:color w:val="002060"/>
          <w:sz w:val="40"/>
          <w:szCs w:val="40"/>
          <w:lang w:val="fr-BE"/>
        </w:rPr>
        <w:id w:val="-621233576"/>
        <w:docPartObj>
          <w:docPartGallery w:val="Watermarks"/>
          <w:docPartUnique/>
        </w:docPartObj>
      </w:sdtPr>
      <w:sdtEndPr/>
      <w:sdtContent>
        <w:r>
          <w:rPr>
            <w:rFonts w:cstheme="minorHAnsi"/>
            <w:b/>
            <w:noProof/>
            <w:color w:val="002060"/>
            <w:sz w:val="40"/>
            <w:szCs w:val="40"/>
            <w:lang w:val="fr-BE"/>
          </w:rPr>
          <w:pict w14:anchorId="3A20D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32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4735" w:rsidRPr="00C937A5">
      <w:rPr>
        <w:rFonts w:cstheme="minorHAnsi"/>
        <w:b/>
        <w:color w:val="002060"/>
        <w:sz w:val="40"/>
        <w:szCs w:val="40"/>
        <w:lang w:val="fr-BE"/>
      </w:rPr>
      <w:t>Medical Devices</w:t>
    </w:r>
    <w:r w:rsidR="00694735" w:rsidRPr="00C937A5">
      <w:rPr>
        <w:rFonts w:cstheme="minorHAnsi"/>
        <w:color w:val="002060"/>
        <w:sz w:val="40"/>
        <w:szCs w:val="40"/>
        <w:lang w:val="fr-BE"/>
      </w:rPr>
      <w:tab/>
      <w:t xml:space="preserve">    </w:t>
    </w:r>
  </w:p>
  <w:p w14:paraId="6281EC7C" w14:textId="77777777" w:rsidR="00694735" w:rsidRPr="00C937A5" w:rsidRDefault="00694735" w:rsidP="00694735">
    <w:pPr>
      <w:pStyle w:val="Header"/>
      <w:pBdr>
        <w:bottom w:val="single" w:sz="4" w:space="1" w:color="auto"/>
      </w:pBdr>
      <w:rPr>
        <w:rFonts w:cstheme="minorHAnsi"/>
        <w:color w:val="002060"/>
        <w:sz w:val="28"/>
        <w:szCs w:val="28"/>
        <w:lang w:val="fr-BE"/>
      </w:rPr>
    </w:pPr>
    <w:r w:rsidRPr="00C937A5">
      <w:rPr>
        <w:rFonts w:cstheme="minorHAnsi"/>
        <w:color w:val="002060"/>
        <w:sz w:val="24"/>
        <w:szCs w:val="24"/>
        <w:lang w:val="fr-BE"/>
      </w:rPr>
      <w:t xml:space="preserve">Medical </w:t>
    </w:r>
    <w:proofErr w:type="spellStart"/>
    <w:r w:rsidRPr="00C937A5">
      <w:rPr>
        <w:rFonts w:cstheme="minorHAnsi"/>
        <w:color w:val="002060"/>
        <w:sz w:val="24"/>
        <w:szCs w:val="24"/>
        <w:lang w:val="fr-BE"/>
      </w:rPr>
      <w:t>Device</w:t>
    </w:r>
    <w:proofErr w:type="spellEnd"/>
    <w:r w:rsidRPr="00C937A5">
      <w:rPr>
        <w:rFonts w:cstheme="minorHAnsi"/>
        <w:color w:val="002060"/>
        <w:sz w:val="24"/>
        <w:szCs w:val="24"/>
        <w:lang w:val="fr-BE"/>
      </w:rPr>
      <w:t xml:space="preserve"> Coordination Group Document</w:t>
    </w:r>
    <w:r w:rsidRPr="00C937A5">
      <w:rPr>
        <w:rFonts w:cstheme="minorHAnsi"/>
        <w:color w:val="002060"/>
        <w:sz w:val="28"/>
        <w:szCs w:val="28"/>
        <w:lang w:val="fr-BE"/>
      </w:rPr>
      <w:t xml:space="preserve"> </w:t>
    </w:r>
    <w:r w:rsidRPr="00C937A5">
      <w:rPr>
        <w:rFonts w:cstheme="minorHAnsi"/>
        <w:color w:val="002060"/>
        <w:sz w:val="28"/>
        <w:szCs w:val="28"/>
        <w:lang w:val="fr-BE"/>
      </w:rPr>
      <w:tab/>
    </w:r>
    <w:r w:rsidR="00C937A5" w:rsidRPr="00C937A5">
      <w:rPr>
        <w:rFonts w:cstheme="minorHAnsi"/>
        <w:color w:val="002060"/>
        <w:sz w:val="28"/>
        <w:szCs w:val="28"/>
        <w:lang w:val="fr-BE"/>
      </w:rPr>
      <w:t xml:space="preserve">MDCG </w:t>
    </w:r>
    <w:r w:rsidRPr="00C937A5">
      <w:rPr>
        <w:rFonts w:cstheme="minorHAnsi"/>
        <w:color w:val="002060"/>
        <w:sz w:val="28"/>
        <w:szCs w:val="28"/>
        <w:lang w:val="fr-BE"/>
      </w:rPr>
      <w:t>20</w:t>
    </w:r>
    <w:r w:rsidR="00EA6EFC" w:rsidRPr="00C937A5">
      <w:rPr>
        <w:rFonts w:cstheme="minorHAnsi"/>
        <w:color w:val="002060"/>
        <w:sz w:val="28"/>
        <w:szCs w:val="28"/>
        <w:lang w:val="fr-BE"/>
      </w:rPr>
      <w:t>22</w:t>
    </w:r>
    <w:r w:rsidRPr="00C937A5">
      <w:rPr>
        <w:rFonts w:cstheme="minorHAnsi"/>
        <w:color w:val="002060"/>
        <w:sz w:val="28"/>
        <w:szCs w:val="28"/>
        <w:lang w:val="fr-BE"/>
      </w:rPr>
      <w:t>-</w:t>
    </w:r>
    <w:r w:rsidR="00EA6EFC" w:rsidRPr="00C937A5">
      <w:rPr>
        <w:rFonts w:cstheme="minorHAnsi"/>
        <w:color w:val="002060"/>
        <w:sz w:val="28"/>
        <w:szCs w:val="28"/>
        <w:lang w:val="fr-BE"/>
      </w:rPr>
      <w:t>XX</w:t>
    </w:r>
  </w:p>
  <w:p w14:paraId="2D5A3680" w14:textId="77777777" w:rsidR="00903B5D" w:rsidRPr="00C937A5" w:rsidRDefault="00903B5D" w:rsidP="00694735">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9B82" w14:textId="77777777" w:rsidR="00230D70" w:rsidRDefault="00230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C24B2"/>
    <w:multiLevelType w:val="hybridMultilevel"/>
    <w:tmpl w:val="DC9E19F0"/>
    <w:lvl w:ilvl="0" w:tplc="5916294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AB38A2"/>
    <w:multiLevelType w:val="hybridMultilevel"/>
    <w:tmpl w:val="AA8E896A"/>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A70DE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EAA31CA"/>
    <w:multiLevelType w:val="multilevel"/>
    <w:tmpl w:val="847289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627D28"/>
    <w:multiLevelType w:val="hybridMultilevel"/>
    <w:tmpl w:val="BDC6C8C6"/>
    <w:lvl w:ilvl="0" w:tplc="A4CCC9CE">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de-DE" w:vendorID="64" w:dllVersion="131078" w:nlCheck="1" w:checkStyle="0"/>
  <w:proofState w:spelling="clean" w:grammar="clean"/>
  <w:defaultTabStop w:val="720"/>
  <w:hyphenationZone w:val="425"/>
  <w:characterSpacingControl w:val="doNotCompress"/>
  <w:hdrShapeDefaults>
    <o:shapedefaults v:ext="edit" spidmax="53250"/>
    <o:shapelayout v:ext="edit">
      <o:idmap v:ext="edit" data="5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D35D6"/>
    <w:rsid w:val="00005481"/>
    <w:rsid w:val="00024643"/>
    <w:rsid w:val="0006319F"/>
    <w:rsid w:val="000A52B5"/>
    <w:rsid w:val="000B5F76"/>
    <w:rsid w:val="00102414"/>
    <w:rsid w:val="00116357"/>
    <w:rsid w:val="00184E0D"/>
    <w:rsid w:val="0019430F"/>
    <w:rsid w:val="001D6DFE"/>
    <w:rsid w:val="001E10AA"/>
    <w:rsid w:val="001E198E"/>
    <w:rsid w:val="002044FD"/>
    <w:rsid w:val="0021152F"/>
    <w:rsid w:val="00214B17"/>
    <w:rsid w:val="002171AE"/>
    <w:rsid w:val="00230D70"/>
    <w:rsid w:val="00273277"/>
    <w:rsid w:val="0029325D"/>
    <w:rsid w:val="002B1059"/>
    <w:rsid w:val="002C24A3"/>
    <w:rsid w:val="002D0F3C"/>
    <w:rsid w:val="00306BE1"/>
    <w:rsid w:val="00307D41"/>
    <w:rsid w:val="00320476"/>
    <w:rsid w:val="0033605D"/>
    <w:rsid w:val="00343D6D"/>
    <w:rsid w:val="00365681"/>
    <w:rsid w:val="003A7BE4"/>
    <w:rsid w:val="003B7E8C"/>
    <w:rsid w:val="003D15BC"/>
    <w:rsid w:val="003F5F19"/>
    <w:rsid w:val="00425294"/>
    <w:rsid w:val="004A518C"/>
    <w:rsid w:val="004B7C38"/>
    <w:rsid w:val="004C5439"/>
    <w:rsid w:val="004E60E2"/>
    <w:rsid w:val="004F5909"/>
    <w:rsid w:val="00521F16"/>
    <w:rsid w:val="00550B2F"/>
    <w:rsid w:val="00553896"/>
    <w:rsid w:val="00556489"/>
    <w:rsid w:val="005743C5"/>
    <w:rsid w:val="005A386A"/>
    <w:rsid w:val="005B596A"/>
    <w:rsid w:val="005D35D6"/>
    <w:rsid w:val="005F79B6"/>
    <w:rsid w:val="00600D3B"/>
    <w:rsid w:val="00607FED"/>
    <w:rsid w:val="0061708A"/>
    <w:rsid w:val="00694735"/>
    <w:rsid w:val="006A3F33"/>
    <w:rsid w:val="006B599C"/>
    <w:rsid w:val="006F485C"/>
    <w:rsid w:val="007213C5"/>
    <w:rsid w:val="00747ABD"/>
    <w:rsid w:val="00751ECD"/>
    <w:rsid w:val="007A4B35"/>
    <w:rsid w:val="007E10A6"/>
    <w:rsid w:val="007E2591"/>
    <w:rsid w:val="00804E99"/>
    <w:rsid w:val="00857BEF"/>
    <w:rsid w:val="00871CAA"/>
    <w:rsid w:val="00891A6B"/>
    <w:rsid w:val="008B2664"/>
    <w:rsid w:val="009004B1"/>
    <w:rsid w:val="00903B5D"/>
    <w:rsid w:val="00937265"/>
    <w:rsid w:val="00953280"/>
    <w:rsid w:val="00A12611"/>
    <w:rsid w:val="00A62350"/>
    <w:rsid w:val="00A81404"/>
    <w:rsid w:val="00A91C3C"/>
    <w:rsid w:val="00AE6A6F"/>
    <w:rsid w:val="00B06FF5"/>
    <w:rsid w:val="00B41A6C"/>
    <w:rsid w:val="00C073C7"/>
    <w:rsid w:val="00C077C4"/>
    <w:rsid w:val="00C135CB"/>
    <w:rsid w:val="00C41E74"/>
    <w:rsid w:val="00C56C78"/>
    <w:rsid w:val="00C74468"/>
    <w:rsid w:val="00C937A5"/>
    <w:rsid w:val="00CA3EC6"/>
    <w:rsid w:val="00CB1D77"/>
    <w:rsid w:val="00CE17CE"/>
    <w:rsid w:val="00CE4715"/>
    <w:rsid w:val="00D13B8F"/>
    <w:rsid w:val="00D22216"/>
    <w:rsid w:val="00D26ED8"/>
    <w:rsid w:val="00D9786B"/>
    <w:rsid w:val="00D97F57"/>
    <w:rsid w:val="00DA31A1"/>
    <w:rsid w:val="00DF2020"/>
    <w:rsid w:val="00E12A7E"/>
    <w:rsid w:val="00E1547A"/>
    <w:rsid w:val="00E45671"/>
    <w:rsid w:val="00E52D09"/>
    <w:rsid w:val="00EA6EFC"/>
    <w:rsid w:val="00EC276F"/>
    <w:rsid w:val="00EF35B6"/>
    <w:rsid w:val="00F14FDB"/>
    <w:rsid w:val="00F3486E"/>
    <w:rsid w:val="00F60F27"/>
    <w:rsid w:val="00F74EC0"/>
    <w:rsid w:val="00F96619"/>
    <w:rsid w:val="00FB0630"/>
    <w:rsid w:val="00FB6BD5"/>
    <w:rsid w:val="00FD34DB"/>
    <w:rsid w:val="00FD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26B9DB69"/>
  <w15:docId w15:val="{7D55AF7A-1A51-4F75-9FDD-FA24B98E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7A5"/>
    <w:pPr>
      <w:jc w:val="both"/>
    </w:pPr>
  </w:style>
  <w:style w:type="paragraph" w:styleId="Heading1">
    <w:name w:val="heading 1"/>
    <w:basedOn w:val="Normal"/>
    <w:next w:val="Normal"/>
    <w:link w:val="Heading1Char"/>
    <w:uiPriority w:val="9"/>
    <w:qFormat/>
    <w:rsid w:val="00320476"/>
    <w:pPr>
      <w:keepNext/>
      <w:keepLines/>
      <w:numPr>
        <w:numId w:val="2"/>
      </w:numPr>
      <w:spacing w:before="240" w:after="240"/>
      <w:ind w:left="431" w:hanging="431"/>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20476"/>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476"/>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20476"/>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20476"/>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20476"/>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20476"/>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2047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047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35D6"/>
  </w:style>
  <w:style w:type="paragraph" w:styleId="Footer">
    <w:name w:val="footer"/>
    <w:basedOn w:val="Normal"/>
    <w:link w:val="FooterChar"/>
    <w:uiPriority w:val="99"/>
    <w:unhideWhenUsed/>
    <w:rsid w:val="005D3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5D6"/>
  </w:style>
  <w:style w:type="paragraph" w:styleId="EndnoteText">
    <w:name w:val="endnote text"/>
    <w:basedOn w:val="Normal"/>
    <w:link w:val="EndnoteTextChar"/>
    <w:uiPriority w:val="99"/>
    <w:semiHidden/>
    <w:unhideWhenUsed/>
    <w:rsid w:val="004252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5294"/>
    <w:rPr>
      <w:sz w:val="20"/>
      <w:szCs w:val="20"/>
    </w:rPr>
  </w:style>
  <w:style w:type="character" w:styleId="EndnoteReference">
    <w:name w:val="endnote reference"/>
    <w:basedOn w:val="DefaultParagraphFont"/>
    <w:uiPriority w:val="99"/>
    <w:semiHidden/>
    <w:unhideWhenUsed/>
    <w:rsid w:val="00425294"/>
    <w:rPr>
      <w:vertAlign w:val="superscript"/>
    </w:rPr>
  </w:style>
  <w:style w:type="paragraph" w:styleId="FootnoteText">
    <w:name w:val="footnote text"/>
    <w:basedOn w:val="Normal"/>
    <w:link w:val="FootnoteTextChar"/>
    <w:uiPriority w:val="99"/>
    <w:semiHidden/>
    <w:unhideWhenUsed/>
    <w:rsid w:val="00425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294"/>
    <w:rPr>
      <w:sz w:val="20"/>
      <w:szCs w:val="20"/>
    </w:rPr>
  </w:style>
  <w:style w:type="character" w:styleId="FootnoteReference">
    <w:name w:val="footnote reference"/>
    <w:basedOn w:val="DefaultParagraphFont"/>
    <w:uiPriority w:val="99"/>
    <w:semiHidden/>
    <w:unhideWhenUsed/>
    <w:rsid w:val="00425294"/>
    <w:rPr>
      <w:vertAlign w:val="superscript"/>
    </w:rPr>
  </w:style>
  <w:style w:type="paragraph" w:styleId="NoSpacing">
    <w:name w:val="No Spacing"/>
    <w:link w:val="NoSpacingChar"/>
    <w:uiPriority w:val="1"/>
    <w:qFormat/>
    <w:rsid w:val="00CA3EC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A3EC6"/>
    <w:rPr>
      <w:rFonts w:eastAsiaTheme="minorEastAsia"/>
      <w:lang w:val="en-US" w:eastAsia="ja-JP"/>
    </w:rPr>
  </w:style>
  <w:style w:type="table" w:styleId="TableGrid">
    <w:name w:val="Table Grid"/>
    <w:basedOn w:val="TableNormal"/>
    <w:uiPriority w:val="59"/>
    <w:rsid w:val="0019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86A"/>
    <w:pPr>
      <w:ind w:left="720"/>
      <w:contextualSpacing/>
    </w:pPr>
  </w:style>
  <w:style w:type="character" w:customStyle="1" w:styleId="Heading1Char">
    <w:name w:val="Heading 1 Char"/>
    <w:basedOn w:val="DefaultParagraphFont"/>
    <w:link w:val="Heading1"/>
    <w:uiPriority w:val="9"/>
    <w:rsid w:val="00320476"/>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204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204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2047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2047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2047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2047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204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0476"/>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20476"/>
    <w:rPr>
      <w:color w:val="0000FF" w:themeColor="hyperlink"/>
      <w:u w:val="single"/>
    </w:rPr>
  </w:style>
  <w:style w:type="character" w:styleId="FollowedHyperlink">
    <w:name w:val="FollowedHyperlink"/>
    <w:basedOn w:val="DefaultParagraphFont"/>
    <w:uiPriority w:val="99"/>
    <w:semiHidden/>
    <w:unhideWhenUsed/>
    <w:rsid w:val="00E52D09"/>
    <w:rPr>
      <w:color w:val="800080" w:themeColor="followedHyperlink"/>
      <w:u w:val="single"/>
    </w:rPr>
  </w:style>
  <w:style w:type="paragraph" w:styleId="Revision">
    <w:name w:val="Revision"/>
    <w:hidden/>
    <w:uiPriority w:val="99"/>
    <w:semiHidden/>
    <w:rsid w:val="004E60E2"/>
    <w:pPr>
      <w:spacing w:after="0" w:line="240" w:lineRule="auto"/>
    </w:pPr>
  </w:style>
  <w:style w:type="character" w:styleId="CommentReference">
    <w:name w:val="annotation reference"/>
    <w:basedOn w:val="DefaultParagraphFont"/>
    <w:uiPriority w:val="99"/>
    <w:semiHidden/>
    <w:unhideWhenUsed/>
    <w:rsid w:val="004F5909"/>
    <w:rPr>
      <w:sz w:val="16"/>
      <w:szCs w:val="16"/>
    </w:rPr>
  </w:style>
  <w:style w:type="paragraph" w:styleId="CommentText">
    <w:name w:val="annotation text"/>
    <w:basedOn w:val="Normal"/>
    <w:link w:val="CommentTextChar"/>
    <w:uiPriority w:val="99"/>
    <w:unhideWhenUsed/>
    <w:rsid w:val="004F5909"/>
    <w:pPr>
      <w:spacing w:line="240" w:lineRule="auto"/>
    </w:pPr>
    <w:rPr>
      <w:sz w:val="20"/>
      <w:szCs w:val="20"/>
    </w:rPr>
  </w:style>
  <w:style w:type="character" w:customStyle="1" w:styleId="CommentTextChar">
    <w:name w:val="Comment Text Char"/>
    <w:basedOn w:val="DefaultParagraphFont"/>
    <w:link w:val="CommentText"/>
    <w:uiPriority w:val="99"/>
    <w:rsid w:val="004F5909"/>
    <w:rPr>
      <w:sz w:val="20"/>
      <w:szCs w:val="20"/>
    </w:rPr>
  </w:style>
  <w:style w:type="paragraph" w:styleId="CommentSubject">
    <w:name w:val="annotation subject"/>
    <w:basedOn w:val="CommentText"/>
    <w:next w:val="CommentText"/>
    <w:link w:val="CommentSubjectChar"/>
    <w:uiPriority w:val="99"/>
    <w:semiHidden/>
    <w:unhideWhenUsed/>
    <w:rsid w:val="004F5909"/>
    <w:rPr>
      <w:b/>
      <w:bCs/>
    </w:rPr>
  </w:style>
  <w:style w:type="character" w:customStyle="1" w:styleId="CommentSubjectChar">
    <w:name w:val="Comment Subject Char"/>
    <w:basedOn w:val="CommentTextChar"/>
    <w:link w:val="CommentSubject"/>
    <w:uiPriority w:val="99"/>
    <w:semiHidden/>
    <w:rsid w:val="004F5909"/>
    <w:rPr>
      <w:b/>
      <w:bCs/>
      <w:sz w:val="20"/>
      <w:szCs w:val="20"/>
    </w:rPr>
  </w:style>
  <w:style w:type="paragraph" w:styleId="BalloonText">
    <w:name w:val="Balloon Text"/>
    <w:basedOn w:val="Normal"/>
    <w:link w:val="BalloonTextChar"/>
    <w:uiPriority w:val="99"/>
    <w:semiHidden/>
    <w:unhideWhenUsed/>
    <w:rsid w:val="00102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414"/>
    <w:rPr>
      <w:rFonts w:ascii="Segoe UI" w:hAnsi="Segoe UI" w:cs="Segoe UI"/>
      <w:sz w:val="18"/>
      <w:szCs w:val="18"/>
    </w:rPr>
  </w:style>
  <w:style w:type="character" w:styleId="LineNumber">
    <w:name w:val="line number"/>
    <w:basedOn w:val="DefaultParagraphFont"/>
    <w:uiPriority w:val="99"/>
    <w:semiHidden/>
    <w:unhideWhenUsed/>
    <w:rsid w:val="00617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4241">
      <w:bodyDiv w:val="1"/>
      <w:marLeft w:val="0"/>
      <w:marRight w:val="0"/>
      <w:marTop w:val="0"/>
      <w:marBottom w:val="0"/>
      <w:divBdr>
        <w:top w:val="none" w:sz="0" w:space="0" w:color="auto"/>
        <w:left w:val="none" w:sz="0" w:space="0" w:color="auto"/>
        <w:bottom w:val="none" w:sz="0" w:space="0" w:color="auto"/>
        <w:right w:val="none" w:sz="0" w:space="0" w:color="auto"/>
      </w:divBdr>
    </w:div>
    <w:div w:id="1551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document/download/2db053bc-283c-4d2e-93f4-c3e8032e66da_en?filename=mdcg_2022-14_en.pdf" TargetMode="External"/><Relationship Id="rId2" Type="http://schemas.openxmlformats.org/officeDocument/2006/relationships/hyperlink" Target="https://health.ec.europa.eu/document/download/a3bbc84b-078a-46d7-a281-d68136da6d38_en?filename=md_2020-17-guidance-mdcg-qa_en.pdf" TargetMode="External"/><Relationship Id="rId1" Type="http://schemas.openxmlformats.org/officeDocument/2006/relationships/hyperlink" Target="https://health.ec.europa.eu/document/download/8811a216-fdd1-45c7-bd82-381a37696f05_en?filename=md_mdcg_2020_4_nb_audits_covid-1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70A8-33C4-4FD0-9E0C-F5514988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2965</Characters>
  <Application>Microsoft Office Word</Application>
  <DocSecurity>0</DocSecurity>
  <Lines>49</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TAMARIT BARRULL Anna (GROW)</dc:creator>
  <cp:lastModifiedBy>CALLIGARO Gabriele (SANTE)</cp:lastModifiedBy>
  <cp:revision>3</cp:revision>
  <cp:lastPrinted>2018-04-13T11:59:00Z</cp:lastPrinted>
  <dcterms:created xsi:type="dcterms:W3CDTF">2022-10-13T15:49:00Z</dcterms:created>
  <dcterms:modified xsi:type="dcterms:W3CDTF">2022-10-13T15:50:00Z</dcterms:modified>
</cp:coreProperties>
</file>