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6E4DD" w14:textId="50708771" w:rsidR="00456F7F" w:rsidRDefault="00456F7F" w:rsidP="00906933">
      <w:pPr>
        <w:spacing w:after="0" w:line="240" w:lineRule="auto"/>
        <w:jc w:val="both"/>
        <w:rPr>
          <w:rFonts w:ascii="Calibri" w:eastAsia="Times New Roman" w:hAnsi="Calibri" w:cs="Calibri"/>
          <w:b/>
          <w:bCs/>
          <w:color w:val="000000"/>
          <w:lang w:eastAsia="de-DE"/>
        </w:rPr>
      </w:pPr>
    </w:p>
    <w:tbl>
      <w:tblPr>
        <w:tblStyle w:val="Grilledutableau"/>
        <w:tblW w:w="9776" w:type="dxa"/>
        <w:tblBorders>
          <w:insideH w:val="none" w:sz="0" w:space="0" w:color="auto"/>
          <w:insideV w:val="none" w:sz="0" w:space="0" w:color="auto"/>
        </w:tblBorders>
        <w:tblLook w:val="04A0" w:firstRow="1" w:lastRow="0" w:firstColumn="1" w:lastColumn="0" w:noHBand="0" w:noVBand="1"/>
      </w:tblPr>
      <w:tblGrid>
        <w:gridCol w:w="2122"/>
        <w:gridCol w:w="5528"/>
        <w:gridCol w:w="2126"/>
      </w:tblGrid>
      <w:tr w:rsidR="00243A56" w:rsidRPr="00E9096D" w14:paraId="5A9A803E" w14:textId="77777777" w:rsidTr="007441FD">
        <w:trPr>
          <w:trHeight w:val="1860"/>
        </w:trPr>
        <w:tc>
          <w:tcPr>
            <w:tcW w:w="2122" w:type="dxa"/>
            <w:vAlign w:val="center"/>
          </w:tcPr>
          <w:p w14:paraId="49AC5902" w14:textId="6B65E3C6" w:rsidR="00243A56" w:rsidRPr="00C86A53" w:rsidRDefault="00243A56" w:rsidP="00243A56">
            <w:pPr>
              <w:jc w:val="center"/>
              <w:rPr>
                <w:rFonts w:ascii="Calibri" w:eastAsia="Times New Roman" w:hAnsi="Calibri" w:cs="Arial"/>
                <w:sz w:val="16"/>
                <w:szCs w:val="16"/>
                <w:lang w:val="en-US" w:eastAsia="fr-FR"/>
              </w:rPr>
            </w:pPr>
            <w:r w:rsidRPr="00CA319A">
              <w:rPr>
                <w:rFonts w:ascii="Calibri" w:eastAsia="Times New Roman" w:hAnsi="Calibri" w:cs="Arial"/>
                <w:noProof/>
                <w:szCs w:val="20"/>
                <w:lang w:val="en-GB" w:eastAsia="en-GB"/>
              </w:rPr>
              <w:drawing>
                <wp:inline distT="0" distB="0" distL="0" distR="0" wp14:anchorId="3EE00264" wp14:editId="32C879B1">
                  <wp:extent cx="857251" cy="800100"/>
                  <wp:effectExtent l="0" t="0" r="0" b="0"/>
                  <wp:docPr id="11" name="Image 2"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2624" cy="814448"/>
                          </a:xfrm>
                          <a:prstGeom prst="rect">
                            <a:avLst/>
                          </a:prstGeom>
                          <a:noFill/>
                          <a:ln>
                            <a:noFill/>
                          </a:ln>
                        </pic:spPr>
                      </pic:pic>
                    </a:graphicData>
                  </a:graphic>
                </wp:inline>
              </w:drawing>
            </w:r>
          </w:p>
          <w:p w14:paraId="770B47B1" w14:textId="73DF7738" w:rsidR="00243A56" w:rsidRPr="00CA319A" w:rsidRDefault="00243A56" w:rsidP="007441FD">
            <w:pPr>
              <w:jc w:val="center"/>
              <w:rPr>
                <w:rFonts w:ascii="Calibri" w:eastAsia="Times New Roman" w:hAnsi="Calibri" w:cs="Arial"/>
                <w:noProof/>
                <w:szCs w:val="20"/>
                <w:lang w:val="en-GB" w:eastAsia="en-GB"/>
              </w:rPr>
            </w:pP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5528" w:type="dxa"/>
            <w:vAlign w:val="center"/>
          </w:tcPr>
          <w:p w14:paraId="050EAC5E" w14:textId="7768F918" w:rsidR="00243A56" w:rsidRPr="002E50D4" w:rsidRDefault="00243A56" w:rsidP="00243A56">
            <w:pPr>
              <w:jc w:val="center"/>
              <w:rPr>
                <w:rFonts w:ascii="Calibri" w:eastAsia="Times New Roman" w:hAnsi="Calibri" w:cs="Calibri"/>
                <w:b/>
                <w:bCs/>
                <w:color w:val="000000"/>
                <w:lang w:val="en-GB" w:eastAsia="de-DE"/>
              </w:rPr>
            </w:pPr>
          </w:p>
          <w:p w14:paraId="728C85DC" w14:textId="5C794DDA" w:rsidR="00243A56" w:rsidRDefault="00243A56" w:rsidP="00243A56">
            <w:pPr>
              <w:jc w:val="center"/>
              <w:rPr>
                <w:rFonts w:ascii="Calibri" w:eastAsia="Times New Roman" w:hAnsi="Calibri" w:cs="Arial"/>
                <w:b/>
                <w:bCs/>
                <w:sz w:val="40"/>
                <w:szCs w:val="26"/>
                <w:lang w:val="en-GB" w:eastAsia="fr-FR"/>
              </w:rPr>
            </w:pPr>
            <w:r w:rsidRPr="002764C5">
              <w:rPr>
                <w:rFonts w:ascii="Calibri" w:eastAsia="Times New Roman" w:hAnsi="Calibri" w:cs="Arial"/>
                <w:b/>
                <w:bCs/>
                <w:sz w:val="40"/>
                <w:szCs w:val="26"/>
                <w:lang w:val="en-GB" w:eastAsia="fr-FR"/>
              </w:rPr>
              <w:t>Team-NB/ NBCG Med</w:t>
            </w:r>
          </w:p>
          <w:p w14:paraId="6BE74D0B" w14:textId="4DDAED62" w:rsidR="00243A56" w:rsidRPr="002E50D4" w:rsidRDefault="007441FD" w:rsidP="00243A56">
            <w:pPr>
              <w:jc w:val="center"/>
              <w:rPr>
                <w:rFonts w:ascii="Calibri" w:eastAsia="Times New Roman" w:hAnsi="Calibri" w:cs="Calibri"/>
                <w:b/>
                <w:bCs/>
                <w:color w:val="000000"/>
                <w:lang w:val="en-GB" w:eastAsia="de-DE"/>
              </w:rPr>
            </w:pPr>
            <w:r>
              <w:rPr>
                <w:rFonts w:ascii="Calibri" w:eastAsia="Times New Roman" w:hAnsi="Calibri" w:cs="Arial"/>
                <w:b/>
                <w:bCs/>
                <w:sz w:val="40"/>
                <w:szCs w:val="26"/>
                <w:lang w:val="en-GB" w:eastAsia="fr-FR"/>
              </w:rPr>
              <w:t>Position Paper</w:t>
            </w:r>
          </w:p>
        </w:tc>
        <w:tc>
          <w:tcPr>
            <w:tcW w:w="2126" w:type="dxa"/>
          </w:tcPr>
          <w:p w14:paraId="23838846" w14:textId="744E98A0" w:rsidR="00243A56" w:rsidRPr="002E50D4" w:rsidRDefault="00243A56" w:rsidP="00243A56">
            <w:pPr>
              <w:jc w:val="both"/>
              <w:rPr>
                <w:rFonts w:ascii="Calibri" w:eastAsia="Times New Roman" w:hAnsi="Calibri" w:cs="Calibri"/>
                <w:b/>
                <w:bCs/>
                <w:color w:val="000000"/>
                <w:lang w:val="en-GB" w:eastAsia="de-DE"/>
              </w:rPr>
            </w:pPr>
            <w:r w:rsidRPr="00000E63">
              <w:rPr>
                <w:rFonts w:ascii="Tahoma" w:hAnsi="Tahoma" w:cs="Tahoma"/>
                <w:noProof/>
                <w:sz w:val="20"/>
                <w:szCs w:val="20"/>
                <w:lang w:val="en-GB" w:eastAsia="en-GB"/>
              </w:rPr>
              <w:drawing>
                <wp:anchor distT="0" distB="0" distL="114300" distR="114300" simplePos="0" relativeHeight="251663360" behindDoc="0" locked="0" layoutInCell="1" allowOverlap="1" wp14:anchorId="2F3761B6" wp14:editId="2855C486">
                  <wp:simplePos x="0" y="0"/>
                  <wp:positionH relativeFrom="column">
                    <wp:posOffset>158750</wp:posOffset>
                  </wp:positionH>
                  <wp:positionV relativeFrom="page">
                    <wp:posOffset>105410</wp:posOffset>
                  </wp:positionV>
                  <wp:extent cx="975600" cy="982800"/>
                  <wp:effectExtent l="0" t="0" r="0" b="825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5600" cy="982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E950DEF" w14:textId="77777777" w:rsidR="00243A56" w:rsidRDefault="00243A56" w:rsidP="00906933">
      <w:pPr>
        <w:spacing w:after="0" w:line="240" w:lineRule="auto"/>
        <w:jc w:val="both"/>
        <w:rPr>
          <w:rFonts w:ascii="Calibri" w:eastAsia="Times New Roman" w:hAnsi="Calibri" w:cs="Calibri"/>
          <w:b/>
          <w:bCs/>
          <w:color w:val="000000"/>
          <w:lang w:val="en-GB" w:eastAsia="de-DE"/>
        </w:rPr>
      </w:pP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2483"/>
        <w:gridCol w:w="2484"/>
        <w:gridCol w:w="1701"/>
        <w:gridCol w:w="1559"/>
      </w:tblGrid>
      <w:tr w:rsidR="00A7134C" w:rsidRPr="00D34E07" w14:paraId="3AF34F2F" w14:textId="77777777" w:rsidTr="00A7134C">
        <w:trPr>
          <w:cantSplit/>
        </w:trPr>
        <w:tc>
          <w:tcPr>
            <w:tcW w:w="1549" w:type="dxa"/>
            <w:tcBorders>
              <w:top w:val="single" w:sz="4" w:space="0" w:color="auto"/>
              <w:bottom w:val="single" w:sz="4" w:space="0" w:color="auto"/>
            </w:tcBorders>
            <w:shd w:val="clear" w:color="auto" w:fill="auto"/>
          </w:tcPr>
          <w:p w14:paraId="1354B4C9" w14:textId="34032D12" w:rsidR="00A7134C" w:rsidRPr="00D34E07" w:rsidRDefault="00A7134C" w:rsidP="00A7134C">
            <w:pPr>
              <w:rPr>
                <w:rFonts w:ascii="Calibri" w:eastAsia="Times New Roman" w:hAnsi="Calibri" w:cs="Arial"/>
                <w:lang w:val="en-GB" w:eastAsia="fr-FR"/>
              </w:rPr>
            </w:pPr>
            <w:r w:rsidRPr="00D34E07">
              <w:rPr>
                <w:rFonts w:eastAsia="Times New Roman" w:cs="Arial"/>
                <w:lang w:eastAsia="fr-FR"/>
              </w:rPr>
              <w:t>Editor :</w:t>
            </w:r>
          </w:p>
        </w:tc>
        <w:tc>
          <w:tcPr>
            <w:tcW w:w="2483" w:type="dxa"/>
            <w:tcBorders>
              <w:top w:val="single" w:sz="4" w:space="0" w:color="auto"/>
              <w:bottom w:val="single" w:sz="4" w:space="0" w:color="auto"/>
            </w:tcBorders>
            <w:shd w:val="clear" w:color="auto" w:fill="auto"/>
          </w:tcPr>
          <w:p w14:paraId="33A84149" w14:textId="0A86F62C" w:rsidR="00A7134C" w:rsidRPr="00D34E07" w:rsidRDefault="00A7134C" w:rsidP="00A7134C">
            <w:pPr>
              <w:jc w:val="center"/>
              <w:rPr>
                <w:rFonts w:ascii="Calibri" w:eastAsia="Times New Roman" w:hAnsi="Calibri" w:cs="Arial"/>
                <w:lang w:val="en-GB" w:eastAsia="fr-FR"/>
              </w:rPr>
            </w:pPr>
            <w:r w:rsidRPr="00D34E07">
              <w:rPr>
                <w:b/>
                <w:bCs/>
              </w:rPr>
              <w:t>Team-NB</w:t>
            </w:r>
            <w:r>
              <w:rPr>
                <w:b/>
                <w:bCs/>
              </w:rPr>
              <w:t>/NBCG-</w:t>
            </w:r>
            <w:proofErr w:type="spellStart"/>
            <w:r>
              <w:rPr>
                <w:b/>
                <w:bCs/>
              </w:rPr>
              <w:t>Med</w:t>
            </w:r>
            <w:proofErr w:type="spellEnd"/>
          </w:p>
        </w:tc>
        <w:tc>
          <w:tcPr>
            <w:tcW w:w="2484" w:type="dxa"/>
            <w:tcBorders>
              <w:top w:val="single" w:sz="4" w:space="0" w:color="auto"/>
              <w:bottom w:val="single" w:sz="4" w:space="0" w:color="auto"/>
            </w:tcBorders>
            <w:shd w:val="clear" w:color="auto" w:fill="auto"/>
          </w:tcPr>
          <w:p w14:paraId="407FA9D8" w14:textId="2F94A086" w:rsidR="00A7134C" w:rsidRPr="00D34E07" w:rsidRDefault="00A7134C" w:rsidP="00A7134C">
            <w:pPr>
              <w:spacing w:after="0" w:line="240" w:lineRule="auto"/>
              <w:jc w:val="center"/>
              <w:rPr>
                <w:rFonts w:ascii="Calibri" w:eastAsia="Times New Roman" w:hAnsi="Calibri" w:cs="Arial"/>
                <w:lang w:val="en-GB" w:eastAsia="fr-FR"/>
              </w:rPr>
            </w:pPr>
            <w:r w:rsidRPr="00D34E07">
              <w:rPr>
                <w:rFonts w:eastAsia="Times New Roman" w:cs="Arial"/>
                <w:lang w:eastAsia="fr-FR"/>
              </w:rPr>
              <w:t xml:space="preserve">Adoption </w:t>
            </w:r>
            <w:proofErr w:type="spellStart"/>
            <w:r w:rsidRPr="00D34E07">
              <w:rPr>
                <w:rFonts w:eastAsia="Times New Roman" w:cs="Arial"/>
                <w:lang w:eastAsia="fr-FR"/>
              </w:rPr>
              <w:t>date</w:t>
            </w:r>
            <w:proofErr w:type="spellEnd"/>
          </w:p>
        </w:tc>
        <w:tc>
          <w:tcPr>
            <w:tcW w:w="1701" w:type="dxa"/>
            <w:tcBorders>
              <w:top w:val="single" w:sz="4" w:space="0" w:color="auto"/>
              <w:bottom w:val="single" w:sz="4" w:space="0" w:color="auto"/>
            </w:tcBorders>
            <w:shd w:val="clear" w:color="auto" w:fill="auto"/>
          </w:tcPr>
          <w:p w14:paraId="7CA3A147" w14:textId="73DF0AEB" w:rsidR="00A7134C" w:rsidRPr="00D34E07" w:rsidRDefault="00A7134C" w:rsidP="00A7134C">
            <w:pPr>
              <w:jc w:val="center"/>
              <w:rPr>
                <w:rFonts w:ascii="Calibri" w:eastAsia="Times New Roman" w:hAnsi="Calibri" w:cs="Arial"/>
                <w:lang w:val="en-GB" w:eastAsia="fr-FR"/>
              </w:rPr>
            </w:pPr>
            <w:r>
              <w:rPr>
                <w:rFonts w:eastAsia="Times New Roman" w:cs="Arial"/>
                <w:lang w:eastAsia="fr-FR"/>
              </w:rPr>
              <w:t>5/10/2022</w:t>
            </w:r>
          </w:p>
        </w:tc>
        <w:tc>
          <w:tcPr>
            <w:tcW w:w="1559" w:type="dxa"/>
            <w:tcBorders>
              <w:top w:val="single" w:sz="4" w:space="0" w:color="auto"/>
              <w:bottom w:val="single" w:sz="4" w:space="0" w:color="auto"/>
            </w:tcBorders>
            <w:shd w:val="clear" w:color="auto" w:fill="auto"/>
          </w:tcPr>
          <w:p w14:paraId="2C6F0A85" w14:textId="3EB649B3" w:rsidR="00A7134C" w:rsidRPr="00D34E07" w:rsidRDefault="00A7134C" w:rsidP="00A7134C">
            <w:pPr>
              <w:jc w:val="center"/>
              <w:rPr>
                <w:rFonts w:ascii="Calibri" w:eastAsia="Times New Roman" w:hAnsi="Calibri" w:cs="Arial"/>
                <w:lang w:val="en-GB" w:eastAsia="fr-FR"/>
              </w:rPr>
            </w:pPr>
            <w:r w:rsidRPr="00D34E07">
              <w:rPr>
                <w:rFonts w:eastAsia="Times New Roman" w:cs="Arial"/>
                <w:lang w:eastAsia="fr-FR"/>
              </w:rPr>
              <w:t xml:space="preserve">Version </w:t>
            </w:r>
            <w:r>
              <w:rPr>
                <w:rFonts w:eastAsia="Times New Roman" w:cs="Arial"/>
                <w:lang w:eastAsia="fr-FR"/>
              </w:rPr>
              <w:t>1</w:t>
            </w:r>
          </w:p>
        </w:tc>
      </w:tr>
      <w:tr w:rsidR="00456F7F" w:rsidRPr="00E9096D" w14:paraId="6384C562" w14:textId="77777777" w:rsidTr="00243A56">
        <w:trPr>
          <w:cantSplit/>
          <w:trHeight w:val="1115"/>
        </w:trPr>
        <w:tc>
          <w:tcPr>
            <w:tcW w:w="9776" w:type="dxa"/>
            <w:gridSpan w:val="5"/>
            <w:tcBorders>
              <w:top w:val="single" w:sz="4" w:space="0" w:color="auto"/>
            </w:tcBorders>
            <w:shd w:val="clear" w:color="auto" w:fill="auto"/>
            <w:vAlign w:val="center"/>
          </w:tcPr>
          <w:p w14:paraId="3D2585A4" w14:textId="4CF3A16A" w:rsidR="00456F7F" w:rsidRPr="00AA7688" w:rsidRDefault="00AA7688" w:rsidP="00243A56">
            <w:pPr>
              <w:pStyle w:val="Titre1"/>
              <w:jc w:val="center"/>
              <w:rPr>
                <w:rFonts w:ascii="Calibri" w:hAnsi="Calibri" w:cs="Arial"/>
                <w:lang w:eastAsia="fr-FR"/>
              </w:rPr>
            </w:pPr>
            <w:r w:rsidRPr="00243A56">
              <w:rPr>
                <w:color w:val="auto"/>
              </w:rPr>
              <w:t>Class D measures in the absence of EU Reference Laboratories-</w:t>
            </w:r>
            <w:r w:rsidRPr="00243A56">
              <w:rPr>
                <w:rFonts w:ascii="Calibri" w:hAnsi="Calibri" w:cs="Calibri"/>
                <w:color w:val="auto"/>
                <w:lang w:val="en-GB" w:eastAsia="de-DE"/>
              </w:rPr>
              <w:t xml:space="preserve"> </w:t>
            </w:r>
            <w:r w:rsidR="00B255D7" w:rsidRPr="00243A56">
              <w:rPr>
                <w:color w:val="auto"/>
                <w:lang w:val="en-GB"/>
              </w:rPr>
              <w:t>Points to consider</w:t>
            </w:r>
            <w:r w:rsidR="00F44CB3" w:rsidRPr="00243A56">
              <w:rPr>
                <w:color w:val="auto"/>
              </w:rPr>
              <w:t xml:space="preserve"> for </w:t>
            </w:r>
            <w:r w:rsidR="00E316E9" w:rsidRPr="00243A56">
              <w:rPr>
                <w:color w:val="auto"/>
              </w:rPr>
              <w:t>N</w:t>
            </w:r>
            <w:r w:rsidRPr="00243A56">
              <w:rPr>
                <w:color w:val="auto"/>
              </w:rPr>
              <w:t xml:space="preserve">otified </w:t>
            </w:r>
            <w:r w:rsidR="00E316E9" w:rsidRPr="00243A56">
              <w:rPr>
                <w:color w:val="auto"/>
              </w:rPr>
              <w:t>B</w:t>
            </w:r>
            <w:r w:rsidRPr="00243A56">
              <w:rPr>
                <w:color w:val="auto"/>
              </w:rPr>
              <w:t>ody approach</w:t>
            </w:r>
          </w:p>
        </w:tc>
      </w:tr>
    </w:tbl>
    <w:p w14:paraId="6C1E26DD" w14:textId="77777777" w:rsidR="00456F7F" w:rsidRDefault="00456F7F" w:rsidP="00906933">
      <w:pPr>
        <w:spacing w:after="0" w:line="240" w:lineRule="auto"/>
        <w:jc w:val="both"/>
        <w:rPr>
          <w:rFonts w:ascii="Calibri" w:eastAsia="Times New Roman" w:hAnsi="Calibri" w:cs="Calibri"/>
          <w:b/>
          <w:bCs/>
          <w:color w:val="000000"/>
          <w:lang w:val="en-GB" w:eastAsia="de-DE"/>
        </w:rPr>
      </w:pPr>
    </w:p>
    <w:p w14:paraId="690545C9" w14:textId="77777777" w:rsidR="004E5FC7" w:rsidRPr="00AA7688" w:rsidRDefault="004E5FC7" w:rsidP="004E5FC7">
      <w:pPr>
        <w:pStyle w:val="Default"/>
        <w:rPr>
          <w:lang w:val="en-GB"/>
        </w:rPr>
      </w:pPr>
    </w:p>
    <w:p w14:paraId="0A531A59" w14:textId="77777777" w:rsidR="004E5FC7" w:rsidRPr="004E5FC7" w:rsidRDefault="004E5FC7" w:rsidP="004E5FC7">
      <w:pPr>
        <w:pStyle w:val="Default"/>
        <w:rPr>
          <w:sz w:val="22"/>
          <w:szCs w:val="22"/>
          <w:lang w:val="en-GB"/>
        </w:rPr>
      </w:pPr>
      <w:r w:rsidRPr="004E5FC7">
        <w:rPr>
          <w:lang w:val="en-GB"/>
        </w:rPr>
        <w:t xml:space="preserve"> </w:t>
      </w:r>
      <w:r w:rsidRPr="004E5FC7">
        <w:rPr>
          <w:b/>
          <w:bCs/>
          <w:i/>
          <w:iCs/>
          <w:sz w:val="22"/>
          <w:szCs w:val="22"/>
          <w:lang w:val="en-GB"/>
        </w:rPr>
        <w:t xml:space="preserve">Disclaimer </w:t>
      </w:r>
    </w:p>
    <w:p w14:paraId="31267225" w14:textId="2EE32518" w:rsidR="004E5FC7" w:rsidRDefault="004E5FC7" w:rsidP="004E5FC7">
      <w:pPr>
        <w:pStyle w:val="Default"/>
        <w:rPr>
          <w:i/>
          <w:iCs/>
          <w:sz w:val="22"/>
          <w:szCs w:val="22"/>
          <w:lang w:val="en-GB"/>
        </w:rPr>
      </w:pPr>
      <w:r w:rsidRPr="004E5FC7">
        <w:rPr>
          <w:i/>
          <w:iCs/>
          <w:sz w:val="22"/>
          <w:szCs w:val="22"/>
          <w:lang w:val="en-GB"/>
        </w:rPr>
        <w:t xml:space="preserve">This paper is intended for Notified Body use only. </w:t>
      </w:r>
    </w:p>
    <w:p w14:paraId="5B12E0DC" w14:textId="77777777" w:rsidR="004E5FC7" w:rsidRPr="004E5FC7" w:rsidRDefault="004E5FC7" w:rsidP="004E5FC7">
      <w:pPr>
        <w:pStyle w:val="Default"/>
        <w:rPr>
          <w:sz w:val="22"/>
          <w:szCs w:val="22"/>
          <w:lang w:val="en-GB"/>
        </w:rPr>
      </w:pPr>
    </w:p>
    <w:p w14:paraId="2AF5B68E" w14:textId="5E5A678A" w:rsidR="004E5FC7" w:rsidRPr="004E5FC7" w:rsidRDefault="004E5FC7" w:rsidP="004E5FC7">
      <w:pPr>
        <w:pStyle w:val="Default"/>
        <w:rPr>
          <w:sz w:val="22"/>
          <w:szCs w:val="22"/>
          <w:lang w:val="en-GB"/>
        </w:rPr>
      </w:pPr>
      <w:r w:rsidRPr="004E5FC7">
        <w:rPr>
          <w:i/>
          <w:iCs/>
          <w:sz w:val="22"/>
          <w:szCs w:val="22"/>
          <w:lang w:val="en-GB"/>
        </w:rPr>
        <w:t>It has been endorsed by</w:t>
      </w:r>
      <w:r>
        <w:rPr>
          <w:i/>
          <w:iCs/>
          <w:sz w:val="22"/>
          <w:szCs w:val="22"/>
          <w:lang w:val="en-GB"/>
        </w:rPr>
        <w:t xml:space="preserve"> members of </w:t>
      </w:r>
      <w:r w:rsidRPr="004E5FC7">
        <w:rPr>
          <w:i/>
          <w:iCs/>
          <w:sz w:val="22"/>
          <w:szCs w:val="22"/>
          <w:lang w:val="en-GB"/>
        </w:rPr>
        <w:t>Team-NB</w:t>
      </w:r>
      <w:r>
        <w:rPr>
          <w:i/>
          <w:iCs/>
          <w:sz w:val="22"/>
          <w:szCs w:val="22"/>
          <w:lang w:val="en-GB"/>
        </w:rPr>
        <w:t>,</w:t>
      </w:r>
      <w:r w:rsidRPr="004E5FC7">
        <w:rPr>
          <w:i/>
          <w:iCs/>
          <w:sz w:val="22"/>
          <w:szCs w:val="22"/>
          <w:lang w:val="en-GB"/>
        </w:rPr>
        <w:t xml:space="preserve"> the European Association for Medical Devices of Notified Bodies </w:t>
      </w:r>
      <w:r>
        <w:rPr>
          <w:i/>
          <w:iCs/>
          <w:sz w:val="22"/>
          <w:szCs w:val="22"/>
          <w:lang w:val="en-GB"/>
        </w:rPr>
        <w:t xml:space="preserve">and by </w:t>
      </w:r>
      <w:r w:rsidRPr="004E5FC7">
        <w:rPr>
          <w:i/>
          <w:iCs/>
          <w:sz w:val="22"/>
          <w:szCs w:val="22"/>
          <w:lang w:val="en-GB"/>
        </w:rPr>
        <w:t>the Notified Body Coordination Group for Medical Devices (NBCG-Med), as established by Art 49 of Regulation (EU) 2017/745 and Art 45 of Regulation (EU) 2017</w:t>
      </w:r>
      <w:r w:rsidR="006A31C8" w:rsidRPr="004E5FC7">
        <w:rPr>
          <w:i/>
          <w:iCs/>
          <w:sz w:val="22"/>
          <w:szCs w:val="22"/>
          <w:lang w:val="en-GB"/>
        </w:rPr>
        <w:t>/</w:t>
      </w:r>
      <w:r w:rsidR="006A31C8" w:rsidRPr="00F233AE">
        <w:rPr>
          <w:i/>
          <w:iCs/>
          <w:sz w:val="22"/>
          <w:szCs w:val="22"/>
          <w:lang w:val="en-GB"/>
        </w:rPr>
        <w:t>746</w:t>
      </w:r>
      <w:r w:rsidRPr="004E5FC7">
        <w:rPr>
          <w:i/>
          <w:iCs/>
          <w:sz w:val="22"/>
          <w:szCs w:val="22"/>
          <w:lang w:val="en-GB"/>
        </w:rPr>
        <w:t xml:space="preserve">. The NBCG-Med is composed of representatives of all notified bodies for medical devices and IVDs. </w:t>
      </w:r>
    </w:p>
    <w:p w14:paraId="5A73E716" w14:textId="77777777" w:rsidR="004E5FC7" w:rsidRDefault="004E5FC7" w:rsidP="004E5FC7">
      <w:pPr>
        <w:pStyle w:val="Default"/>
        <w:rPr>
          <w:i/>
          <w:iCs/>
          <w:sz w:val="22"/>
          <w:szCs w:val="22"/>
          <w:lang w:val="en-GB"/>
        </w:rPr>
      </w:pPr>
    </w:p>
    <w:p w14:paraId="2F693982" w14:textId="2B751E2C" w:rsidR="004E5FC7" w:rsidRDefault="004E5FC7" w:rsidP="004E5FC7">
      <w:pPr>
        <w:pStyle w:val="Default"/>
        <w:rPr>
          <w:i/>
          <w:iCs/>
          <w:sz w:val="22"/>
          <w:szCs w:val="22"/>
          <w:lang w:val="en-GB"/>
        </w:rPr>
      </w:pPr>
      <w:r w:rsidRPr="004E5FC7">
        <w:rPr>
          <w:i/>
          <w:iCs/>
          <w:sz w:val="22"/>
          <w:szCs w:val="22"/>
          <w:lang w:val="en-GB"/>
        </w:rPr>
        <w:t xml:space="preserve">The paper is not a European Commission document and cannot be regarded as reflecting the official position of the European Commission, Competent Authorities for Medical Devices (CAMD) or Medical Device Coordination Group (MDCG). </w:t>
      </w:r>
    </w:p>
    <w:p w14:paraId="47133608" w14:textId="77777777" w:rsidR="004E5FC7" w:rsidRPr="004E5FC7" w:rsidRDefault="004E5FC7" w:rsidP="004E5FC7">
      <w:pPr>
        <w:pStyle w:val="Default"/>
        <w:rPr>
          <w:sz w:val="22"/>
          <w:szCs w:val="22"/>
          <w:lang w:val="en-GB"/>
        </w:rPr>
      </w:pPr>
    </w:p>
    <w:p w14:paraId="4EE3E773" w14:textId="3B82ACED" w:rsidR="00456F7F" w:rsidRDefault="004E5FC7" w:rsidP="004E5FC7">
      <w:pPr>
        <w:spacing w:after="0" w:line="240" w:lineRule="auto"/>
        <w:jc w:val="both"/>
        <w:rPr>
          <w:rFonts w:ascii="Calibri" w:eastAsia="Times New Roman" w:hAnsi="Calibri" w:cs="Calibri"/>
          <w:b/>
          <w:bCs/>
          <w:color w:val="000000"/>
          <w:lang w:val="en-GB" w:eastAsia="de-DE"/>
        </w:rPr>
      </w:pPr>
      <w:r w:rsidRPr="004E5FC7">
        <w:rPr>
          <w:i/>
          <w:iCs/>
          <w:lang w:val="en-GB"/>
        </w:rPr>
        <w:t>If E</w:t>
      </w:r>
      <w:r w:rsidR="00BE4437">
        <w:rPr>
          <w:i/>
          <w:iCs/>
          <w:lang w:val="en-GB"/>
        </w:rPr>
        <w:t>uropean</w:t>
      </w:r>
      <w:r w:rsidRPr="004E5FC7">
        <w:rPr>
          <w:i/>
          <w:iCs/>
          <w:lang w:val="en-GB"/>
        </w:rPr>
        <w:t xml:space="preserve"> Commission, CAMD or MDCG publish new relevant documents or make changes to existing ones, this paper may be updated/withdrawn to align with the position expressed in aforementioned documents.</w:t>
      </w:r>
    </w:p>
    <w:p w14:paraId="3EE8F410" w14:textId="7D60EDD5" w:rsidR="003F30CC" w:rsidRDefault="003F30CC" w:rsidP="00906933">
      <w:pPr>
        <w:jc w:val="both"/>
        <w:rPr>
          <w:lang w:val="en-GB"/>
        </w:rPr>
      </w:pPr>
    </w:p>
    <w:p w14:paraId="0A910004" w14:textId="6891E797" w:rsidR="00104418" w:rsidRPr="00CE2B9F" w:rsidRDefault="00104418" w:rsidP="00906933">
      <w:pPr>
        <w:jc w:val="both"/>
        <w:rPr>
          <w:b/>
          <w:bCs/>
          <w:lang w:val="en-GB"/>
        </w:rPr>
      </w:pPr>
      <w:r w:rsidRPr="00CE2B9F">
        <w:rPr>
          <w:b/>
          <w:bCs/>
          <w:lang w:val="en-GB"/>
        </w:rPr>
        <w:t>Scope</w:t>
      </w:r>
    </w:p>
    <w:p w14:paraId="042118AE" w14:textId="77777777" w:rsidR="00DB051E" w:rsidRDefault="00104418" w:rsidP="00DB051E">
      <w:pPr>
        <w:jc w:val="both"/>
        <w:rPr>
          <w:lang w:val="en-GB"/>
        </w:rPr>
      </w:pPr>
      <w:r>
        <w:rPr>
          <w:lang w:val="en-GB"/>
        </w:rPr>
        <w:t xml:space="preserve">The scope of this </w:t>
      </w:r>
      <w:r w:rsidR="00F44CB3">
        <w:rPr>
          <w:lang w:val="en-GB"/>
        </w:rPr>
        <w:t>consideration</w:t>
      </w:r>
      <w:r>
        <w:rPr>
          <w:lang w:val="en-GB"/>
        </w:rPr>
        <w:t xml:space="preserve"> paper is to provide a </w:t>
      </w:r>
      <w:r w:rsidR="00597CB1">
        <w:rPr>
          <w:lang w:val="en-GB"/>
        </w:rPr>
        <w:t>framework for</w:t>
      </w:r>
      <w:r>
        <w:rPr>
          <w:lang w:val="en-GB"/>
        </w:rPr>
        <w:t xml:space="preserve"> the </w:t>
      </w:r>
      <w:r w:rsidR="00AA7688">
        <w:rPr>
          <w:lang w:val="en-GB"/>
        </w:rPr>
        <w:t xml:space="preserve">verification </w:t>
      </w:r>
      <w:r w:rsidR="00DB051E">
        <w:rPr>
          <w:lang w:val="en-GB"/>
        </w:rPr>
        <w:t>process for class D IVD medical devices by Notified Bodies (NB) in the absence of designated EU Reference Laboratories (EURLs).</w:t>
      </w:r>
    </w:p>
    <w:p w14:paraId="5C509C55" w14:textId="333200B1" w:rsidR="00104418" w:rsidRDefault="00DB051E" w:rsidP="00906933">
      <w:pPr>
        <w:jc w:val="both"/>
        <w:rPr>
          <w:lang w:val="en-GB"/>
        </w:rPr>
      </w:pPr>
      <w:r>
        <w:rPr>
          <w:lang w:val="en-GB"/>
        </w:rPr>
        <w:t xml:space="preserve">The scope includes both the verification during the Technical Documentation review prior to certification and </w:t>
      </w:r>
      <w:r w:rsidR="00AA7688">
        <w:rPr>
          <w:lang w:val="en-GB"/>
        </w:rPr>
        <w:t xml:space="preserve">of </w:t>
      </w:r>
      <w:r w:rsidR="00F233AE">
        <w:rPr>
          <w:lang w:val="en-GB"/>
        </w:rPr>
        <w:t>manufactured products</w:t>
      </w:r>
      <w:r>
        <w:rPr>
          <w:lang w:val="en-GB"/>
        </w:rPr>
        <w:t xml:space="preserve"> post-certification</w:t>
      </w:r>
      <w:r w:rsidR="00AA7688">
        <w:rPr>
          <w:lang w:val="en-GB"/>
        </w:rPr>
        <w:t xml:space="preserve"> </w:t>
      </w:r>
    </w:p>
    <w:p w14:paraId="17BC1545" w14:textId="2508601F" w:rsidR="001212E6" w:rsidRDefault="00313A5D" w:rsidP="001212E6">
      <w:pPr>
        <w:jc w:val="both"/>
        <w:rPr>
          <w:lang w:val="en-GB"/>
        </w:rPr>
      </w:pPr>
      <w:r>
        <w:rPr>
          <w:lang w:val="en-GB"/>
        </w:rPr>
        <w:t xml:space="preserve">This position paper reviews possible solutions and/or interim implementation measures, however it </w:t>
      </w:r>
      <w:r w:rsidRPr="00313A5D">
        <w:rPr>
          <w:lang w:val="en-GB"/>
        </w:rPr>
        <w:t xml:space="preserve">is entirely up to a NB </w:t>
      </w:r>
      <w:r>
        <w:rPr>
          <w:lang w:val="en-GB"/>
        </w:rPr>
        <w:t xml:space="preserve">to decide </w:t>
      </w:r>
      <w:r w:rsidRPr="00313A5D">
        <w:rPr>
          <w:lang w:val="en-GB"/>
        </w:rPr>
        <w:t>what / which methods and solutions</w:t>
      </w:r>
      <w:r>
        <w:rPr>
          <w:lang w:val="en-GB"/>
        </w:rPr>
        <w:t xml:space="preserve"> are used</w:t>
      </w:r>
      <w:r w:rsidRPr="00313A5D">
        <w:rPr>
          <w:lang w:val="en-GB"/>
        </w:rPr>
        <w:t>, if they would like to progress Class D applications in the absence of EURLs</w:t>
      </w:r>
      <w:r>
        <w:rPr>
          <w:lang w:val="en-GB"/>
        </w:rPr>
        <w:t>.</w:t>
      </w:r>
      <w:r w:rsidR="001212E6">
        <w:rPr>
          <w:lang w:val="en-GB"/>
        </w:rPr>
        <w:t xml:space="preserve"> </w:t>
      </w:r>
    </w:p>
    <w:p w14:paraId="052B8808" w14:textId="3BE89C5D" w:rsidR="003F30CC" w:rsidRPr="00CE2B9F" w:rsidRDefault="003F30CC" w:rsidP="00906933">
      <w:pPr>
        <w:jc w:val="both"/>
        <w:rPr>
          <w:b/>
          <w:bCs/>
          <w:lang w:val="en-GB"/>
        </w:rPr>
      </w:pPr>
      <w:r w:rsidRPr="00CE2B9F">
        <w:rPr>
          <w:b/>
          <w:bCs/>
          <w:lang w:val="en-GB"/>
        </w:rPr>
        <w:t>Background</w:t>
      </w:r>
    </w:p>
    <w:p w14:paraId="6059F390" w14:textId="7012D767" w:rsidR="00F36A91" w:rsidRDefault="00313A5D" w:rsidP="002318CE">
      <w:pPr>
        <w:pStyle w:val="Commentaire"/>
        <w:rPr>
          <w:sz w:val="22"/>
          <w:szCs w:val="22"/>
          <w:lang w:val="en-GB"/>
        </w:rPr>
      </w:pPr>
      <w:r w:rsidRPr="00AD36B7">
        <w:rPr>
          <w:sz w:val="22"/>
          <w:szCs w:val="22"/>
          <w:lang w:val="en-GB"/>
        </w:rPr>
        <w:t xml:space="preserve">The </w:t>
      </w:r>
      <w:r w:rsidR="00BE4437" w:rsidRPr="00AD36B7">
        <w:rPr>
          <w:sz w:val="22"/>
          <w:szCs w:val="22"/>
          <w:lang w:val="en-GB"/>
        </w:rPr>
        <w:t xml:space="preserve">regulatory </w:t>
      </w:r>
      <w:r w:rsidR="00FA6163" w:rsidRPr="00AD36B7">
        <w:rPr>
          <w:sz w:val="22"/>
          <w:szCs w:val="22"/>
          <w:lang w:val="en-GB"/>
        </w:rPr>
        <w:t>infrastructure specific</w:t>
      </w:r>
      <w:r w:rsidR="00BE4437" w:rsidRPr="00AD36B7">
        <w:rPr>
          <w:sz w:val="22"/>
          <w:szCs w:val="22"/>
          <w:lang w:val="en-GB"/>
        </w:rPr>
        <w:t xml:space="preserve"> for the </w:t>
      </w:r>
      <w:r w:rsidRPr="00AD36B7">
        <w:rPr>
          <w:sz w:val="22"/>
          <w:szCs w:val="22"/>
          <w:lang w:val="en-GB"/>
        </w:rPr>
        <w:t xml:space="preserve">conformity assessment of class D devices </w:t>
      </w:r>
      <w:r w:rsidR="00BE4437" w:rsidRPr="00AD36B7">
        <w:rPr>
          <w:sz w:val="22"/>
          <w:szCs w:val="22"/>
          <w:lang w:val="en-GB"/>
        </w:rPr>
        <w:t>may</w:t>
      </w:r>
      <w:r w:rsidRPr="00AD36B7">
        <w:rPr>
          <w:sz w:val="22"/>
          <w:szCs w:val="22"/>
          <w:lang w:val="en-GB"/>
        </w:rPr>
        <w:t xml:space="preserve"> include, </w:t>
      </w:r>
      <w:r w:rsidR="001212E6" w:rsidRPr="00AD36B7">
        <w:rPr>
          <w:sz w:val="22"/>
          <w:szCs w:val="22"/>
          <w:lang w:val="en-GB"/>
        </w:rPr>
        <w:t xml:space="preserve">among other elements, the involvement of EURLs in the verification of the performance of class D </w:t>
      </w:r>
      <w:bookmarkStart w:id="0" w:name="_GoBack"/>
      <w:bookmarkEnd w:id="0"/>
      <w:r w:rsidR="001212E6" w:rsidRPr="00AD36B7">
        <w:rPr>
          <w:sz w:val="22"/>
          <w:szCs w:val="22"/>
          <w:lang w:val="en-GB"/>
        </w:rPr>
        <w:t>devices</w:t>
      </w:r>
      <w:r w:rsidRPr="00AD36B7">
        <w:rPr>
          <w:sz w:val="22"/>
          <w:szCs w:val="22"/>
          <w:lang w:val="en-GB"/>
        </w:rPr>
        <w:t xml:space="preserve">. </w:t>
      </w:r>
      <w:r w:rsidR="00B422A3" w:rsidRPr="00AD36B7">
        <w:rPr>
          <w:sz w:val="22"/>
          <w:szCs w:val="22"/>
          <w:lang w:val="en-GB"/>
        </w:rPr>
        <w:t xml:space="preserve"> </w:t>
      </w:r>
      <w:r w:rsidR="002318CE">
        <w:rPr>
          <w:sz w:val="22"/>
          <w:szCs w:val="22"/>
          <w:lang w:val="en-GB"/>
        </w:rPr>
        <w:t xml:space="preserve"> In June 2022, the European Commission launched a call for applications for EURLS in several categories of devices; designation is planned for Q3 </w:t>
      </w:r>
      <w:r w:rsidR="00FA6163">
        <w:rPr>
          <w:sz w:val="22"/>
          <w:szCs w:val="22"/>
          <w:lang w:val="en-GB"/>
        </w:rPr>
        <w:t>2023;</w:t>
      </w:r>
      <w:r w:rsidR="00F36A91">
        <w:rPr>
          <w:sz w:val="22"/>
          <w:szCs w:val="22"/>
          <w:lang w:val="en-GB"/>
        </w:rPr>
        <w:t xml:space="preserve"> however it is currently not known if EURLS will be designated for all categories of devices.</w:t>
      </w:r>
    </w:p>
    <w:p w14:paraId="5FD86C77" w14:textId="79D77E17" w:rsidR="00F74C74" w:rsidRDefault="00B422A3" w:rsidP="00906933">
      <w:pPr>
        <w:jc w:val="both"/>
        <w:rPr>
          <w:b/>
          <w:bCs/>
          <w:lang w:val="en-GB"/>
        </w:rPr>
      </w:pPr>
      <w:r>
        <w:rPr>
          <w:b/>
          <w:bCs/>
          <w:lang w:val="en-GB"/>
        </w:rPr>
        <w:lastRenderedPageBreak/>
        <w:t>Considerations on possible solutions/interim implementation measures</w:t>
      </w:r>
    </w:p>
    <w:p w14:paraId="30F17329" w14:textId="500B873F" w:rsidR="00F36A91" w:rsidRDefault="00F36A91" w:rsidP="00F36A91">
      <w:pPr>
        <w:jc w:val="both"/>
        <w:rPr>
          <w:lang w:val="en-GB"/>
        </w:rPr>
      </w:pPr>
      <w:r w:rsidRPr="00EE702E">
        <w:rPr>
          <w:lang w:val="en-GB"/>
        </w:rPr>
        <w:t>The IVDR empowers the NBs to request any testing they consider necessary to support their assessment (see Annex IX 4.3 or Annex X 3(a))</w:t>
      </w:r>
      <w:r w:rsidR="00AD36B7">
        <w:rPr>
          <w:lang w:val="en-GB"/>
        </w:rPr>
        <w:t>.</w:t>
      </w:r>
    </w:p>
    <w:p w14:paraId="58FDAF53" w14:textId="77777777" w:rsidR="00AD36B7" w:rsidRPr="00FA6163" w:rsidRDefault="00AD36B7" w:rsidP="00AD36B7">
      <w:pPr>
        <w:rPr>
          <w:b/>
          <w:bCs/>
          <w:i/>
          <w:iCs/>
          <w:lang w:val="en-GB"/>
        </w:rPr>
      </w:pPr>
      <w:r w:rsidRPr="00FA6163">
        <w:rPr>
          <w:b/>
          <w:bCs/>
          <w:i/>
          <w:iCs/>
          <w:lang w:val="en-GB"/>
        </w:rPr>
        <w:t>If a NB would like to progress Class D applications in the absence of a designated EURL, it is entirely at the discretion of a NB what measures and solutions are used. This may be specific for particular device and scenario of certification (e.g. market history of the device in question), and therefore ‘one rule’ may not ‘fit all’.</w:t>
      </w:r>
    </w:p>
    <w:p w14:paraId="655069F4" w14:textId="77777777" w:rsidR="00AD36B7" w:rsidRDefault="00AD36B7" w:rsidP="00F36A91">
      <w:pPr>
        <w:jc w:val="both"/>
        <w:rPr>
          <w:lang w:val="en-GB"/>
        </w:rPr>
      </w:pPr>
    </w:p>
    <w:p w14:paraId="39DBCC07" w14:textId="474F54D5" w:rsidR="00F36A91" w:rsidRPr="00B422A3" w:rsidRDefault="00F36A91" w:rsidP="00F36A91">
      <w:pPr>
        <w:rPr>
          <w:lang w:val="en-GB"/>
        </w:rPr>
      </w:pPr>
      <w:r>
        <w:rPr>
          <w:lang w:val="en-GB"/>
        </w:rPr>
        <w:t xml:space="preserve">Earlier this year, MDCG 2022-3 </w:t>
      </w:r>
      <w:r w:rsidRPr="00B422A3">
        <w:rPr>
          <w:lang w:val="en-GB"/>
        </w:rPr>
        <w:t>Verification of manufactured class D IVDs by notified bodies</w:t>
      </w:r>
      <w:r>
        <w:rPr>
          <w:lang w:val="en-GB"/>
        </w:rPr>
        <w:t xml:space="preserve"> was published; this document provides guidance on roles, </w:t>
      </w:r>
      <w:r w:rsidR="00F233AE">
        <w:rPr>
          <w:lang w:val="en-GB"/>
        </w:rPr>
        <w:t>responsibilities,</w:t>
      </w:r>
      <w:r>
        <w:rPr>
          <w:lang w:val="en-GB"/>
        </w:rPr>
        <w:t xml:space="preserve"> and best practices for the completion of </w:t>
      </w:r>
      <w:r w:rsidRPr="00B422A3">
        <w:rPr>
          <w:lang w:val="en-GB"/>
        </w:rPr>
        <w:t>conformity assessment procedures relating to the verification of manufactured class D IVDs</w:t>
      </w:r>
      <w:r w:rsidR="00E9096D">
        <w:rPr>
          <w:lang w:val="en-GB"/>
        </w:rPr>
        <w:t>. Although MDCG 2022-3 is not within the scope of this position paper and is a provision for when EURLs are designated, it</w:t>
      </w:r>
      <w:r>
        <w:rPr>
          <w:lang w:val="en-GB"/>
        </w:rPr>
        <w:t xml:space="preserve"> was used as a basis to develop the possible solutions and/or interim implementation measures together with the requirements of Annex VII of the IVDR</w:t>
      </w:r>
      <w:r w:rsidR="00E9096D">
        <w:rPr>
          <w:lang w:val="en-GB"/>
        </w:rPr>
        <w:t xml:space="preserve"> to </w:t>
      </w:r>
      <w:r w:rsidR="0022042C">
        <w:rPr>
          <w:lang w:val="en-GB"/>
        </w:rPr>
        <w:t>operate to the highest standards available for class D devices</w:t>
      </w:r>
      <w:r w:rsidR="00F233AE">
        <w:rPr>
          <w:lang w:val="en-GB"/>
        </w:rPr>
        <w:t>.</w:t>
      </w:r>
    </w:p>
    <w:p w14:paraId="11FAD834" w14:textId="1AC7CE39" w:rsidR="00B775ED" w:rsidRDefault="00535D38" w:rsidP="00B422A3">
      <w:pPr>
        <w:tabs>
          <w:tab w:val="left" w:pos="6882"/>
        </w:tabs>
        <w:rPr>
          <w:lang w:val="en-GB"/>
        </w:rPr>
      </w:pPr>
      <w:r>
        <w:rPr>
          <w:lang w:val="en-GB"/>
        </w:rPr>
        <w:t>As stated in MDCG 2022-3, t</w:t>
      </w:r>
      <w:r w:rsidR="00B775ED" w:rsidRPr="00AD36B7">
        <w:rPr>
          <w:lang w:val="en-GB"/>
        </w:rPr>
        <w:t xml:space="preserve">he notified body should have documented procedures </w:t>
      </w:r>
      <w:r w:rsidR="00F233AE" w:rsidRPr="00AD36B7">
        <w:rPr>
          <w:lang w:val="en-GB"/>
        </w:rPr>
        <w:t>for:</w:t>
      </w:r>
      <w:r w:rsidR="00B775ED" w:rsidRPr="00AD36B7">
        <w:rPr>
          <w:lang w:val="en-GB"/>
        </w:rPr>
        <w:t xml:space="preserve"> </w:t>
      </w:r>
    </w:p>
    <w:p w14:paraId="76F67FED" w14:textId="4BFE8498" w:rsidR="00B775ED" w:rsidRPr="00610C63" w:rsidRDefault="00B775ED" w:rsidP="00AD36B7">
      <w:pPr>
        <w:pStyle w:val="Paragraphedeliste"/>
        <w:numPr>
          <w:ilvl w:val="0"/>
          <w:numId w:val="4"/>
        </w:numPr>
        <w:tabs>
          <w:tab w:val="left" w:pos="6882"/>
        </w:tabs>
        <w:rPr>
          <w:lang w:val="en-GB"/>
        </w:rPr>
      </w:pPr>
      <w:r w:rsidRPr="00AD36B7">
        <w:rPr>
          <w:lang w:val="en-GB"/>
        </w:rPr>
        <w:t xml:space="preserve">The </w:t>
      </w:r>
      <w:r w:rsidRPr="00FA6163">
        <w:rPr>
          <w:b/>
          <w:bCs/>
          <w:lang w:val="en-GB"/>
        </w:rPr>
        <w:t>verification process</w:t>
      </w:r>
      <w:r w:rsidR="00FA6163" w:rsidRPr="00FA6163">
        <w:rPr>
          <w:b/>
          <w:bCs/>
          <w:lang w:val="en-GB"/>
        </w:rPr>
        <w:t>:</w:t>
      </w:r>
    </w:p>
    <w:p w14:paraId="0586ACD6" w14:textId="6ED944BB" w:rsidR="00610C63" w:rsidRDefault="00610C63" w:rsidP="00535D38">
      <w:pPr>
        <w:rPr>
          <w:lang w:val="en-GB"/>
        </w:rPr>
      </w:pPr>
      <w:r>
        <w:rPr>
          <w:lang w:val="en-GB"/>
        </w:rPr>
        <w:t>The s</w:t>
      </w:r>
      <w:r w:rsidR="00535D38" w:rsidRPr="00AD36B7">
        <w:rPr>
          <w:lang w:val="en-GB"/>
        </w:rPr>
        <w:t xml:space="preserve">olutions </w:t>
      </w:r>
      <w:r>
        <w:rPr>
          <w:lang w:val="en-GB"/>
        </w:rPr>
        <w:t xml:space="preserve">adopted by the NB </w:t>
      </w:r>
      <w:r w:rsidR="00535D38" w:rsidRPr="00AD36B7">
        <w:rPr>
          <w:lang w:val="en-GB"/>
        </w:rPr>
        <w:t xml:space="preserve">may vary depending on market status &amp; novelty of a device, as well as the particular analyte under review. </w:t>
      </w:r>
    </w:p>
    <w:p w14:paraId="4F8C2A5F" w14:textId="3F539BA4" w:rsidR="00535D38" w:rsidRPr="00AD36B7" w:rsidRDefault="00535D38" w:rsidP="00535D38">
      <w:pPr>
        <w:rPr>
          <w:lang w:val="en-GB"/>
        </w:rPr>
      </w:pPr>
      <w:r w:rsidRPr="00AD36B7">
        <w:rPr>
          <w:lang w:val="en-GB"/>
        </w:rPr>
        <w:t xml:space="preserve">A NB may look to their individual experiences under the IVDD to help support their rationales for </w:t>
      </w:r>
      <w:r w:rsidR="00B87FEF">
        <w:rPr>
          <w:lang w:val="en-GB"/>
        </w:rPr>
        <w:t xml:space="preserve">their </w:t>
      </w:r>
      <w:r w:rsidRPr="00AD36B7">
        <w:rPr>
          <w:lang w:val="en-GB"/>
        </w:rPr>
        <w:t>approach.</w:t>
      </w:r>
    </w:p>
    <w:p w14:paraId="4F425D98" w14:textId="23BA87FD" w:rsidR="00535D38" w:rsidRPr="00FA6163" w:rsidRDefault="00FA6163" w:rsidP="00535D38">
      <w:pPr>
        <w:rPr>
          <w:u w:val="single"/>
          <w:lang w:val="en-GB"/>
        </w:rPr>
      </w:pPr>
      <w:r w:rsidRPr="00FA6163">
        <w:rPr>
          <w:u w:val="single"/>
          <w:lang w:val="en-GB"/>
        </w:rPr>
        <w:t>Pre-market:</w:t>
      </w:r>
    </w:p>
    <w:p w14:paraId="400D7D51" w14:textId="55D16DCB" w:rsidR="00535D38" w:rsidRPr="00AD36B7" w:rsidRDefault="00535D38" w:rsidP="00535D38">
      <w:pPr>
        <w:rPr>
          <w:lang w:val="en-GB"/>
        </w:rPr>
      </w:pPr>
      <w:r w:rsidRPr="00AD36B7">
        <w:rPr>
          <w:lang w:val="en-GB"/>
        </w:rPr>
        <w:t>Possible solutions pre-market</w:t>
      </w:r>
      <w:r w:rsidR="00610C63">
        <w:rPr>
          <w:lang w:val="en-GB"/>
        </w:rPr>
        <w:t xml:space="preserve"> (for all devices regardless of whether they are on the market under the IVDD or other jurisdictions)</w:t>
      </w:r>
      <w:r w:rsidRPr="00AD36B7">
        <w:rPr>
          <w:lang w:val="en-GB"/>
        </w:rPr>
        <w:t>:</w:t>
      </w:r>
    </w:p>
    <w:p w14:paraId="608D51E2" w14:textId="28EE7322" w:rsidR="00535D38" w:rsidRPr="00AD36B7" w:rsidRDefault="00B87FEF" w:rsidP="00535D38">
      <w:pPr>
        <w:pStyle w:val="Paragraphedeliste"/>
        <w:numPr>
          <w:ilvl w:val="0"/>
          <w:numId w:val="2"/>
        </w:numPr>
        <w:rPr>
          <w:lang w:val="en-GB"/>
        </w:rPr>
      </w:pPr>
      <w:r>
        <w:rPr>
          <w:lang w:val="en-GB"/>
        </w:rPr>
        <w:t xml:space="preserve">If available, NB could use </w:t>
      </w:r>
      <w:r w:rsidR="00535D38" w:rsidRPr="00AD36B7">
        <w:rPr>
          <w:lang w:val="en-GB"/>
        </w:rPr>
        <w:t>other sub-contracted lab</w:t>
      </w:r>
      <w:r w:rsidR="00FA6163">
        <w:rPr>
          <w:lang w:val="en-GB"/>
        </w:rPr>
        <w:t>s. S</w:t>
      </w:r>
      <w:r w:rsidR="00987998">
        <w:rPr>
          <w:lang w:val="en-GB"/>
        </w:rPr>
        <w:t>uitable o</w:t>
      </w:r>
      <w:r w:rsidR="00FA6163">
        <w:rPr>
          <w:lang w:val="en-GB"/>
        </w:rPr>
        <w:t xml:space="preserve">ptions for </w:t>
      </w:r>
      <w:r w:rsidR="00987998">
        <w:rPr>
          <w:lang w:val="en-GB"/>
        </w:rPr>
        <w:t>this solution</w:t>
      </w:r>
      <w:r w:rsidR="00FA6163">
        <w:rPr>
          <w:lang w:val="en-GB"/>
        </w:rPr>
        <w:t xml:space="preserve"> are currently being explored</w:t>
      </w:r>
    </w:p>
    <w:p w14:paraId="20E3C3BF" w14:textId="7A34D286" w:rsidR="006458B2" w:rsidRPr="00F233AE" w:rsidRDefault="00B87FEF" w:rsidP="00987998">
      <w:pPr>
        <w:pStyle w:val="Paragraphedeliste"/>
        <w:numPr>
          <w:ilvl w:val="0"/>
          <w:numId w:val="2"/>
        </w:numPr>
        <w:tabs>
          <w:tab w:val="left" w:pos="2943"/>
        </w:tabs>
        <w:rPr>
          <w:rStyle w:val="Lienhypertexte"/>
          <w:color w:val="auto"/>
          <w:u w:val="none"/>
          <w:lang w:val="en-GB"/>
        </w:rPr>
      </w:pPr>
      <w:r w:rsidRPr="00987998">
        <w:rPr>
          <w:lang w:val="en-GB"/>
        </w:rPr>
        <w:t xml:space="preserve">Use </w:t>
      </w:r>
      <w:r w:rsidR="00610C63" w:rsidRPr="00987998">
        <w:rPr>
          <w:lang w:val="en-GB"/>
        </w:rPr>
        <w:t xml:space="preserve">of </w:t>
      </w:r>
      <w:r w:rsidR="00535D38" w:rsidRPr="00987998">
        <w:rPr>
          <w:lang w:val="en-GB"/>
        </w:rPr>
        <w:t>blinded panel samples</w:t>
      </w:r>
      <w:r w:rsidR="00535D38" w:rsidRPr="00AD36B7">
        <w:rPr>
          <w:vertAlign w:val="superscript"/>
          <w:lang w:val="en-GB"/>
        </w:rPr>
        <w:footnoteReference w:id="1"/>
      </w:r>
      <w:r w:rsidRPr="00987998">
        <w:rPr>
          <w:lang w:val="en-GB"/>
        </w:rPr>
        <w:t xml:space="preserve"> or mandatory participation to External Quality Assurance Schemes (e.g. </w:t>
      </w:r>
      <w:proofErr w:type="spellStart"/>
      <w:r w:rsidRPr="00987998">
        <w:rPr>
          <w:lang w:val="en-GB"/>
        </w:rPr>
        <w:t>Instand</w:t>
      </w:r>
      <w:proofErr w:type="spellEnd"/>
      <w:r w:rsidRPr="00987998">
        <w:rPr>
          <w:lang w:val="en-GB"/>
        </w:rPr>
        <w:t xml:space="preserve">, UK NEQAS or other); </w:t>
      </w:r>
      <w:r w:rsidR="006458B2" w:rsidRPr="00987998">
        <w:rPr>
          <w:lang w:val="en-GB"/>
        </w:rPr>
        <w:t xml:space="preserve">a list of </w:t>
      </w:r>
      <w:r w:rsidR="00FA6163" w:rsidRPr="00987998">
        <w:rPr>
          <w:lang w:val="en-GB"/>
        </w:rPr>
        <w:t xml:space="preserve">on existing EQAS organisations </w:t>
      </w:r>
      <w:r w:rsidR="006458B2" w:rsidRPr="00987998">
        <w:rPr>
          <w:lang w:val="en-GB"/>
        </w:rPr>
        <w:t xml:space="preserve">is available at the  </w:t>
      </w:r>
      <w:r w:rsidR="006458B2" w:rsidRPr="00987998">
        <w:rPr>
          <w:b/>
          <w:bCs/>
          <w:lang w:val="en-GB"/>
        </w:rPr>
        <w:t>E</w:t>
      </w:r>
      <w:r w:rsidR="006458B2" w:rsidRPr="00987998">
        <w:rPr>
          <w:lang w:val="en-GB"/>
        </w:rPr>
        <w:t xml:space="preserve">uropean </w:t>
      </w:r>
      <w:r w:rsidR="006458B2" w:rsidRPr="00987998">
        <w:rPr>
          <w:b/>
          <w:bCs/>
          <w:lang w:val="en-GB"/>
        </w:rPr>
        <w:t>O</w:t>
      </w:r>
      <w:r w:rsidR="006458B2" w:rsidRPr="00987998">
        <w:rPr>
          <w:lang w:val="en-GB"/>
        </w:rPr>
        <w:t xml:space="preserve">rganisation for </w:t>
      </w:r>
      <w:r w:rsidR="006458B2" w:rsidRPr="00987998">
        <w:rPr>
          <w:b/>
          <w:bCs/>
          <w:lang w:val="en-GB"/>
        </w:rPr>
        <w:t>E</w:t>
      </w:r>
      <w:r w:rsidR="006458B2" w:rsidRPr="00987998">
        <w:rPr>
          <w:lang w:val="en-GB"/>
        </w:rPr>
        <w:t xml:space="preserve">xternal </w:t>
      </w:r>
      <w:r w:rsidR="006458B2" w:rsidRPr="00987998">
        <w:rPr>
          <w:b/>
          <w:bCs/>
          <w:lang w:val="en-GB"/>
        </w:rPr>
        <w:t>Q</w:t>
      </w:r>
      <w:r w:rsidR="006458B2" w:rsidRPr="00987998">
        <w:rPr>
          <w:lang w:val="en-GB"/>
        </w:rPr>
        <w:t xml:space="preserve">uality </w:t>
      </w:r>
      <w:r w:rsidR="006458B2" w:rsidRPr="00987998">
        <w:rPr>
          <w:b/>
          <w:bCs/>
          <w:lang w:val="en-GB"/>
        </w:rPr>
        <w:t>A</w:t>
      </w:r>
      <w:r w:rsidR="006458B2" w:rsidRPr="00987998">
        <w:rPr>
          <w:lang w:val="en-GB"/>
        </w:rPr>
        <w:t xml:space="preserve">ssurance </w:t>
      </w:r>
      <w:r w:rsidR="006458B2" w:rsidRPr="00987998">
        <w:rPr>
          <w:b/>
          <w:bCs/>
          <w:lang w:val="en-GB"/>
        </w:rPr>
        <w:t>P</w:t>
      </w:r>
      <w:r w:rsidR="006458B2" w:rsidRPr="00987998">
        <w:rPr>
          <w:lang w:val="en-GB"/>
        </w:rPr>
        <w:t xml:space="preserve">roviders in </w:t>
      </w:r>
      <w:r w:rsidR="006458B2" w:rsidRPr="00987998">
        <w:rPr>
          <w:b/>
          <w:bCs/>
          <w:lang w:val="en-GB"/>
        </w:rPr>
        <w:t>L</w:t>
      </w:r>
      <w:r w:rsidR="006458B2" w:rsidRPr="00987998">
        <w:rPr>
          <w:lang w:val="en-GB"/>
        </w:rPr>
        <w:t xml:space="preserve">aboratory </w:t>
      </w:r>
      <w:r w:rsidR="006458B2" w:rsidRPr="00987998">
        <w:rPr>
          <w:b/>
          <w:bCs/>
          <w:lang w:val="en-GB"/>
        </w:rPr>
        <w:t>M</w:t>
      </w:r>
      <w:r w:rsidR="006458B2" w:rsidRPr="00987998">
        <w:rPr>
          <w:lang w:val="en-GB"/>
        </w:rPr>
        <w:t xml:space="preserve">edicine (EQALM) webpage </w:t>
      </w:r>
      <w:hyperlink r:id="rId13" w:history="1">
        <w:r w:rsidR="006458B2" w:rsidRPr="00987998">
          <w:rPr>
            <w:rStyle w:val="Lienhypertexte"/>
            <w:lang w:val="en-GB"/>
          </w:rPr>
          <w:t>www.eqalm.org</w:t>
        </w:r>
      </w:hyperlink>
      <w:r w:rsidR="006458B2" w:rsidRPr="00987998">
        <w:rPr>
          <w:lang w:val="en-GB"/>
        </w:rPr>
        <w:t>; organisations are listed by country name along with their respective websites</w:t>
      </w:r>
      <w:r w:rsidR="008D5199">
        <w:rPr>
          <w:lang w:val="en-GB"/>
        </w:rPr>
        <w:t xml:space="preserve">; further information is available on the European </w:t>
      </w:r>
      <w:proofErr w:type="spellStart"/>
      <w:r w:rsidR="008D5199">
        <w:rPr>
          <w:lang w:val="en-GB"/>
        </w:rPr>
        <w:t>Center</w:t>
      </w:r>
      <w:proofErr w:type="spellEnd"/>
      <w:r w:rsidR="008D5199">
        <w:rPr>
          <w:lang w:val="en-GB"/>
        </w:rPr>
        <w:t xml:space="preserve"> for Disease Prevention and Control (ECDC) webpage </w:t>
      </w:r>
      <w:hyperlink r:id="rId14" w:history="1">
        <w:r w:rsidR="008D5199">
          <w:rPr>
            <w:rStyle w:val="Lienhypertexte"/>
            <w:lang w:val="en-GB"/>
          </w:rPr>
          <w:t>ww.ecdc.europa.eu</w:t>
        </w:r>
      </w:hyperlink>
    </w:p>
    <w:p w14:paraId="577D5AC3" w14:textId="09395B91" w:rsidR="0022042C" w:rsidRPr="00987998" w:rsidRDefault="0022042C" w:rsidP="00987998">
      <w:pPr>
        <w:pStyle w:val="Paragraphedeliste"/>
        <w:numPr>
          <w:ilvl w:val="0"/>
          <w:numId w:val="2"/>
        </w:numPr>
        <w:tabs>
          <w:tab w:val="left" w:pos="2943"/>
        </w:tabs>
        <w:rPr>
          <w:lang w:val="en-GB"/>
        </w:rPr>
      </w:pPr>
      <w:r>
        <w:rPr>
          <w:rStyle w:val="Lienhypertexte"/>
          <w:lang w:val="en-GB"/>
        </w:rPr>
        <w:t>Witness testing during audits</w:t>
      </w:r>
    </w:p>
    <w:p w14:paraId="29CC23C7" w14:textId="4A890670" w:rsidR="00535D38" w:rsidRPr="00AD36B7" w:rsidRDefault="00B87FEF" w:rsidP="00535D38">
      <w:pPr>
        <w:pStyle w:val="Paragraphedeliste"/>
        <w:numPr>
          <w:ilvl w:val="0"/>
          <w:numId w:val="2"/>
        </w:numPr>
        <w:rPr>
          <w:lang w:val="en-GB"/>
        </w:rPr>
      </w:pPr>
      <w:r>
        <w:rPr>
          <w:lang w:val="en-GB"/>
        </w:rPr>
        <w:t>I</w:t>
      </w:r>
      <w:r w:rsidR="00535D38" w:rsidRPr="00AD36B7">
        <w:rPr>
          <w:lang w:val="en-GB"/>
        </w:rPr>
        <w:t>ntegrat</w:t>
      </w:r>
      <w:r>
        <w:rPr>
          <w:lang w:val="en-GB"/>
        </w:rPr>
        <w:t xml:space="preserve">ion of </w:t>
      </w:r>
      <w:r w:rsidR="00535D38" w:rsidRPr="00AD36B7">
        <w:rPr>
          <w:lang w:val="en-GB"/>
        </w:rPr>
        <w:t xml:space="preserve">commercial </w:t>
      </w:r>
      <w:r>
        <w:rPr>
          <w:lang w:val="en-GB"/>
        </w:rPr>
        <w:t>r</w:t>
      </w:r>
      <w:r w:rsidR="00535D38" w:rsidRPr="00AD36B7">
        <w:rPr>
          <w:lang w:val="en-GB"/>
        </w:rPr>
        <w:t>eference materials into final Quality Control testing at Manufacturer’s site</w:t>
      </w:r>
      <w:r>
        <w:rPr>
          <w:lang w:val="en-GB"/>
        </w:rPr>
        <w:t xml:space="preserve"> if such material is available</w:t>
      </w:r>
    </w:p>
    <w:p w14:paraId="5C6FF43A" w14:textId="341AD9E1" w:rsidR="00B87FEF" w:rsidRPr="00AD36B7" w:rsidRDefault="00610C63" w:rsidP="00B87FEF">
      <w:pPr>
        <w:rPr>
          <w:lang w:val="en-GB"/>
        </w:rPr>
      </w:pPr>
      <w:r>
        <w:rPr>
          <w:lang w:val="en-GB"/>
        </w:rPr>
        <w:t>Additionally, f</w:t>
      </w:r>
      <w:r w:rsidR="00B87FEF" w:rsidRPr="00AD36B7">
        <w:rPr>
          <w:lang w:val="en-GB"/>
        </w:rPr>
        <w:t>or devices currently on the market under IVDD (or other jurisdictions)</w:t>
      </w:r>
      <w:r w:rsidR="00FA6163">
        <w:rPr>
          <w:lang w:val="en-GB"/>
        </w:rPr>
        <w:t>, the following could be considered:</w:t>
      </w:r>
    </w:p>
    <w:p w14:paraId="4DF93368" w14:textId="337AC189" w:rsidR="00B87FEF" w:rsidRDefault="00B87FEF" w:rsidP="00B87FEF">
      <w:pPr>
        <w:pStyle w:val="Paragraphedeliste"/>
        <w:numPr>
          <w:ilvl w:val="0"/>
          <w:numId w:val="2"/>
        </w:numPr>
        <w:rPr>
          <w:lang w:val="en-GB"/>
        </w:rPr>
      </w:pPr>
      <w:r w:rsidRPr="00AD36B7">
        <w:rPr>
          <w:lang w:val="en-GB"/>
        </w:rPr>
        <w:t>Review of historic manufacturing/QC batch records to base future ‘release plan’</w:t>
      </w:r>
    </w:p>
    <w:p w14:paraId="075F64D6" w14:textId="282D8D72" w:rsidR="00C45424" w:rsidRPr="00AD36B7" w:rsidRDefault="00C45424" w:rsidP="00B87FEF">
      <w:pPr>
        <w:pStyle w:val="Paragraphedeliste"/>
        <w:numPr>
          <w:ilvl w:val="0"/>
          <w:numId w:val="2"/>
        </w:numPr>
        <w:rPr>
          <w:lang w:val="en-GB"/>
        </w:rPr>
      </w:pPr>
      <w:r>
        <w:rPr>
          <w:lang w:val="en-GB"/>
        </w:rPr>
        <w:t>Continued used of established IVDD Annex II List A release specifications under the IVDR</w:t>
      </w:r>
    </w:p>
    <w:p w14:paraId="6C35EA8E" w14:textId="77777777" w:rsidR="00B87FEF" w:rsidRPr="00AD36B7" w:rsidRDefault="00B87FEF" w:rsidP="00B87FEF">
      <w:pPr>
        <w:pStyle w:val="Paragraphedeliste"/>
        <w:numPr>
          <w:ilvl w:val="0"/>
          <w:numId w:val="2"/>
        </w:numPr>
        <w:rPr>
          <w:lang w:val="en-GB"/>
        </w:rPr>
      </w:pPr>
      <w:r w:rsidRPr="00AD36B7">
        <w:rPr>
          <w:lang w:val="en-GB"/>
        </w:rPr>
        <w:t>More scrutiny of on-market &amp; vigilance data as part of IVDR conformity assessment</w:t>
      </w:r>
    </w:p>
    <w:p w14:paraId="6B743841" w14:textId="05255AD1" w:rsidR="00B87FEF" w:rsidRDefault="00B87FEF" w:rsidP="00B87FEF">
      <w:pPr>
        <w:pStyle w:val="Paragraphedeliste"/>
        <w:numPr>
          <w:ilvl w:val="0"/>
          <w:numId w:val="2"/>
        </w:numPr>
        <w:rPr>
          <w:lang w:val="en-GB"/>
        </w:rPr>
      </w:pPr>
      <w:r w:rsidRPr="00AD36B7">
        <w:rPr>
          <w:lang w:val="en-GB"/>
        </w:rPr>
        <w:lastRenderedPageBreak/>
        <w:t>Provision of ‘routine diagnostic testing’</w:t>
      </w:r>
      <w:r w:rsidR="00FA6163">
        <w:rPr>
          <w:lang w:val="en-GB"/>
        </w:rPr>
        <w:t xml:space="preserve"> data</w:t>
      </w:r>
    </w:p>
    <w:p w14:paraId="0519C1BF" w14:textId="77777777" w:rsidR="00FA6163" w:rsidRPr="00AD36B7" w:rsidRDefault="00FA6163" w:rsidP="00F233AE">
      <w:pPr>
        <w:pStyle w:val="Paragraphedeliste"/>
        <w:rPr>
          <w:lang w:val="en-GB"/>
        </w:rPr>
      </w:pPr>
    </w:p>
    <w:p w14:paraId="6A973EC3" w14:textId="4D71078B" w:rsidR="00610C63" w:rsidRPr="00FA6163" w:rsidRDefault="00610C63" w:rsidP="00610C63">
      <w:pPr>
        <w:rPr>
          <w:u w:val="single"/>
          <w:lang w:val="en-GB"/>
        </w:rPr>
      </w:pPr>
      <w:r w:rsidRPr="00FA6163">
        <w:rPr>
          <w:u w:val="single"/>
          <w:lang w:val="en-GB"/>
        </w:rPr>
        <w:t>Post market:</w:t>
      </w:r>
    </w:p>
    <w:p w14:paraId="6D501E37" w14:textId="04FB6549" w:rsidR="00610C63" w:rsidRPr="00EE702E" w:rsidRDefault="00610C63" w:rsidP="00610C63">
      <w:pPr>
        <w:rPr>
          <w:lang w:val="en-GB"/>
        </w:rPr>
      </w:pPr>
      <w:r w:rsidRPr="00EE702E">
        <w:rPr>
          <w:lang w:val="en-GB"/>
        </w:rPr>
        <w:t xml:space="preserve">Additional measures that may be considered by the NB as part of conformity assessment </w:t>
      </w:r>
      <w:r>
        <w:rPr>
          <w:lang w:val="en-GB"/>
        </w:rPr>
        <w:t xml:space="preserve">after initial IVDR certification: </w:t>
      </w:r>
    </w:p>
    <w:p w14:paraId="474FB141" w14:textId="28A9B105" w:rsidR="00610C63" w:rsidRPr="00AD36B7" w:rsidRDefault="0022042C" w:rsidP="00610C63">
      <w:pPr>
        <w:pStyle w:val="Paragraphedeliste"/>
        <w:numPr>
          <w:ilvl w:val="0"/>
          <w:numId w:val="2"/>
        </w:numPr>
        <w:rPr>
          <w:lang w:val="en-GB"/>
        </w:rPr>
      </w:pPr>
      <w:r w:rsidRPr="0022042C">
        <w:rPr>
          <w:lang w:val="en-GB"/>
        </w:rPr>
        <w:t xml:space="preserve">Witness testing at Manufacturer’s site during regular audits; </w:t>
      </w:r>
      <w:r w:rsidRPr="00F233AE">
        <w:rPr>
          <w:lang w:val="en-GB"/>
        </w:rPr>
        <w:t xml:space="preserve">the NB should determine the frequency of witness testing using a risk-based approach. Factors to be taken into account could be, for example, the manufacturer’s track record of </w:t>
      </w:r>
      <w:r w:rsidR="00F233AE" w:rsidRPr="00F233AE">
        <w:rPr>
          <w:lang w:val="en-GB"/>
        </w:rPr>
        <w:t>releasing high</w:t>
      </w:r>
      <w:r w:rsidRPr="00F233AE">
        <w:rPr>
          <w:lang w:val="en-GB"/>
        </w:rPr>
        <w:t xml:space="preserve"> risk IVDs. </w:t>
      </w:r>
      <w:r w:rsidR="00610C63" w:rsidRPr="00AD36B7">
        <w:rPr>
          <w:lang w:val="en-GB"/>
        </w:rPr>
        <w:t xml:space="preserve">NB could </w:t>
      </w:r>
      <w:r w:rsidR="00AE4FBD">
        <w:rPr>
          <w:lang w:val="en-GB"/>
        </w:rPr>
        <w:t>enhance the oversight</w:t>
      </w:r>
      <w:r w:rsidR="00610C63" w:rsidRPr="00AD36B7">
        <w:rPr>
          <w:lang w:val="en-GB"/>
        </w:rPr>
        <w:t xml:space="preserve"> of post-market data</w:t>
      </w:r>
      <w:r w:rsidR="00610C63">
        <w:rPr>
          <w:lang w:val="en-GB"/>
        </w:rPr>
        <w:t>. This could be fulfilled, for example, by requesting the s</w:t>
      </w:r>
      <w:r w:rsidR="00610C63" w:rsidRPr="00AD36B7">
        <w:rPr>
          <w:lang w:val="en-GB"/>
        </w:rPr>
        <w:t>ubmission of periodic post-market data (</w:t>
      </w:r>
      <w:r w:rsidR="00AE4FBD">
        <w:rPr>
          <w:lang w:val="en-GB"/>
        </w:rPr>
        <w:t>e.g.</w:t>
      </w:r>
      <w:r w:rsidR="00610C63" w:rsidRPr="00AD36B7">
        <w:rPr>
          <w:lang w:val="en-GB"/>
        </w:rPr>
        <w:t xml:space="preserve"> PSUR) </w:t>
      </w:r>
      <w:r w:rsidR="00610C63">
        <w:rPr>
          <w:lang w:val="en-GB"/>
        </w:rPr>
        <w:t xml:space="preserve">with increased frequency </w:t>
      </w:r>
      <w:r w:rsidR="00610C63" w:rsidRPr="00AD36B7">
        <w:rPr>
          <w:lang w:val="en-GB"/>
        </w:rPr>
        <w:t>during initial certification</w:t>
      </w:r>
      <w:r w:rsidR="0043538E">
        <w:rPr>
          <w:lang w:val="en-GB"/>
        </w:rPr>
        <w:t xml:space="preserve"> e.g. every 6 months instead of 1 year</w:t>
      </w:r>
    </w:p>
    <w:p w14:paraId="574FF276" w14:textId="77777777" w:rsidR="00610C63" w:rsidRPr="00AD36B7" w:rsidRDefault="00610C63" w:rsidP="00610C63">
      <w:pPr>
        <w:pStyle w:val="Paragraphedeliste"/>
        <w:numPr>
          <w:ilvl w:val="0"/>
          <w:numId w:val="2"/>
        </w:numPr>
        <w:rPr>
          <w:lang w:val="en-GB"/>
        </w:rPr>
      </w:pPr>
      <w:r w:rsidRPr="00AD36B7">
        <w:rPr>
          <w:lang w:val="en-GB"/>
        </w:rPr>
        <w:t>Consider proactive notification of change of materials/QCs</w:t>
      </w:r>
    </w:p>
    <w:p w14:paraId="31158FA1" w14:textId="77BFC9CA" w:rsidR="00610C63" w:rsidRPr="00AD36B7" w:rsidRDefault="00610C63" w:rsidP="00610C63">
      <w:pPr>
        <w:pStyle w:val="Paragraphedeliste"/>
        <w:numPr>
          <w:ilvl w:val="0"/>
          <w:numId w:val="2"/>
        </w:numPr>
        <w:rPr>
          <w:lang w:val="en-GB"/>
        </w:rPr>
      </w:pPr>
      <w:r w:rsidRPr="00AD36B7">
        <w:rPr>
          <w:lang w:val="en-GB"/>
        </w:rPr>
        <w:t>Proactive PMPF</w:t>
      </w:r>
      <w:r w:rsidR="0043538E">
        <w:rPr>
          <w:lang w:val="en-GB"/>
        </w:rPr>
        <w:t>: although Annex XIII of the IVDR allows Manufacturers to provide a justification if they do not consider PMPF appropriate for a specific device, PMPF could be considered necessary for this type of devices</w:t>
      </w:r>
    </w:p>
    <w:p w14:paraId="2333E982" w14:textId="482A6A3E" w:rsidR="00610C63" w:rsidRDefault="0043538E" w:rsidP="00610C63">
      <w:pPr>
        <w:pStyle w:val="Paragraphedeliste"/>
        <w:numPr>
          <w:ilvl w:val="0"/>
          <w:numId w:val="2"/>
        </w:numPr>
        <w:rPr>
          <w:lang w:val="en-GB"/>
        </w:rPr>
      </w:pPr>
      <w:r>
        <w:rPr>
          <w:lang w:val="en-GB"/>
        </w:rPr>
        <w:t xml:space="preserve">The results of </w:t>
      </w:r>
      <w:r w:rsidR="00610C63" w:rsidRPr="00AD36B7">
        <w:rPr>
          <w:lang w:val="en-GB"/>
        </w:rPr>
        <w:t>earlier unannounced audits</w:t>
      </w:r>
      <w:r>
        <w:rPr>
          <w:lang w:val="en-GB"/>
        </w:rPr>
        <w:t xml:space="preserve"> of the same Manufacturer could be taken into account</w:t>
      </w:r>
    </w:p>
    <w:p w14:paraId="1E3AACA9" w14:textId="77777777" w:rsidR="00FA6163" w:rsidRPr="00AD36B7" w:rsidRDefault="00FA6163" w:rsidP="00FA6163">
      <w:pPr>
        <w:pStyle w:val="Paragraphedeliste"/>
        <w:rPr>
          <w:lang w:val="en-GB"/>
        </w:rPr>
      </w:pPr>
    </w:p>
    <w:p w14:paraId="50D146FF" w14:textId="1E6C1441" w:rsidR="00B775ED" w:rsidRDefault="00B775ED" w:rsidP="0043538E">
      <w:pPr>
        <w:pStyle w:val="Paragraphedeliste"/>
        <w:numPr>
          <w:ilvl w:val="0"/>
          <w:numId w:val="4"/>
        </w:numPr>
        <w:tabs>
          <w:tab w:val="left" w:pos="6882"/>
        </w:tabs>
        <w:rPr>
          <w:lang w:val="en-GB"/>
        </w:rPr>
      </w:pPr>
      <w:r w:rsidRPr="00AD36B7">
        <w:rPr>
          <w:lang w:val="en-GB"/>
        </w:rPr>
        <w:t xml:space="preserve">The </w:t>
      </w:r>
      <w:r w:rsidRPr="00FA6163">
        <w:rPr>
          <w:b/>
          <w:bCs/>
          <w:lang w:val="en-GB"/>
        </w:rPr>
        <w:t>establishment of a test plan</w:t>
      </w:r>
      <w:r w:rsidRPr="00AD36B7">
        <w:rPr>
          <w:lang w:val="en-GB"/>
        </w:rPr>
        <w:t xml:space="preserve"> identifying all relevant and critical parameters which need to be tested for the device, including decision making criteria for success or failure of the batch </w:t>
      </w:r>
    </w:p>
    <w:p w14:paraId="63AC05C1" w14:textId="77777777" w:rsidR="00264412" w:rsidRDefault="00264412" w:rsidP="00264412">
      <w:pPr>
        <w:pStyle w:val="Paragraphedeliste"/>
        <w:rPr>
          <w:lang w:val="en-GB"/>
        </w:rPr>
      </w:pPr>
    </w:p>
    <w:p w14:paraId="105C1B99" w14:textId="78A9F616" w:rsidR="00264412" w:rsidRDefault="00264412" w:rsidP="00264412">
      <w:pPr>
        <w:pStyle w:val="Paragraphedeliste"/>
        <w:rPr>
          <w:lang w:val="en-GB"/>
        </w:rPr>
      </w:pPr>
      <w:r>
        <w:rPr>
          <w:lang w:val="en-GB"/>
        </w:rPr>
        <w:t xml:space="preserve">The establishment of a testing plan will depend </w:t>
      </w:r>
      <w:r w:rsidR="0043538E" w:rsidRPr="00AD36B7">
        <w:rPr>
          <w:lang w:val="en-GB"/>
        </w:rPr>
        <w:t>on solutions opted for the verification process</w:t>
      </w:r>
      <w:r>
        <w:rPr>
          <w:lang w:val="en-GB"/>
        </w:rPr>
        <w:t xml:space="preserve"> and it should be established and agreed upon with the Manufacturer during the initial certification.</w:t>
      </w:r>
    </w:p>
    <w:p w14:paraId="2B528F99" w14:textId="77777777" w:rsidR="00264412" w:rsidRDefault="00264412" w:rsidP="00264412">
      <w:pPr>
        <w:pStyle w:val="Paragraphedeliste"/>
        <w:rPr>
          <w:lang w:val="en-GB"/>
        </w:rPr>
      </w:pPr>
    </w:p>
    <w:p w14:paraId="156F2F91" w14:textId="2AD3D44D" w:rsidR="00B422A3" w:rsidRDefault="00B775ED" w:rsidP="00264412">
      <w:pPr>
        <w:pStyle w:val="Paragraphedeliste"/>
        <w:numPr>
          <w:ilvl w:val="0"/>
          <w:numId w:val="4"/>
        </w:numPr>
        <w:rPr>
          <w:lang w:val="en-GB"/>
        </w:rPr>
      </w:pPr>
      <w:r w:rsidRPr="00AD36B7">
        <w:rPr>
          <w:lang w:val="en-GB"/>
        </w:rPr>
        <w:t xml:space="preserve">The </w:t>
      </w:r>
      <w:r w:rsidRPr="00FA6163">
        <w:rPr>
          <w:b/>
          <w:bCs/>
          <w:lang w:val="en-GB"/>
        </w:rPr>
        <w:t>provision for the reaching of an agreement</w:t>
      </w:r>
      <w:r w:rsidRPr="00AD36B7">
        <w:rPr>
          <w:lang w:val="en-GB"/>
        </w:rPr>
        <w:t xml:space="preserve"> with the manufacturer concerning when and where the necessary sample or batch testing </w:t>
      </w:r>
      <w:r w:rsidR="00454918" w:rsidRPr="00AD36B7">
        <w:rPr>
          <w:lang w:val="en-GB"/>
        </w:rPr>
        <w:t>must</w:t>
      </w:r>
      <w:r w:rsidRPr="00AD36B7">
        <w:rPr>
          <w:lang w:val="en-GB"/>
        </w:rPr>
        <w:t xml:space="preserve"> be performed</w:t>
      </w:r>
    </w:p>
    <w:p w14:paraId="7086E764" w14:textId="3662DB52" w:rsidR="00264412" w:rsidRPr="00AD36B7" w:rsidRDefault="00264412" w:rsidP="00AD36B7">
      <w:pPr>
        <w:ind w:left="708"/>
        <w:rPr>
          <w:lang w:val="en-GB"/>
        </w:rPr>
      </w:pPr>
      <w:r>
        <w:rPr>
          <w:lang w:val="en-GB"/>
        </w:rPr>
        <w:t xml:space="preserve">The </w:t>
      </w:r>
      <w:r w:rsidRPr="00AD36B7">
        <w:rPr>
          <w:lang w:val="en-GB"/>
        </w:rPr>
        <w:t xml:space="preserve">NB contracts with Manufacturers </w:t>
      </w:r>
      <w:r>
        <w:rPr>
          <w:lang w:val="en-GB"/>
        </w:rPr>
        <w:t xml:space="preserve">should </w:t>
      </w:r>
      <w:r w:rsidRPr="00AD36B7">
        <w:rPr>
          <w:lang w:val="en-GB"/>
        </w:rPr>
        <w:t xml:space="preserve">include additional requirements or references as needed </w:t>
      </w:r>
      <w:r>
        <w:rPr>
          <w:lang w:val="en-GB"/>
        </w:rPr>
        <w:t>detailing the s</w:t>
      </w:r>
      <w:r w:rsidRPr="00AD36B7">
        <w:rPr>
          <w:lang w:val="en-GB"/>
        </w:rPr>
        <w:t>cope of interim measure</w:t>
      </w:r>
      <w:r>
        <w:rPr>
          <w:lang w:val="en-GB"/>
        </w:rPr>
        <w:t xml:space="preserve"> or solutions adopted by the NB until a EURL is appointed for the specific category of class D devices under assessment.</w:t>
      </w:r>
    </w:p>
    <w:p w14:paraId="2DC55D63" w14:textId="77777777" w:rsidR="00B422A3" w:rsidRPr="00CE2B9F" w:rsidRDefault="00B422A3" w:rsidP="00906933">
      <w:pPr>
        <w:jc w:val="both"/>
        <w:rPr>
          <w:b/>
          <w:bCs/>
          <w:lang w:val="en-GB"/>
        </w:rPr>
      </w:pPr>
    </w:p>
    <w:p w14:paraId="12130CE2" w14:textId="0403E1BD" w:rsidR="00C3785B" w:rsidRDefault="00CA54DA" w:rsidP="00CA54DA">
      <w:pPr>
        <w:jc w:val="both"/>
        <w:rPr>
          <w:b/>
          <w:bCs/>
          <w:lang w:val="en-GB"/>
        </w:rPr>
      </w:pPr>
      <w:r w:rsidRPr="00CA54DA">
        <w:rPr>
          <w:b/>
          <w:bCs/>
          <w:lang w:val="en-GB"/>
        </w:rPr>
        <w:t>Conclusions</w:t>
      </w:r>
    </w:p>
    <w:p w14:paraId="23F7B68D" w14:textId="10FAF717" w:rsidR="00CA54DA" w:rsidRDefault="006F59B4" w:rsidP="00CA54DA">
      <w:pPr>
        <w:jc w:val="both"/>
        <w:rPr>
          <w:lang w:val="en-GB"/>
        </w:rPr>
      </w:pPr>
      <w:r w:rsidRPr="006F59B4">
        <w:rPr>
          <w:lang w:val="en-GB"/>
        </w:rPr>
        <w:t xml:space="preserve">This </w:t>
      </w:r>
      <w:r w:rsidR="00BB7ABF">
        <w:rPr>
          <w:lang w:val="en-GB"/>
        </w:rPr>
        <w:t>consideration</w:t>
      </w:r>
      <w:r w:rsidRPr="006F59B4">
        <w:rPr>
          <w:lang w:val="en-GB"/>
        </w:rPr>
        <w:t xml:space="preserve"> paper </w:t>
      </w:r>
      <w:r w:rsidR="003E1F9F">
        <w:rPr>
          <w:lang w:val="en-GB"/>
        </w:rPr>
        <w:t>explor</w:t>
      </w:r>
      <w:r w:rsidRPr="006F59B4">
        <w:rPr>
          <w:lang w:val="en-GB"/>
        </w:rPr>
        <w:t xml:space="preserve">es </w:t>
      </w:r>
      <w:r w:rsidR="006458B2" w:rsidRPr="006F59B4">
        <w:rPr>
          <w:lang w:val="en-GB"/>
        </w:rPr>
        <w:t>possible</w:t>
      </w:r>
      <w:r w:rsidR="006458B2">
        <w:rPr>
          <w:lang w:val="en-GB"/>
        </w:rPr>
        <w:t xml:space="preserve"> </w:t>
      </w:r>
      <w:r w:rsidR="006458B2" w:rsidRPr="006F59B4">
        <w:rPr>
          <w:lang w:val="en-GB"/>
        </w:rPr>
        <w:t>solutions</w:t>
      </w:r>
      <w:r w:rsidR="003E1F9F">
        <w:rPr>
          <w:lang w:val="en-GB"/>
        </w:rPr>
        <w:t xml:space="preserve"> </w:t>
      </w:r>
      <w:r w:rsidR="006458B2">
        <w:rPr>
          <w:lang w:val="en-GB"/>
        </w:rPr>
        <w:t xml:space="preserve">for performance verification and verification of manufactured class D devices </w:t>
      </w:r>
      <w:r w:rsidR="003E1F9F">
        <w:rPr>
          <w:lang w:val="en-GB"/>
        </w:rPr>
        <w:t>that</w:t>
      </w:r>
      <w:r>
        <w:rPr>
          <w:lang w:val="en-GB"/>
        </w:rPr>
        <w:t xml:space="preserve"> NB</w:t>
      </w:r>
      <w:r w:rsidR="003E1F9F">
        <w:rPr>
          <w:lang w:val="en-GB"/>
        </w:rPr>
        <w:t xml:space="preserve"> could apply until </w:t>
      </w:r>
      <w:r w:rsidR="006458B2">
        <w:rPr>
          <w:lang w:val="en-GB"/>
        </w:rPr>
        <w:t xml:space="preserve">a </w:t>
      </w:r>
      <w:r w:rsidR="003E1F9F">
        <w:rPr>
          <w:lang w:val="en-GB"/>
        </w:rPr>
        <w:t>EURL</w:t>
      </w:r>
      <w:r w:rsidR="006458B2">
        <w:rPr>
          <w:lang w:val="en-GB"/>
        </w:rPr>
        <w:t xml:space="preserve"> is</w:t>
      </w:r>
      <w:r w:rsidR="003E1F9F">
        <w:rPr>
          <w:lang w:val="en-GB"/>
        </w:rPr>
        <w:t xml:space="preserve"> designated</w:t>
      </w:r>
      <w:r w:rsidR="006458B2">
        <w:rPr>
          <w:lang w:val="en-GB"/>
        </w:rPr>
        <w:t xml:space="preserve"> for the specific category of device under assessment</w:t>
      </w:r>
      <w:r w:rsidR="003E1F9F">
        <w:rPr>
          <w:lang w:val="en-GB"/>
        </w:rPr>
        <w:t xml:space="preserve">.  The chosen solutions may vary depending on the device under evaluation and should be taken using a </w:t>
      </w:r>
      <w:r w:rsidR="00BB7ABF">
        <w:rPr>
          <w:lang w:val="en-GB"/>
        </w:rPr>
        <w:t>risk-based</w:t>
      </w:r>
      <w:r w:rsidR="003E1F9F">
        <w:rPr>
          <w:lang w:val="en-GB"/>
        </w:rPr>
        <w:t xml:space="preserve"> approach. </w:t>
      </w:r>
    </w:p>
    <w:p w14:paraId="06E5DBAA" w14:textId="794A4F7E" w:rsidR="00CF2D3A" w:rsidRDefault="00CF2D3A" w:rsidP="00CA54DA">
      <w:pPr>
        <w:jc w:val="both"/>
        <w:rPr>
          <w:lang w:val="en-GB"/>
        </w:rPr>
      </w:pPr>
      <w:r>
        <w:rPr>
          <w:lang w:val="en-GB"/>
        </w:rPr>
        <w:t>If possible, for devices classified as Annex II List A under the IVDD, NB should maintain under the IVDR the same testing procedures applied under IVDD.</w:t>
      </w:r>
    </w:p>
    <w:p w14:paraId="33EE3AFD" w14:textId="0051476C" w:rsidR="00BB7ABF" w:rsidRPr="00BB7ABF" w:rsidRDefault="0017339F" w:rsidP="00BB7ABF">
      <w:pPr>
        <w:rPr>
          <w:lang w:val="en-GB"/>
        </w:rPr>
      </w:pPr>
      <w:r>
        <w:rPr>
          <w:lang w:val="en-GB"/>
        </w:rPr>
        <w:t>Further work is ongoing to identify suitable options for independent sub-contracted laboratories and sources of blinded samples.</w:t>
      </w:r>
    </w:p>
    <w:p w14:paraId="6E2E492D" w14:textId="405A73B4" w:rsidR="00BB7ABF" w:rsidRPr="00BB7ABF" w:rsidRDefault="00BB7ABF" w:rsidP="00BB7ABF">
      <w:pPr>
        <w:tabs>
          <w:tab w:val="left" w:pos="2943"/>
        </w:tabs>
        <w:rPr>
          <w:lang w:val="en-GB"/>
        </w:rPr>
      </w:pPr>
    </w:p>
    <w:sectPr w:rsidR="00BB7ABF" w:rsidRPr="00BB7ABF" w:rsidSect="00243A56">
      <w:headerReference w:type="default" r:id="rId15"/>
      <w:footerReference w:type="default" r:id="rId16"/>
      <w:pgSz w:w="11906" w:h="16838"/>
      <w:pgMar w:top="98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AC981" w14:textId="77777777" w:rsidR="00BB5DE7" w:rsidRDefault="00BB5DE7" w:rsidP="00906933">
      <w:pPr>
        <w:spacing w:after="0" w:line="240" w:lineRule="auto"/>
      </w:pPr>
      <w:r>
        <w:separator/>
      </w:r>
    </w:p>
  </w:endnote>
  <w:endnote w:type="continuationSeparator" w:id="0">
    <w:p w14:paraId="194AB6B9" w14:textId="77777777" w:rsidR="00BB5DE7" w:rsidRDefault="00BB5DE7" w:rsidP="0090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E6DF" w14:textId="1AA315E6" w:rsidR="007441FD" w:rsidRDefault="007441FD" w:rsidP="007441FD">
    <w:pPr>
      <w:pStyle w:val="Pieddepage"/>
    </w:pPr>
  </w:p>
  <w:tbl>
    <w:tblPr>
      <w:tblW w:w="9355" w:type="dxa"/>
      <w:jc w:val="center"/>
      <w:tblLayout w:type="fixed"/>
      <w:tblCellMar>
        <w:left w:w="70" w:type="dxa"/>
        <w:right w:w="70" w:type="dxa"/>
      </w:tblCellMar>
      <w:tblLook w:val="0000" w:firstRow="0" w:lastRow="0" w:firstColumn="0" w:lastColumn="0" w:noHBand="0" w:noVBand="0"/>
    </w:tblPr>
    <w:tblGrid>
      <w:gridCol w:w="1134"/>
      <w:gridCol w:w="6893"/>
      <w:gridCol w:w="1328"/>
    </w:tblGrid>
    <w:tr w:rsidR="007441FD" w:rsidRPr="007E711B" w14:paraId="05646346" w14:textId="77777777" w:rsidTr="00BD3EAD">
      <w:trPr>
        <w:cantSplit/>
        <w:jc w:val="center"/>
      </w:trPr>
      <w:tc>
        <w:tcPr>
          <w:tcW w:w="1134" w:type="dxa"/>
          <w:tcBorders>
            <w:top w:val="single" w:sz="4" w:space="0" w:color="auto"/>
            <w:left w:val="nil"/>
            <w:bottom w:val="nil"/>
            <w:right w:val="nil"/>
          </w:tcBorders>
          <w:shd w:val="clear" w:color="auto" w:fill="auto"/>
          <w:vAlign w:val="center"/>
        </w:tcPr>
        <w:p w14:paraId="6750FC0F" w14:textId="77777777" w:rsidR="007441FD" w:rsidRPr="005409C1" w:rsidRDefault="007441FD" w:rsidP="007441FD">
          <w:pPr>
            <w:pStyle w:val="Pieddepage"/>
            <w:tabs>
              <w:tab w:val="left" w:pos="1418"/>
            </w:tabs>
            <w:rPr>
              <w:rFonts w:ascii="Calibri" w:hAnsi="Calibri"/>
              <w:b/>
              <w:sz w:val="17"/>
            </w:rPr>
          </w:pPr>
          <w:r w:rsidRPr="005409C1">
            <w:rPr>
              <w:rFonts w:ascii="Calibri" w:hAnsi="Calibri"/>
              <w:b/>
              <w:sz w:val="17"/>
            </w:rPr>
            <w:t>TEAM-NB</w:t>
          </w:r>
        </w:p>
      </w:tc>
      <w:tc>
        <w:tcPr>
          <w:tcW w:w="6893" w:type="dxa"/>
          <w:tcBorders>
            <w:top w:val="single" w:sz="4" w:space="0" w:color="auto"/>
            <w:left w:val="nil"/>
            <w:bottom w:val="nil"/>
            <w:right w:val="nil"/>
          </w:tcBorders>
          <w:shd w:val="clear" w:color="auto" w:fill="auto"/>
          <w:vAlign w:val="center"/>
        </w:tcPr>
        <w:p w14:paraId="28E2BFD1" w14:textId="156A3E6E" w:rsidR="007441FD" w:rsidRPr="002E50D4" w:rsidRDefault="007441FD" w:rsidP="007441FD">
          <w:pPr>
            <w:pStyle w:val="Pieddepage"/>
            <w:tabs>
              <w:tab w:val="left" w:pos="210"/>
            </w:tabs>
            <w:jc w:val="center"/>
            <w:rPr>
              <w:rFonts w:ascii="Calibri" w:hAnsi="Calibri"/>
              <w:snapToGrid w:val="0"/>
              <w:sz w:val="14"/>
              <w:lang w:val="en-GB"/>
            </w:rPr>
          </w:pPr>
          <w:r w:rsidRPr="002E50D4">
            <w:rPr>
              <w:rFonts w:ascii="Calibri" w:hAnsi="Calibri"/>
              <w:snapToGrid w:val="0"/>
              <w:sz w:val="14"/>
              <w:lang w:val="en-GB"/>
            </w:rPr>
            <w:t xml:space="preserve">Ref.: </w:t>
          </w:r>
          <w:r>
            <w:rPr>
              <w:rFonts w:ascii="Calibri" w:hAnsi="Calibri"/>
              <w:snapToGrid w:val="0"/>
              <w:sz w:val="14"/>
            </w:rPr>
            <w:fldChar w:fldCharType="begin"/>
          </w:r>
          <w:r w:rsidRPr="002E50D4">
            <w:rPr>
              <w:rFonts w:ascii="Calibri" w:hAnsi="Calibri"/>
              <w:snapToGrid w:val="0"/>
              <w:sz w:val="14"/>
              <w:lang w:val="en-GB"/>
            </w:rPr>
            <w:instrText xml:space="preserve"> FILENAME   \* MERGEFORMAT </w:instrText>
          </w:r>
          <w:r>
            <w:rPr>
              <w:rFonts w:ascii="Calibri" w:hAnsi="Calibri"/>
              <w:snapToGrid w:val="0"/>
              <w:sz w:val="14"/>
            </w:rPr>
            <w:fldChar w:fldCharType="separate"/>
          </w:r>
          <w:r w:rsidR="00A7134C">
            <w:rPr>
              <w:rFonts w:ascii="Calibri" w:hAnsi="Calibri"/>
              <w:noProof/>
              <w:snapToGrid w:val="0"/>
              <w:sz w:val="14"/>
              <w:lang w:val="en-GB"/>
            </w:rPr>
            <w:t>Team-NB-PositionPaper-InterimmeasuresVerifclassD-V1-20221005.docx</w:t>
          </w:r>
          <w:r>
            <w:rPr>
              <w:rFonts w:ascii="Calibri" w:hAnsi="Calibri"/>
              <w:snapToGrid w:val="0"/>
              <w:sz w:val="14"/>
            </w:rPr>
            <w:fldChar w:fldCharType="end"/>
          </w:r>
        </w:p>
      </w:tc>
      <w:tc>
        <w:tcPr>
          <w:tcW w:w="1328" w:type="dxa"/>
          <w:tcBorders>
            <w:top w:val="single" w:sz="4" w:space="0" w:color="auto"/>
            <w:left w:val="nil"/>
            <w:bottom w:val="nil"/>
            <w:right w:val="nil"/>
          </w:tcBorders>
          <w:shd w:val="clear" w:color="auto" w:fill="auto"/>
          <w:vAlign w:val="center"/>
        </w:tcPr>
        <w:p w14:paraId="1DE56BC7" w14:textId="67068C12" w:rsidR="007441FD" w:rsidRPr="007E711B" w:rsidRDefault="007441FD" w:rsidP="007441FD">
          <w:pPr>
            <w:pStyle w:val="Pieddepage"/>
            <w:tabs>
              <w:tab w:val="left" w:pos="1418"/>
            </w:tabs>
            <w:ind w:left="-373"/>
            <w:jc w:val="right"/>
            <w:rPr>
              <w:rFonts w:ascii="Calibri" w:hAnsi="Calibri"/>
              <w:snapToGrid w:val="0"/>
              <w:sz w:val="16"/>
            </w:rPr>
          </w:pPr>
          <w:r w:rsidRPr="007E711B">
            <w:rPr>
              <w:rFonts w:ascii="Calibri" w:hAnsi="Calibri"/>
              <w:sz w:val="16"/>
            </w:rPr>
            <w:t xml:space="preserve">Page </w:t>
          </w:r>
          <w:r w:rsidRPr="007E711B">
            <w:rPr>
              <w:rFonts w:ascii="Calibri" w:hAnsi="Calibri"/>
              <w:sz w:val="16"/>
            </w:rPr>
            <w:fldChar w:fldCharType="begin"/>
          </w:r>
          <w:r w:rsidRPr="007E711B">
            <w:rPr>
              <w:rFonts w:ascii="Calibri" w:hAnsi="Calibri"/>
              <w:sz w:val="16"/>
            </w:rPr>
            <w:instrText xml:space="preserve"> PAGE </w:instrText>
          </w:r>
          <w:r w:rsidRPr="007E711B">
            <w:rPr>
              <w:rFonts w:ascii="Calibri" w:hAnsi="Calibri"/>
              <w:sz w:val="16"/>
            </w:rPr>
            <w:fldChar w:fldCharType="separate"/>
          </w:r>
          <w:r w:rsidR="00A7134C">
            <w:rPr>
              <w:rFonts w:ascii="Calibri" w:hAnsi="Calibri"/>
              <w:noProof/>
              <w:sz w:val="16"/>
            </w:rPr>
            <w:t>1</w:t>
          </w:r>
          <w:r w:rsidRPr="007E711B">
            <w:rPr>
              <w:rFonts w:ascii="Calibri" w:hAnsi="Calibri"/>
              <w:sz w:val="16"/>
            </w:rPr>
            <w:fldChar w:fldCharType="end"/>
          </w:r>
          <w:r w:rsidRPr="007E711B">
            <w:rPr>
              <w:rFonts w:ascii="Calibri" w:hAnsi="Calibri"/>
              <w:sz w:val="16"/>
            </w:rPr>
            <w:t>/</w:t>
          </w:r>
          <w:r w:rsidRPr="007E711B">
            <w:rPr>
              <w:rFonts w:ascii="Calibri" w:hAnsi="Calibri"/>
              <w:sz w:val="16"/>
            </w:rPr>
            <w:fldChar w:fldCharType="begin"/>
          </w:r>
          <w:r w:rsidRPr="007E711B">
            <w:rPr>
              <w:rFonts w:ascii="Calibri" w:hAnsi="Calibri"/>
              <w:sz w:val="16"/>
            </w:rPr>
            <w:instrText xml:space="preserve"> NUMPAGES </w:instrText>
          </w:r>
          <w:r w:rsidRPr="007E711B">
            <w:rPr>
              <w:rFonts w:ascii="Calibri" w:hAnsi="Calibri"/>
              <w:sz w:val="16"/>
            </w:rPr>
            <w:fldChar w:fldCharType="separate"/>
          </w:r>
          <w:r w:rsidR="00A7134C">
            <w:rPr>
              <w:rFonts w:ascii="Calibri" w:hAnsi="Calibri"/>
              <w:noProof/>
              <w:sz w:val="16"/>
            </w:rPr>
            <w:t>3</w:t>
          </w:r>
          <w:r w:rsidRPr="007E711B">
            <w:rPr>
              <w:rFonts w:ascii="Calibri" w:hAnsi="Calibri"/>
              <w:sz w:val="16"/>
            </w:rPr>
            <w:fldChar w:fldCharType="end"/>
          </w:r>
        </w:p>
      </w:tc>
    </w:tr>
  </w:tbl>
  <w:p w14:paraId="24A70B1D" w14:textId="3AAD04EF" w:rsidR="004E5FC7" w:rsidRPr="004E5FC7" w:rsidRDefault="004E5FC7" w:rsidP="007441FD">
    <w:pPr>
      <w:pStyle w:val="Pieddepage"/>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EFE75" w14:textId="77777777" w:rsidR="00BB5DE7" w:rsidRDefault="00BB5DE7" w:rsidP="00906933">
      <w:pPr>
        <w:spacing w:after="0" w:line="240" w:lineRule="auto"/>
      </w:pPr>
      <w:r>
        <w:separator/>
      </w:r>
    </w:p>
  </w:footnote>
  <w:footnote w:type="continuationSeparator" w:id="0">
    <w:p w14:paraId="71417145" w14:textId="77777777" w:rsidR="00BB5DE7" w:rsidRDefault="00BB5DE7" w:rsidP="00906933">
      <w:pPr>
        <w:spacing w:after="0" w:line="240" w:lineRule="auto"/>
      </w:pPr>
      <w:r>
        <w:continuationSeparator/>
      </w:r>
    </w:p>
  </w:footnote>
  <w:footnote w:id="1">
    <w:p w14:paraId="70EE7B67" w14:textId="77777777" w:rsidR="00535D38" w:rsidRPr="006E6C5B" w:rsidRDefault="00535D38" w:rsidP="00535D38">
      <w:pPr>
        <w:pStyle w:val="Notedebasdepage"/>
        <w:rPr>
          <w:lang w:val="en-GB"/>
        </w:rPr>
      </w:pPr>
      <w:r>
        <w:rPr>
          <w:rStyle w:val="Appelnotedebasdep"/>
        </w:rPr>
        <w:footnoteRef/>
      </w:r>
      <w:r w:rsidRPr="002E50D4">
        <w:rPr>
          <w:lang w:val="en-GB"/>
        </w:rPr>
        <w:t xml:space="preserve"> </w:t>
      </w:r>
      <w:r>
        <w:rPr>
          <w:lang w:val="en-GB"/>
        </w:rPr>
        <w:t>Suitable options for sources of blinded panel samples are currently being explored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F7B7" w14:textId="77777777" w:rsidR="007441FD" w:rsidRDefault="007441FD" w:rsidP="007441FD">
    <w:pPr>
      <w:pStyle w:val="En-tt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1199"/>
    <w:multiLevelType w:val="hybridMultilevel"/>
    <w:tmpl w:val="E7564A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247AA3"/>
    <w:multiLevelType w:val="hybridMultilevel"/>
    <w:tmpl w:val="825A2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C545BE"/>
    <w:multiLevelType w:val="hybridMultilevel"/>
    <w:tmpl w:val="97FC1EB8"/>
    <w:lvl w:ilvl="0" w:tplc="8CA8B3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2078A"/>
    <w:multiLevelType w:val="hybridMultilevel"/>
    <w:tmpl w:val="713682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2144A2"/>
    <w:multiLevelType w:val="hybridMultilevel"/>
    <w:tmpl w:val="734A719A"/>
    <w:lvl w:ilvl="0" w:tplc="16AC23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CC"/>
    <w:rsid w:val="00015233"/>
    <w:rsid w:val="000A10B7"/>
    <w:rsid w:val="000D2D0F"/>
    <w:rsid w:val="000F149A"/>
    <w:rsid w:val="00104418"/>
    <w:rsid w:val="00113261"/>
    <w:rsid w:val="001212E6"/>
    <w:rsid w:val="0017339F"/>
    <w:rsid w:val="001E0BE1"/>
    <w:rsid w:val="0022042C"/>
    <w:rsid w:val="00222DFB"/>
    <w:rsid w:val="002318CE"/>
    <w:rsid w:val="00243A56"/>
    <w:rsid w:val="0025786C"/>
    <w:rsid w:val="00262BC9"/>
    <w:rsid w:val="00264412"/>
    <w:rsid w:val="00276615"/>
    <w:rsid w:val="002968D6"/>
    <w:rsid w:val="002B2B58"/>
    <w:rsid w:val="002E50D4"/>
    <w:rsid w:val="00313A5D"/>
    <w:rsid w:val="00363DB4"/>
    <w:rsid w:val="003825FE"/>
    <w:rsid w:val="003E1F9F"/>
    <w:rsid w:val="003F30CC"/>
    <w:rsid w:val="0043538E"/>
    <w:rsid w:val="00454918"/>
    <w:rsid w:val="00456F7F"/>
    <w:rsid w:val="004D6420"/>
    <w:rsid w:val="004D6D57"/>
    <w:rsid w:val="004E5FC7"/>
    <w:rsid w:val="00504A1B"/>
    <w:rsid w:val="00530BC9"/>
    <w:rsid w:val="00535549"/>
    <w:rsid w:val="00535D38"/>
    <w:rsid w:val="00571CBC"/>
    <w:rsid w:val="00583896"/>
    <w:rsid w:val="00597CB1"/>
    <w:rsid w:val="005A51F9"/>
    <w:rsid w:val="005F3414"/>
    <w:rsid w:val="00610C63"/>
    <w:rsid w:val="00621650"/>
    <w:rsid w:val="006458B2"/>
    <w:rsid w:val="00673EA2"/>
    <w:rsid w:val="006A31C8"/>
    <w:rsid w:val="006D64C7"/>
    <w:rsid w:val="006E6C5B"/>
    <w:rsid w:val="006F59B4"/>
    <w:rsid w:val="007062B1"/>
    <w:rsid w:val="007441FD"/>
    <w:rsid w:val="00744804"/>
    <w:rsid w:val="007768B0"/>
    <w:rsid w:val="00861516"/>
    <w:rsid w:val="00862C85"/>
    <w:rsid w:val="00865782"/>
    <w:rsid w:val="008A1D87"/>
    <w:rsid w:val="008D5199"/>
    <w:rsid w:val="00906933"/>
    <w:rsid w:val="00912875"/>
    <w:rsid w:val="009177FE"/>
    <w:rsid w:val="009327B6"/>
    <w:rsid w:val="00966870"/>
    <w:rsid w:val="009830EF"/>
    <w:rsid w:val="00987998"/>
    <w:rsid w:val="009A2103"/>
    <w:rsid w:val="009A3EA2"/>
    <w:rsid w:val="009C3DE8"/>
    <w:rsid w:val="009C56F2"/>
    <w:rsid w:val="009D314C"/>
    <w:rsid w:val="009F2A57"/>
    <w:rsid w:val="00A26263"/>
    <w:rsid w:val="00A54587"/>
    <w:rsid w:val="00A7134C"/>
    <w:rsid w:val="00A95482"/>
    <w:rsid w:val="00AA7688"/>
    <w:rsid w:val="00AD36B7"/>
    <w:rsid w:val="00AE1859"/>
    <w:rsid w:val="00AE4FBD"/>
    <w:rsid w:val="00AF1CD8"/>
    <w:rsid w:val="00B255D7"/>
    <w:rsid w:val="00B269D7"/>
    <w:rsid w:val="00B422A3"/>
    <w:rsid w:val="00B47CA0"/>
    <w:rsid w:val="00B775ED"/>
    <w:rsid w:val="00B87FEF"/>
    <w:rsid w:val="00BA4009"/>
    <w:rsid w:val="00BA6CB9"/>
    <w:rsid w:val="00BB5DE7"/>
    <w:rsid w:val="00BB7ABF"/>
    <w:rsid w:val="00BE4437"/>
    <w:rsid w:val="00C14DB3"/>
    <w:rsid w:val="00C20035"/>
    <w:rsid w:val="00C2654B"/>
    <w:rsid w:val="00C3785B"/>
    <w:rsid w:val="00C45424"/>
    <w:rsid w:val="00C53DC7"/>
    <w:rsid w:val="00CA54DA"/>
    <w:rsid w:val="00CD1428"/>
    <w:rsid w:val="00CE2B9F"/>
    <w:rsid w:val="00CF2D3A"/>
    <w:rsid w:val="00D04C18"/>
    <w:rsid w:val="00D14815"/>
    <w:rsid w:val="00D6556B"/>
    <w:rsid w:val="00DB051E"/>
    <w:rsid w:val="00DD1223"/>
    <w:rsid w:val="00DE4BB9"/>
    <w:rsid w:val="00DF7E73"/>
    <w:rsid w:val="00E12681"/>
    <w:rsid w:val="00E316E9"/>
    <w:rsid w:val="00E3221F"/>
    <w:rsid w:val="00E745C2"/>
    <w:rsid w:val="00E85EC9"/>
    <w:rsid w:val="00E86AB8"/>
    <w:rsid w:val="00E9096D"/>
    <w:rsid w:val="00EB0847"/>
    <w:rsid w:val="00EC4005"/>
    <w:rsid w:val="00EE6CF0"/>
    <w:rsid w:val="00EF40F2"/>
    <w:rsid w:val="00EF7001"/>
    <w:rsid w:val="00F10120"/>
    <w:rsid w:val="00F10387"/>
    <w:rsid w:val="00F14540"/>
    <w:rsid w:val="00F233AE"/>
    <w:rsid w:val="00F36A91"/>
    <w:rsid w:val="00F44CB3"/>
    <w:rsid w:val="00F66BC7"/>
    <w:rsid w:val="00F74C74"/>
    <w:rsid w:val="00FA3808"/>
    <w:rsid w:val="00FA6163"/>
    <w:rsid w:val="00FD26A0"/>
    <w:rsid w:val="01E1EFD4"/>
    <w:rsid w:val="07574842"/>
    <w:rsid w:val="0D50710D"/>
    <w:rsid w:val="0DCCE2BA"/>
    <w:rsid w:val="0EB0CB9C"/>
    <w:rsid w:val="0F87384D"/>
    <w:rsid w:val="1CB796FD"/>
    <w:rsid w:val="1D8E03AE"/>
    <w:rsid w:val="200E2198"/>
    <w:rsid w:val="2183803C"/>
    <w:rsid w:val="21B7D2D1"/>
    <w:rsid w:val="2391A9B5"/>
    <w:rsid w:val="264F697B"/>
    <w:rsid w:val="28261836"/>
    <w:rsid w:val="2AA95E49"/>
    <w:rsid w:val="3397C198"/>
    <w:rsid w:val="346B0620"/>
    <w:rsid w:val="34BF3FA8"/>
    <w:rsid w:val="3B10C643"/>
    <w:rsid w:val="3F0642D1"/>
    <w:rsid w:val="40E019B5"/>
    <w:rsid w:val="41E383E8"/>
    <w:rsid w:val="42FBBF5F"/>
    <w:rsid w:val="4360379F"/>
    <w:rsid w:val="4509E8D8"/>
    <w:rsid w:val="49A17F82"/>
    <w:rsid w:val="4F13AFC7"/>
    <w:rsid w:val="5044177C"/>
    <w:rsid w:val="525240F5"/>
    <w:rsid w:val="533629D7"/>
    <w:rsid w:val="551000BB"/>
    <w:rsid w:val="56E9D79F"/>
    <w:rsid w:val="5E8FD9CC"/>
    <w:rsid w:val="63826799"/>
    <w:rsid w:val="64322FBC"/>
    <w:rsid w:val="64D876C2"/>
    <w:rsid w:val="685BFEDF"/>
    <w:rsid w:val="6DF6FFBC"/>
    <w:rsid w:val="70052935"/>
    <w:rsid w:val="76736E9A"/>
    <w:rsid w:val="76883FDE"/>
    <w:rsid w:val="796580F5"/>
    <w:rsid w:val="7A3BEDA6"/>
    <w:rsid w:val="7B3F57D9"/>
    <w:rsid w:val="7C0A85DB"/>
    <w:rsid w:val="7E65BCC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08D2"/>
  <w15:chartTrackingRefBased/>
  <w15:docId w15:val="{2F5C6C7A-2343-458C-9946-9F78EDF9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A7688"/>
    <w:pPr>
      <w:spacing w:before="100" w:beforeAutospacing="1" w:after="100" w:afterAutospacing="1" w:line="240" w:lineRule="auto"/>
      <w:outlineLvl w:val="0"/>
    </w:pPr>
    <w:rPr>
      <w:rFonts w:eastAsia="Times New Roman" w:cs="Times New Roman"/>
      <w:b/>
      <w:bCs/>
      <w:color w:val="2F5496" w:themeColor="accent1" w:themeShade="BF"/>
      <w:kern w:val="36"/>
      <w:sz w:val="32"/>
      <w:szCs w:val="48"/>
      <w:lang w:val="en-IE"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04C18"/>
    <w:rPr>
      <w:sz w:val="16"/>
      <w:szCs w:val="16"/>
    </w:rPr>
  </w:style>
  <w:style w:type="paragraph" w:styleId="Commentaire">
    <w:name w:val="annotation text"/>
    <w:basedOn w:val="Normal"/>
    <w:link w:val="CommentaireCar"/>
    <w:uiPriority w:val="99"/>
    <w:semiHidden/>
    <w:unhideWhenUsed/>
    <w:rsid w:val="00D04C18"/>
    <w:pPr>
      <w:spacing w:line="240" w:lineRule="auto"/>
    </w:pPr>
    <w:rPr>
      <w:sz w:val="20"/>
      <w:szCs w:val="20"/>
    </w:rPr>
  </w:style>
  <w:style w:type="character" w:customStyle="1" w:styleId="CommentaireCar">
    <w:name w:val="Commentaire Car"/>
    <w:basedOn w:val="Policepardfaut"/>
    <w:link w:val="Commentaire"/>
    <w:uiPriority w:val="99"/>
    <w:semiHidden/>
    <w:rsid w:val="00D04C18"/>
    <w:rPr>
      <w:sz w:val="20"/>
      <w:szCs w:val="20"/>
    </w:rPr>
  </w:style>
  <w:style w:type="paragraph" w:styleId="Objetducommentaire">
    <w:name w:val="annotation subject"/>
    <w:basedOn w:val="Commentaire"/>
    <w:next w:val="Commentaire"/>
    <w:link w:val="ObjetducommentaireCar"/>
    <w:uiPriority w:val="99"/>
    <w:semiHidden/>
    <w:unhideWhenUsed/>
    <w:rsid w:val="00D04C18"/>
    <w:rPr>
      <w:b/>
      <w:bCs/>
    </w:rPr>
  </w:style>
  <w:style w:type="character" w:customStyle="1" w:styleId="ObjetducommentaireCar">
    <w:name w:val="Objet du commentaire Car"/>
    <w:basedOn w:val="CommentaireCar"/>
    <w:link w:val="Objetducommentaire"/>
    <w:uiPriority w:val="99"/>
    <w:semiHidden/>
    <w:rsid w:val="00D04C18"/>
    <w:rPr>
      <w:b/>
      <w:bCs/>
      <w:sz w:val="20"/>
      <w:szCs w:val="20"/>
    </w:rPr>
  </w:style>
  <w:style w:type="paragraph" w:styleId="Paragraphedeliste">
    <w:name w:val="List Paragraph"/>
    <w:basedOn w:val="Normal"/>
    <w:uiPriority w:val="34"/>
    <w:qFormat/>
    <w:rsid w:val="007768B0"/>
    <w:pPr>
      <w:ind w:left="720"/>
      <w:contextualSpacing/>
    </w:pPr>
  </w:style>
  <w:style w:type="character" w:customStyle="1" w:styleId="sts-tbx-entailedterm">
    <w:name w:val="sts-tbx-entailedterm"/>
    <w:basedOn w:val="Policepardfaut"/>
    <w:rsid w:val="005A51F9"/>
  </w:style>
  <w:style w:type="character" w:styleId="Lienhypertexte">
    <w:name w:val="Hyperlink"/>
    <w:basedOn w:val="Policepardfaut"/>
    <w:uiPriority w:val="99"/>
    <w:unhideWhenUsed/>
    <w:rsid w:val="005A51F9"/>
    <w:rPr>
      <w:color w:val="0000FF"/>
      <w:u w:val="single"/>
    </w:rPr>
  </w:style>
  <w:style w:type="character" w:customStyle="1" w:styleId="sts-tbx-entailedterm-num">
    <w:name w:val="sts-tbx-entailedterm-num"/>
    <w:basedOn w:val="Policepardfaut"/>
    <w:rsid w:val="005A51F9"/>
  </w:style>
  <w:style w:type="character" w:customStyle="1" w:styleId="sts-tbx-note-label">
    <w:name w:val="sts-tbx-note-label"/>
    <w:basedOn w:val="Policepardfaut"/>
    <w:rsid w:val="005A51F9"/>
  </w:style>
  <w:style w:type="paragraph" w:styleId="En-tte">
    <w:name w:val="header"/>
    <w:basedOn w:val="Normal"/>
    <w:link w:val="En-tteCar"/>
    <w:uiPriority w:val="99"/>
    <w:unhideWhenUsed/>
    <w:rsid w:val="00906933"/>
    <w:pPr>
      <w:tabs>
        <w:tab w:val="center" w:pos="4513"/>
        <w:tab w:val="right" w:pos="9026"/>
      </w:tabs>
      <w:spacing w:after="0" w:line="240" w:lineRule="auto"/>
    </w:pPr>
  </w:style>
  <w:style w:type="character" w:customStyle="1" w:styleId="En-tteCar">
    <w:name w:val="En-tête Car"/>
    <w:basedOn w:val="Policepardfaut"/>
    <w:link w:val="En-tte"/>
    <w:uiPriority w:val="99"/>
    <w:rsid w:val="00906933"/>
  </w:style>
  <w:style w:type="paragraph" w:styleId="Pieddepage">
    <w:name w:val="footer"/>
    <w:basedOn w:val="Normal"/>
    <w:link w:val="PieddepageCar"/>
    <w:unhideWhenUsed/>
    <w:rsid w:val="0090693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06933"/>
  </w:style>
  <w:style w:type="table" w:styleId="Grilledutableau">
    <w:name w:val="Table Grid"/>
    <w:basedOn w:val="TableauNormal"/>
    <w:uiPriority w:val="39"/>
    <w:rsid w:val="0045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456F7F"/>
  </w:style>
  <w:style w:type="character" w:customStyle="1" w:styleId="eop">
    <w:name w:val="eop"/>
    <w:basedOn w:val="Policepardfaut"/>
    <w:rsid w:val="00456F7F"/>
  </w:style>
  <w:style w:type="paragraph" w:customStyle="1" w:styleId="Default">
    <w:name w:val="Default"/>
    <w:rsid w:val="004E5FC7"/>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AA7688"/>
    <w:rPr>
      <w:rFonts w:eastAsia="Times New Roman" w:cs="Times New Roman"/>
      <w:b/>
      <w:bCs/>
      <w:color w:val="2F5496" w:themeColor="accent1" w:themeShade="BF"/>
      <w:kern w:val="36"/>
      <w:sz w:val="32"/>
      <w:szCs w:val="48"/>
      <w:lang w:val="en-IE" w:eastAsia="en-IE"/>
    </w:rPr>
  </w:style>
  <w:style w:type="paragraph" w:styleId="Notedebasdepage">
    <w:name w:val="footnote text"/>
    <w:basedOn w:val="Normal"/>
    <w:link w:val="NotedebasdepageCar"/>
    <w:uiPriority w:val="99"/>
    <w:semiHidden/>
    <w:unhideWhenUsed/>
    <w:rsid w:val="00F44C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4CB3"/>
    <w:rPr>
      <w:sz w:val="20"/>
      <w:szCs w:val="20"/>
    </w:rPr>
  </w:style>
  <w:style w:type="character" w:styleId="Appelnotedebasdep">
    <w:name w:val="footnote reference"/>
    <w:basedOn w:val="Policepardfaut"/>
    <w:uiPriority w:val="99"/>
    <w:semiHidden/>
    <w:unhideWhenUsed/>
    <w:rsid w:val="00F44CB3"/>
    <w:rPr>
      <w:vertAlign w:val="superscript"/>
    </w:rPr>
  </w:style>
  <w:style w:type="character" w:styleId="Lienhypertextesuivivisit">
    <w:name w:val="FollowedHyperlink"/>
    <w:basedOn w:val="Policepardfaut"/>
    <w:uiPriority w:val="99"/>
    <w:semiHidden/>
    <w:unhideWhenUsed/>
    <w:rsid w:val="00C53DC7"/>
    <w:rPr>
      <w:color w:val="954F72" w:themeColor="followedHyperlink"/>
      <w:u w:val="single"/>
    </w:rPr>
  </w:style>
  <w:style w:type="character" w:customStyle="1" w:styleId="UnresolvedMention">
    <w:name w:val="Unresolved Mention"/>
    <w:basedOn w:val="Policepardfaut"/>
    <w:uiPriority w:val="99"/>
    <w:semiHidden/>
    <w:unhideWhenUsed/>
    <w:rsid w:val="005F3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5256">
      <w:bodyDiv w:val="1"/>
      <w:marLeft w:val="0"/>
      <w:marRight w:val="0"/>
      <w:marTop w:val="0"/>
      <w:marBottom w:val="0"/>
      <w:divBdr>
        <w:top w:val="none" w:sz="0" w:space="0" w:color="auto"/>
        <w:left w:val="none" w:sz="0" w:space="0" w:color="auto"/>
        <w:bottom w:val="none" w:sz="0" w:space="0" w:color="auto"/>
        <w:right w:val="none" w:sz="0" w:space="0" w:color="auto"/>
      </w:divBdr>
    </w:div>
    <w:div w:id="226108610">
      <w:bodyDiv w:val="1"/>
      <w:marLeft w:val="0"/>
      <w:marRight w:val="0"/>
      <w:marTop w:val="0"/>
      <w:marBottom w:val="0"/>
      <w:divBdr>
        <w:top w:val="none" w:sz="0" w:space="0" w:color="auto"/>
        <w:left w:val="none" w:sz="0" w:space="0" w:color="auto"/>
        <w:bottom w:val="none" w:sz="0" w:space="0" w:color="auto"/>
        <w:right w:val="none" w:sz="0" w:space="0" w:color="auto"/>
      </w:divBdr>
    </w:div>
    <w:div w:id="236987965">
      <w:bodyDiv w:val="1"/>
      <w:marLeft w:val="0"/>
      <w:marRight w:val="0"/>
      <w:marTop w:val="0"/>
      <w:marBottom w:val="0"/>
      <w:divBdr>
        <w:top w:val="none" w:sz="0" w:space="0" w:color="auto"/>
        <w:left w:val="none" w:sz="0" w:space="0" w:color="auto"/>
        <w:bottom w:val="none" w:sz="0" w:space="0" w:color="auto"/>
        <w:right w:val="none" w:sz="0" w:space="0" w:color="auto"/>
      </w:divBdr>
      <w:divsChild>
        <w:div w:id="629629934">
          <w:marLeft w:val="0"/>
          <w:marRight w:val="0"/>
          <w:marTop w:val="150"/>
          <w:marBottom w:val="0"/>
          <w:divBdr>
            <w:top w:val="none" w:sz="0" w:space="0" w:color="auto"/>
            <w:left w:val="none" w:sz="0" w:space="0" w:color="auto"/>
            <w:bottom w:val="none" w:sz="0" w:space="0" w:color="auto"/>
            <w:right w:val="none" w:sz="0" w:space="0" w:color="auto"/>
          </w:divBdr>
        </w:div>
        <w:div w:id="970356558">
          <w:marLeft w:val="0"/>
          <w:marRight w:val="0"/>
          <w:marTop w:val="150"/>
          <w:marBottom w:val="0"/>
          <w:divBdr>
            <w:top w:val="none" w:sz="0" w:space="0" w:color="auto"/>
            <w:left w:val="none" w:sz="0" w:space="0" w:color="auto"/>
            <w:bottom w:val="none" w:sz="0" w:space="0" w:color="auto"/>
            <w:right w:val="none" w:sz="0" w:space="0" w:color="auto"/>
          </w:divBdr>
        </w:div>
      </w:divsChild>
    </w:div>
    <w:div w:id="1443038271">
      <w:bodyDiv w:val="1"/>
      <w:marLeft w:val="0"/>
      <w:marRight w:val="0"/>
      <w:marTop w:val="0"/>
      <w:marBottom w:val="0"/>
      <w:divBdr>
        <w:top w:val="none" w:sz="0" w:space="0" w:color="auto"/>
        <w:left w:val="none" w:sz="0" w:space="0" w:color="auto"/>
        <w:bottom w:val="none" w:sz="0" w:space="0" w:color="auto"/>
        <w:right w:val="none" w:sz="0" w:space="0" w:color="auto"/>
      </w:divBdr>
    </w:div>
    <w:div w:id="19447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qalm.org/site/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dc.europa.eu/en/microbiology/external-quality-assessments-eqa/e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5F9AB1BAF2C4C946FE94104735B4D" ma:contentTypeVersion="4" ma:contentTypeDescription="Ein neues Dokument erstellen." ma:contentTypeScope="" ma:versionID="5b4b4b7723a13486aa1c56d70ce9eaae">
  <xsd:schema xmlns:xsd="http://www.w3.org/2001/XMLSchema" xmlns:xs="http://www.w3.org/2001/XMLSchema" xmlns:p="http://schemas.microsoft.com/office/2006/metadata/properties" xmlns:ns2="1223d657-faf2-429d-917c-45f6ecf1de30" targetNamespace="http://schemas.microsoft.com/office/2006/metadata/properties" ma:root="true" ma:fieldsID="1d8633da2f7039a867f77adccd4d98d2" ns2:_="">
    <xsd:import namespace="1223d657-faf2-429d-917c-45f6ecf1d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d657-faf2-429d-917c-45f6ecf1d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4960-A686-4EE4-AEBE-E80D74978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3d657-faf2-429d-917c-45f6ecf1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72D2B-B80E-4176-BE9E-5B012C4D055A}">
  <ds:schemaRefs>
    <ds:schemaRef ds:uri="http://schemas.microsoft.com/sharepoint/v3/contenttype/forms"/>
  </ds:schemaRefs>
</ds:datastoreItem>
</file>

<file path=customXml/itemProps3.xml><?xml version="1.0" encoding="utf-8"?>
<ds:datastoreItem xmlns:ds="http://schemas.openxmlformats.org/officeDocument/2006/customXml" ds:itemID="{72DCC630-4BE4-4A83-8E83-84E47DF22F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77D203-10D2-4563-A6F2-C1CA5BED899E}">
  <ds:schemaRefs>
    <ds:schemaRef ds:uri="http://schemas.openxmlformats.org/officeDocument/2006/bibliography"/>
  </ds:schemaRefs>
</ds:datastoreItem>
</file>

<file path=docMetadata/LabelInfo.xml><?xml version="1.0" encoding="utf-8"?>
<clbl:labelList xmlns:clbl="http://schemas.microsoft.com/office/2020/mipLabelMetadata">
  <clbl:label id="{948094c8-480e-400b-91c4-c984b7e20814}" enabled="1" method="Standard" siteId="{a1109567-0815-4e1f-88af-e23555482aa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Carnielli, Marta</dc:creator>
  <cp:keywords/>
  <dc:description/>
  <cp:lastModifiedBy>Team-NB-asst</cp:lastModifiedBy>
  <cp:revision>5</cp:revision>
  <dcterms:created xsi:type="dcterms:W3CDTF">2022-09-30T06:25:00Z</dcterms:created>
  <dcterms:modified xsi:type="dcterms:W3CDTF">2022-10-07T09:07:00Z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8094c8-480e-400b-91c4-c984b7e20814_Enabled">
    <vt:lpwstr>true</vt:lpwstr>
  </property>
  <property fmtid="{D5CDD505-2E9C-101B-9397-08002B2CF9AE}" pid="3" name="MSIP_Label_948094c8-480e-400b-91c4-c984b7e20814_SetDate">
    <vt:lpwstr>2022-01-19T10:56:26Z</vt:lpwstr>
  </property>
  <property fmtid="{D5CDD505-2E9C-101B-9397-08002B2CF9AE}" pid="4" name="MSIP_Label_948094c8-480e-400b-91c4-c984b7e20814_Method">
    <vt:lpwstr>Standard</vt:lpwstr>
  </property>
  <property fmtid="{D5CDD505-2E9C-101B-9397-08002B2CF9AE}" pid="5" name="MSIP_Label_948094c8-480e-400b-91c4-c984b7e20814_Name">
    <vt:lpwstr>948094c8-480e-400b-91c4-c984b7e20814</vt:lpwstr>
  </property>
  <property fmtid="{D5CDD505-2E9C-101B-9397-08002B2CF9AE}" pid="6" name="MSIP_Label_948094c8-480e-400b-91c4-c984b7e20814_SiteId">
    <vt:lpwstr>a1109567-0815-4e1f-88af-e23555482aaa</vt:lpwstr>
  </property>
  <property fmtid="{D5CDD505-2E9C-101B-9397-08002B2CF9AE}" pid="7" name="MSIP_Label_948094c8-480e-400b-91c4-c984b7e20814_ActionId">
    <vt:lpwstr>06e7dca0-ccf5-40c5-881a-58837b7cd846</vt:lpwstr>
  </property>
  <property fmtid="{D5CDD505-2E9C-101B-9397-08002B2CF9AE}" pid="8" name="MSIP_Label_948094c8-480e-400b-91c4-c984b7e20814_ContentBits">
    <vt:lpwstr>0</vt:lpwstr>
  </property>
  <property fmtid="{D5CDD505-2E9C-101B-9397-08002B2CF9AE}" pid="9" name="ContentTypeId">
    <vt:lpwstr>0x0101008505F9AB1BAF2C4C946FE94104735B4D</vt:lpwstr>
  </property>
  <property fmtid="{D5CDD505-2E9C-101B-9397-08002B2CF9AE}" pid="10" name="MSIP_Label_eccb955d-7ead-4d26-a883-f23b503e5cb3_Enabled">
    <vt:lpwstr>true</vt:lpwstr>
  </property>
  <property fmtid="{D5CDD505-2E9C-101B-9397-08002B2CF9AE}" pid="11" name="MSIP_Label_eccb955d-7ead-4d26-a883-f23b503e5cb3_SetDate">
    <vt:lpwstr>2022-09-28T11:32:15Z</vt:lpwstr>
  </property>
  <property fmtid="{D5CDD505-2E9C-101B-9397-08002B2CF9AE}" pid="12" name="MSIP_Label_eccb955d-7ead-4d26-a883-f23b503e5cb3_Method">
    <vt:lpwstr>Privileged</vt:lpwstr>
  </property>
  <property fmtid="{D5CDD505-2E9C-101B-9397-08002B2CF9AE}" pid="13" name="MSIP_Label_eccb955d-7ead-4d26-a883-f23b503e5cb3_Name">
    <vt:lpwstr>Confidential - Un-Marked</vt:lpwstr>
  </property>
  <property fmtid="{D5CDD505-2E9C-101B-9397-08002B2CF9AE}" pid="14" name="MSIP_Label_eccb955d-7ead-4d26-a883-f23b503e5cb3_SiteId">
    <vt:lpwstr>54946ffc-68d3-4955-ac70-dca726d445b4</vt:lpwstr>
  </property>
  <property fmtid="{D5CDD505-2E9C-101B-9397-08002B2CF9AE}" pid="15" name="MSIP_Label_eccb955d-7ead-4d26-a883-f23b503e5cb3_ActionId">
    <vt:lpwstr>9387c973-7457-4bc6-b766-59df4c1949b2</vt:lpwstr>
  </property>
  <property fmtid="{D5CDD505-2E9C-101B-9397-08002B2CF9AE}" pid="16" name="MSIP_Label_eccb955d-7ead-4d26-a883-f23b503e5cb3_ContentBits">
    <vt:lpwstr>0</vt:lpwstr>
  </property>
</Properties>
</file>