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A095A" w14:textId="77777777" w:rsidR="00811EDB" w:rsidRPr="00436E78" w:rsidRDefault="00E9535A" w:rsidP="00436E78">
      <w:pPr>
        <w:jc w:val="both"/>
        <w:rPr>
          <w:rFonts w:ascii="Calibri" w:hAnsi="Calibri" w:cs="Calibri"/>
          <w:b/>
          <w:bCs/>
          <w:sz w:val="28"/>
          <w:szCs w:val="28"/>
          <w:lang w:val="en-US"/>
        </w:rPr>
      </w:pPr>
      <w:r w:rsidRPr="00436E78">
        <w:rPr>
          <w:rFonts w:ascii="Calibri" w:hAnsi="Calibri" w:cs="Calibri"/>
          <w:b/>
          <w:bCs/>
          <w:sz w:val="28"/>
          <w:szCs w:val="28"/>
          <w:lang w:val="en-US"/>
        </w:rPr>
        <w:t>Question and Answer on Trend Report</w:t>
      </w:r>
    </w:p>
    <w:p w14:paraId="61E5AE1D" w14:textId="77777777" w:rsidR="00E9535A" w:rsidRPr="00436E78" w:rsidRDefault="00E9535A" w:rsidP="00436E78">
      <w:pPr>
        <w:jc w:val="both"/>
        <w:rPr>
          <w:rFonts w:ascii="Calibri" w:hAnsi="Calibri" w:cs="Calibri"/>
          <w:b/>
          <w:bCs/>
          <w:lang w:val="en-US"/>
        </w:rPr>
      </w:pPr>
    </w:p>
    <w:p w14:paraId="4355885E" w14:textId="77777777" w:rsidR="00E9535A" w:rsidRPr="00436E78" w:rsidRDefault="00E9535A" w:rsidP="00436E78">
      <w:pPr>
        <w:jc w:val="both"/>
        <w:rPr>
          <w:rFonts w:ascii="Calibri" w:hAnsi="Calibri" w:cs="Calibri"/>
          <w:b/>
          <w:bCs/>
          <w:lang w:val="en-US"/>
        </w:rPr>
      </w:pPr>
      <w:r w:rsidRPr="00436E78">
        <w:rPr>
          <w:rFonts w:ascii="Calibri" w:hAnsi="Calibri" w:cs="Calibri"/>
          <w:b/>
          <w:bCs/>
          <w:lang w:val="en-US"/>
        </w:rPr>
        <w:t>Introduction</w:t>
      </w:r>
    </w:p>
    <w:p w14:paraId="435D6553" w14:textId="77777777" w:rsidR="009B5E98" w:rsidRPr="00436E78" w:rsidRDefault="009B5E98" w:rsidP="00436E78">
      <w:pPr>
        <w:jc w:val="both"/>
        <w:rPr>
          <w:rFonts w:ascii="Calibri" w:hAnsi="Calibri" w:cs="Calibri"/>
          <w:lang w:val="en-US"/>
        </w:rPr>
      </w:pPr>
    </w:p>
    <w:p w14:paraId="7104FF8F" w14:textId="018721D2" w:rsidR="00785CB9" w:rsidRDefault="009B5E98" w:rsidP="00E86E82">
      <w:pPr>
        <w:spacing w:line="276" w:lineRule="auto"/>
        <w:jc w:val="both"/>
        <w:rPr>
          <w:rFonts w:ascii="Calibri" w:hAnsi="Calibri" w:cs="Calibri"/>
          <w:lang w:val="en-IE"/>
        </w:rPr>
      </w:pPr>
      <w:r w:rsidRPr="00436E78">
        <w:rPr>
          <w:rFonts w:ascii="Calibri" w:hAnsi="Calibri" w:cs="Calibri"/>
          <w:lang w:val="en-IE"/>
        </w:rPr>
        <w:t>This document aims to explain and clarify question</w:t>
      </w:r>
      <w:r w:rsidR="00892200">
        <w:rPr>
          <w:rFonts w:ascii="Calibri" w:hAnsi="Calibri" w:cs="Calibri"/>
          <w:lang w:val="en-IE"/>
        </w:rPr>
        <w:t>s</w:t>
      </w:r>
      <w:r w:rsidRPr="00436E78">
        <w:rPr>
          <w:rFonts w:ascii="Calibri" w:hAnsi="Calibri" w:cs="Calibri"/>
          <w:lang w:val="en-IE"/>
        </w:rPr>
        <w:t xml:space="preserve"> related to Trend </w:t>
      </w:r>
      <w:r w:rsidR="00C14D93">
        <w:rPr>
          <w:rFonts w:ascii="Calibri" w:hAnsi="Calibri" w:cs="Calibri"/>
          <w:lang w:val="en-IE"/>
        </w:rPr>
        <w:t>reporting</w:t>
      </w:r>
      <w:r w:rsidR="00C14D93" w:rsidRPr="00436E78">
        <w:rPr>
          <w:rFonts w:ascii="Calibri" w:hAnsi="Calibri" w:cs="Calibri"/>
          <w:lang w:val="en-IE"/>
        </w:rPr>
        <w:t xml:space="preserve"> </w:t>
      </w:r>
      <w:r w:rsidR="00A543B2">
        <w:rPr>
          <w:rFonts w:ascii="Calibri" w:hAnsi="Calibri" w:cs="Calibri"/>
          <w:lang w:val="en-IE"/>
        </w:rPr>
        <w:t>as</w:t>
      </w:r>
      <w:r w:rsidRPr="00436E78">
        <w:rPr>
          <w:rFonts w:ascii="Calibri" w:hAnsi="Calibri" w:cs="Calibri"/>
          <w:lang w:val="en-IE"/>
        </w:rPr>
        <w:t xml:space="preserve"> outlined </w:t>
      </w:r>
      <w:r w:rsidR="00785CB9" w:rsidRPr="00436E78">
        <w:rPr>
          <w:rFonts w:ascii="Calibri" w:hAnsi="Calibri" w:cs="Calibri"/>
          <w:lang w:val="en-IE"/>
        </w:rPr>
        <w:t xml:space="preserve">in </w:t>
      </w:r>
      <w:r w:rsidR="00B0773C">
        <w:rPr>
          <w:rFonts w:ascii="Calibri" w:hAnsi="Calibri" w:cs="Calibri"/>
          <w:lang w:val="en-IE"/>
        </w:rPr>
        <w:t>A</w:t>
      </w:r>
      <w:r w:rsidR="00785CB9" w:rsidRPr="00436E78">
        <w:rPr>
          <w:rFonts w:ascii="Calibri" w:hAnsi="Calibri" w:cs="Calibri"/>
          <w:lang w:val="en-IE"/>
        </w:rPr>
        <w:t>rticle 88</w:t>
      </w:r>
      <w:r w:rsidRPr="00436E78">
        <w:rPr>
          <w:rFonts w:ascii="Calibri" w:hAnsi="Calibri" w:cs="Calibri"/>
          <w:lang w:val="en-IE"/>
        </w:rPr>
        <w:t xml:space="preserve"> of the Regulation (EU) 2017/745 on medical devices (MDR)</w:t>
      </w:r>
      <w:r w:rsidR="00A46C8A">
        <w:rPr>
          <w:rFonts w:ascii="Calibri" w:hAnsi="Calibri" w:cs="Calibri"/>
          <w:lang w:val="en-IE"/>
        </w:rPr>
        <w:t xml:space="preserve"> and Article 83 of Regulation (EU) 2017/746 on </w:t>
      </w:r>
      <w:r w:rsidR="00DF4396">
        <w:rPr>
          <w:rFonts w:ascii="Calibri" w:hAnsi="Calibri" w:cs="Calibri"/>
          <w:lang w:val="en-IE"/>
        </w:rPr>
        <w:t>in vitro diagnostic medical devices (IVDR)</w:t>
      </w:r>
      <w:r w:rsidRPr="00436E78">
        <w:rPr>
          <w:rFonts w:ascii="Calibri" w:hAnsi="Calibri" w:cs="Calibri"/>
          <w:lang w:val="en-IE"/>
        </w:rPr>
        <w:t xml:space="preserve">. A common understanding and clarification </w:t>
      </w:r>
      <w:r w:rsidR="00785CB9" w:rsidRPr="00436E78">
        <w:rPr>
          <w:rFonts w:ascii="Calibri" w:hAnsi="Calibri" w:cs="Calibri"/>
          <w:lang w:val="en-IE"/>
        </w:rPr>
        <w:t xml:space="preserve">related to Trend </w:t>
      </w:r>
      <w:r w:rsidR="00C14D93">
        <w:rPr>
          <w:rFonts w:ascii="Calibri" w:hAnsi="Calibri" w:cs="Calibri"/>
          <w:lang w:val="en-IE"/>
        </w:rPr>
        <w:t>reporting</w:t>
      </w:r>
      <w:r w:rsidR="00C14D93" w:rsidRPr="00436E78">
        <w:rPr>
          <w:rFonts w:ascii="Calibri" w:hAnsi="Calibri" w:cs="Calibri"/>
          <w:lang w:val="en-IE"/>
        </w:rPr>
        <w:t xml:space="preserve"> </w:t>
      </w:r>
      <w:r w:rsidRPr="00436E78">
        <w:rPr>
          <w:rFonts w:ascii="Calibri" w:hAnsi="Calibri" w:cs="Calibri"/>
          <w:lang w:val="en-IE"/>
        </w:rPr>
        <w:t>is deemed essential for an effective and harmonised implementation</w:t>
      </w:r>
      <w:r w:rsidRPr="00436E78" w:rsidDel="00407CF1">
        <w:rPr>
          <w:rFonts w:ascii="Calibri" w:hAnsi="Calibri" w:cs="Calibri"/>
          <w:lang w:val="en-IE"/>
        </w:rPr>
        <w:t xml:space="preserve"> </w:t>
      </w:r>
      <w:r w:rsidRPr="00436E78">
        <w:rPr>
          <w:rFonts w:ascii="Calibri" w:hAnsi="Calibri" w:cs="Calibri"/>
          <w:lang w:val="en-IE"/>
        </w:rPr>
        <w:t>of the vigilance requirements under the MDR</w:t>
      </w:r>
      <w:r w:rsidR="00DF4396">
        <w:rPr>
          <w:rFonts w:ascii="Calibri" w:hAnsi="Calibri" w:cs="Calibri"/>
          <w:lang w:val="en-IE"/>
        </w:rPr>
        <w:t xml:space="preserve"> and IVDR</w:t>
      </w:r>
      <w:r w:rsidRPr="00436E78">
        <w:rPr>
          <w:rFonts w:ascii="Calibri" w:hAnsi="Calibri" w:cs="Calibri"/>
          <w:lang w:val="en-IE"/>
        </w:rPr>
        <w:t xml:space="preserve">.  To that end, this document is intended as a supporting tool for use by competent authorities, economic operators and </w:t>
      </w:r>
      <w:r w:rsidRPr="00436E78">
        <w:rPr>
          <w:rFonts w:ascii="Calibri" w:hAnsi="Calibri" w:cs="Calibri"/>
          <w:lang w:val="en-US"/>
        </w:rPr>
        <w:t>other relevant parties</w:t>
      </w:r>
      <w:r w:rsidRPr="00436E78">
        <w:rPr>
          <w:rFonts w:ascii="Calibri" w:hAnsi="Calibri" w:cs="Calibri"/>
          <w:lang w:val="en-IE"/>
        </w:rPr>
        <w:t xml:space="preserve"> to be read, in conjunction with the MDR</w:t>
      </w:r>
      <w:r w:rsidR="00DF4396">
        <w:rPr>
          <w:rFonts w:ascii="Calibri" w:hAnsi="Calibri" w:cs="Calibri"/>
          <w:lang w:val="en-IE"/>
        </w:rPr>
        <w:t xml:space="preserve"> and IVDR</w:t>
      </w:r>
      <w:r w:rsidRPr="00436E78">
        <w:rPr>
          <w:rFonts w:ascii="Calibri" w:hAnsi="Calibri" w:cs="Calibri"/>
          <w:lang w:val="en-IE"/>
        </w:rPr>
        <w:t>, to establish a common understanding of the MDR</w:t>
      </w:r>
      <w:r w:rsidR="00DF4396">
        <w:rPr>
          <w:rFonts w:ascii="Calibri" w:hAnsi="Calibri" w:cs="Calibri"/>
          <w:lang w:val="en-IE"/>
        </w:rPr>
        <w:t xml:space="preserve"> and IVDR</w:t>
      </w:r>
      <w:r w:rsidRPr="00436E78">
        <w:rPr>
          <w:rFonts w:ascii="Calibri" w:hAnsi="Calibri" w:cs="Calibri"/>
          <w:lang w:val="en-IE"/>
        </w:rPr>
        <w:t xml:space="preserve"> vigilance requirements and obligations. </w:t>
      </w:r>
    </w:p>
    <w:p w14:paraId="67CD0C0E" w14:textId="77777777" w:rsidR="0083067F" w:rsidRPr="000B322A" w:rsidRDefault="0083067F" w:rsidP="00E86E82">
      <w:pPr>
        <w:spacing w:line="276" w:lineRule="auto"/>
        <w:jc w:val="both"/>
        <w:rPr>
          <w:rFonts w:ascii="Calibri" w:eastAsia="Times New Roman" w:hAnsi="Calibri" w:cs="Calibri"/>
          <w:color w:val="C00000"/>
          <w:lang w:val="en-IE"/>
        </w:rPr>
      </w:pPr>
    </w:p>
    <w:p w14:paraId="40545FB6" w14:textId="3225004B" w:rsidR="001D275F" w:rsidRPr="004E5EB2" w:rsidRDefault="00F46171" w:rsidP="00E86E82">
      <w:pPr>
        <w:spacing w:line="276" w:lineRule="auto"/>
        <w:jc w:val="both"/>
        <w:rPr>
          <w:rFonts w:ascii="Calibri" w:eastAsia="Times New Roman" w:hAnsi="Calibri" w:cs="Calibri"/>
          <w:lang w:val="en-US"/>
        </w:rPr>
      </w:pPr>
      <w:r w:rsidRPr="004E5EB2">
        <w:rPr>
          <w:rFonts w:ascii="Calibri" w:eastAsia="Times New Roman" w:hAnsi="Calibri" w:cs="Calibri"/>
          <w:lang w:val="en-US"/>
        </w:rPr>
        <w:t xml:space="preserve">The requirements on </w:t>
      </w:r>
      <w:r w:rsidR="00A543B2">
        <w:rPr>
          <w:rFonts w:ascii="Calibri" w:eastAsia="Times New Roman" w:hAnsi="Calibri" w:cs="Calibri"/>
          <w:lang w:val="en-US"/>
        </w:rPr>
        <w:t>regarding</w:t>
      </w:r>
      <w:r w:rsidR="00A543B2" w:rsidRPr="004E5EB2">
        <w:rPr>
          <w:rFonts w:ascii="Calibri" w:eastAsia="Times New Roman" w:hAnsi="Calibri" w:cs="Calibri"/>
          <w:lang w:val="en-US"/>
        </w:rPr>
        <w:t xml:space="preserve"> </w:t>
      </w:r>
      <w:r w:rsidRPr="004E5EB2">
        <w:rPr>
          <w:rFonts w:ascii="Calibri" w:eastAsia="Times New Roman" w:hAnsi="Calibri" w:cs="Calibri"/>
          <w:lang w:val="en-US"/>
        </w:rPr>
        <w:t>Trend Report</w:t>
      </w:r>
      <w:r w:rsidR="00A543B2">
        <w:rPr>
          <w:rFonts w:ascii="Calibri" w:eastAsia="Times New Roman" w:hAnsi="Calibri" w:cs="Calibri"/>
          <w:lang w:val="en-US"/>
        </w:rPr>
        <w:t>ing</w:t>
      </w:r>
      <w:r w:rsidRPr="004E5EB2">
        <w:rPr>
          <w:rFonts w:ascii="Calibri" w:eastAsia="Times New Roman" w:hAnsi="Calibri" w:cs="Calibri"/>
          <w:lang w:val="en-US"/>
        </w:rPr>
        <w:t>, as defined in the Article 88 of the MDR, are applicable from the 26</w:t>
      </w:r>
      <w:r w:rsidRPr="004E5EB2">
        <w:rPr>
          <w:rFonts w:ascii="Calibri" w:eastAsia="Times New Roman" w:hAnsi="Calibri" w:cs="Calibri"/>
          <w:vertAlign w:val="superscript"/>
          <w:lang w:val="en-US"/>
        </w:rPr>
        <w:t>th</w:t>
      </w:r>
      <w:r w:rsidRPr="004E5EB2">
        <w:rPr>
          <w:rFonts w:ascii="Calibri" w:eastAsia="Times New Roman" w:hAnsi="Calibri" w:cs="Calibri"/>
          <w:lang w:val="en-US"/>
        </w:rPr>
        <w:t xml:space="preserve"> May 2021</w:t>
      </w:r>
      <w:r w:rsidR="00BF2D91">
        <w:rPr>
          <w:rFonts w:ascii="Calibri" w:eastAsia="Times New Roman" w:hAnsi="Calibri" w:cs="Calibri"/>
          <w:lang w:val="en-US"/>
        </w:rPr>
        <w:t>.</w:t>
      </w:r>
      <w:r w:rsidRPr="004E5EB2">
        <w:rPr>
          <w:rFonts w:ascii="Calibri" w:eastAsia="Times New Roman" w:hAnsi="Calibri" w:cs="Calibri"/>
          <w:lang w:val="en-US"/>
        </w:rPr>
        <w:t xml:space="preserve"> </w:t>
      </w:r>
    </w:p>
    <w:p w14:paraId="7FE88ECC" w14:textId="77777777" w:rsidR="00DF1768" w:rsidRDefault="00A223EC" w:rsidP="00E86E82">
      <w:pPr>
        <w:spacing w:line="276" w:lineRule="auto"/>
        <w:jc w:val="both"/>
        <w:rPr>
          <w:rFonts w:ascii="Calibri" w:hAnsi="Calibri" w:cs="Calibri"/>
          <w:lang w:val="en-IE"/>
        </w:rPr>
      </w:pPr>
      <w:r w:rsidRPr="004E5EB2">
        <w:rPr>
          <w:rFonts w:ascii="Calibri" w:eastAsia="Times New Roman" w:hAnsi="Calibri" w:cs="Calibri"/>
          <w:lang w:val="en-US"/>
        </w:rPr>
        <w:t xml:space="preserve">The requirements on </w:t>
      </w:r>
      <w:r w:rsidR="00A543B2">
        <w:rPr>
          <w:rFonts w:ascii="Calibri" w:eastAsia="Times New Roman" w:hAnsi="Calibri" w:cs="Calibri"/>
          <w:lang w:val="en-US"/>
        </w:rPr>
        <w:t>regarding</w:t>
      </w:r>
      <w:r w:rsidR="00A543B2" w:rsidRPr="004E5EB2">
        <w:rPr>
          <w:rFonts w:ascii="Calibri" w:eastAsia="Times New Roman" w:hAnsi="Calibri" w:cs="Calibri"/>
          <w:lang w:val="en-US"/>
        </w:rPr>
        <w:t xml:space="preserve"> </w:t>
      </w:r>
      <w:r w:rsidRPr="004E5EB2">
        <w:rPr>
          <w:rFonts w:ascii="Calibri" w:eastAsia="Times New Roman" w:hAnsi="Calibri" w:cs="Calibri"/>
          <w:lang w:val="en-US"/>
        </w:rPr>
        <w:t>Trend report</w:t>
      </w:r>
      <w:r w:rsidR="00A543B2">
        <w:rPr>
          <w:rFonts w:ascii="Calibri" w:eastAsia="Times New Roman" w:hAnsi="Calibri" w:cs="Calibri"/>
          <w:lang w:val="en-US"/>
        </w:rPr>
        <w:t>ing</w:t>
      </w:r>
      <w:r w:rsidRPr="004E5EB2">
        <w:rPr>
          <w:rFonts w:ascii="Calibri" w:eastAsia="Times New Roman" w:hAnsi="Calibri" w:cs="Calibri"/>
          <w:lang w:val="en-US"/>
        </w:rPr>
        <w:t>, as defined</w:t>
      </w:r>
      <w:r w:rsidR="00F46171" w:rsidRPr="004E5EB2">
        <w:rPr>
          <w:rFonts w:ascii="Calibri" w:eastAsia="Times New Roman" w:hAnsi="Calibri" w:cs="Calibri"/>
          <w:lang w:val="en-US"/>
        </w:rPr>
        <w:t xml:space="preserve"> </w:t>
      </w:r>
      <w:r w:rsidRPr="004E5EB2">
        <w:rPr>
          <w:rFonts w:ascii="Calibri" w:eastAsia="Times New Roman" w:hAnsi="Calibri" w:cs="Calibri"/>
          <w:lang w:val="en-US"/>
        </w:rPr>
        <w:t xml:space="preserve">in the </w:t>
      </w:r>
      <w:r w:rsidRPr="004E5EB2">
        <w:rPr>
          <w:rFonts w:ascii="Calibri" w:hAnsi="Calibri" w:cs="Calibri"/>
          <w:lang w:val="en-IE"/>
        </w:rPr>
        <w:t>Article 83 of IVDR, are applicable from 26</w:t>
      </w:r>
      <w:r w:rsidRPr="004E5EB2">
        <w:rPr>
          <w:rFonts w:ascii="Calibri" w:hAnsi="Calibri" w:cs="Calibri"/>
          <w:vertAlign w:val="superscript"/>
          <w:lang w:val="en-IE"/>
        </w:rPr>
        <w:t>th</w:t>
      </w:r>
      <w:r w:rsidRPr="004E5EB2">
        <w:rPr>
          <w:rFonts w:ascii="Calibri" w:hAnsi="Calibri" w:cs="Calibri"/>
          <w:lang w:val="en-IE"/>
        </w:rPr>
        <w:t xml:space="preserve"> May 2022. </w:t>
      </w:r>
    </w:p>
    <w:p w14:paraId="17BB2578" w14:textId="77777777" w:rsidR="005A64B1" w:rsidRPr="00436E78" w:rsidRDefault="005A64B1" w:rsidP="00E86E82">
      <w:pPr>
        <w:spacing w:line="276" w:lineRule="auto"/>
        <w:jc w:val="both"/>
        <w:rPr>
          <w:rFonts w:ascii="Calibri" w:hAnsi="Calibri" w:cs="Calibri"/>
          <w:lang w:val="en-IE"/>
        </w:rPr>
      </w:pPr>
    </w:p>
    <w:p w14:paraId="01991BBA" w14:textId="35F41C6A" w:rsidR="002F3E62" w:rsidRDefault="005A64B1" w:rsidP="00E86E82">
      <w:pPr>
        <w:spacing w:line="276" w:lineRule="auto"/>
        <w:jc w:val="both"/>
        <w:rPr>
          <w:rFonts w:ascii="Calibri" w:eastAsia="Times New Roman" w:hAnsi="Calibri" w:cs="Calibri"/>
          <w:lang w:val="en-US"/>
        </w:rPr>
      </w:pPr>
      <w:r w:rsidRPr="00436E78">
        <w:rPr>
          <w:rFonts w:ascii="Calibri" w:eastAsia="Times New Roman" w:hAnsi="Calibri" w:cs="Calibri"/>
          <w:lang w:val="en-US"/>
        </w:rPr>
        <w:t>The Trend Repor</w:t>
      </w:r>
      <w:r w:rsidR="00011108">
        <w:rPr>
          <w:rFonts w:ascii="Calibri" w:eastAsia="Times New Roman" w:hAnsi="Calibri" w:cs="Calibri"/>
          <w:lang w:val="en-US"/>
        </w:rPr>
        <w:t>t</w:t>
      </w:r>
      <w:r w:rsidR="00D047DC">
        <w:rPr>
          <w:rFonts w:ascii="Calibri" w:eastAsia="Times New Roman" w:hAnsi="Calibri" w:cs="Calibri"/>
          <w:lang w:val="en-US"/>
        </w:rPr>
        <w:t>ing</w:t>
      </w:r>
      <w:r w:rsidRPr="00436E78">
        <w:rPr>
          <w:rFonts w:ascii="Calibri" w:eastAsia="Times New Roman" w:hAnsi="Calibri" w:cs="Calibri"/>
          <w:lang w:val="en-US"/>
        </w:rPr>
        <w:t xml:space="preserve"> under the MDR</w:t>
      </w:r>
      <w:r w:rsidR="00DF4396">
        <w:rPr>
          <w:rFonts w:ascii="Calibri" w:eastAsia="Times New Roman" w:hAnsi="Calibri" w:cs="Calibri"/>
          <w:lang w:val="en-US"/>
        </w:rPr>
        <w:t xml:space="preserve"> </w:t>
      </w:r>
      <w:r w:rsidRPr="00436E78">
        <w:rPr>
          <w:rFonts w:ascii="Calibri" w:eastAsia="Times New Roman" w:hAnsi="Calibri" w:cs="Calibri"/>
          <w:lang w:val="en-US"/>
        </w:rPr>
        <w:t>requires a consistent, standardized and systematic review of all incidents and expected side effects apart from serious incidents, by medical device manufacturers</w:t>
      </w:r>
      <w:r w:rsidR="00CD3984" w:rsidRPr="00436E78">
        <w:rPr>
          <w:rFonts w:ascii="Calibri" w:eastAsia="Times New Roman" w:hAnsi="Calibri" w:cs="Calibri"/>
          <w:lang w:val="en-US"/>
        </w:rPr>
        <w:t>.</w:t>
      </w:r>
      <w:r w:rsidR="00DF4396">
        <w:rPr>
          <w:rFonts w:ascii="Calibri" w:eastAsia="Times New Roman" w:hAnsi="Calibri" w:cs="Calibri"/>
          <w:lang w:val="en-US"/>
        </w:rPr>
        <w:t xml:space="preserve"> </w:t>
      </w:r>
      <w:r w:rsidR="002F3E62">
        <w:rPr>
          <w:rFonts w:ascii="Calibri" w:eastAsia="Times New Roman" w:hAnsi="Calibri" w:cs="Calibri"/>
          <w:lang w:val="en-US"/>
        </w:rPr>
        <w:t>As far as IVDR requirements are concerned</w:t>
      </w:r>
      <w:r w:rsidR="009F4CB5">
        <w:rPr>
          <w:rFonts w:ascii="Calibri" w:eastAsia="Times New Roman" w:hAnsi="Calibri" w:cs="Calibri"/>
          <w:lang w:val="en-US"/>
        </w:rPr>
        <w:t>,</w:t>
      </w:r>
      <w:r w:rsidR="002F3E62">
        <w:rPr>
          <w:rFonts w:ascii="Calibri" w:eastAsia="Times New Roman" w:hAnsi="Calibri" w:cs="Calibri"/>
          <w:lang w:val="en-US"/>
        </w:rPr>
        <w:t xml:space="preserve"> </w:t>
      </w:r>
      <w:r w:rsidR="009F4CB5">
        <w:rPr>
          <w:rFonts w:ascii="Calibri" w:eastAsia="Times New Roman" w:hAnsi="Calibri" w:cs="Calibri"/>
          <w:lang w:val="en-US"/>
        </w:rPr>
        <w:t xml:space="preserve">a </w:t>
      </w:r>
      <w:r w:rsidR="002F3E62" w:rsidRPr="00DF4396">
        <w:rPr>
          <w:rFonts w:ascii="Calibri" w:eastAsia="Times New Roman" w:hAnsi="Calibri" w:cs="Calibri"/>
          <w:lang w:val="en-US"/>
        </w:rPr>
        <w:t>standardized and systematic review of all incidents</w:t>
      </w:r>
      <w:r w:rsidR="00D62521">
        <w:rPr>
          <w:rFonts w:ascii="Calibri" w:eastAsia="Times New Roman" w:hAnsi="Calibri" w:cs="Calibri"/>
          <w:lang w:val="en-US"/>
        </w:rPr>
        <w:t xml:space="preserve">, </w:t>
      </w:r>
      <w:r w:rsidR="00D62521" w:rsidRPr="00436E78">
        <w:rPr>
          <w:rFonts w:ascii="Calibri" w:eastAsia="Times New Roman" w:hAnsi="Calibri" w:cs="Calibri"/>
          <w:lang w:val="en-US"/>
        </w:rPr>
        <w:t>apart from serious incidents</w:t>
      </w:r>
      <w:r w:rsidR="00D62521">
        <w:rPr>
          <w:rFonts w:ascii="Calibri" w:eastAsia="Times New Roman" w:hAnsi="Calibri" w:cs="Calibri"/>
          <w:lang w:val="en-US"/>
        </w:rPr>
        <w:t>,</w:t>
      </w:r>
      <w:r w:rsidR="002F3E62" w:rsidRPr="00DF4396">
        <w:rPr>
          <w:rFonts w:ascii="Calibri" w:eastAsia="Times New Roman" w:hAnsi="Calibri" w:cs="Calibri"/>
          <w:lang w:val="en-US"/>
        </w:rPr>
        <w:t xml:space="preserve"> and</w:t>
      </w:r>
      <w:r w:rsidR="002F3E62">
        <w:rPr>
          <w:rFonts w:ascii="Calibri" w:eastAsia="Times New Roman" w:hAnsi="Calibri" w:cs="Calibri"/>
          <w:lang w:val="en-US"/>
        </w:rPr>
        <w:t xml:space="preserve"> </w:t>
      </w:r>
      <w:r w:rsidR="002F3E62" w:rsidRPr="002F3E62">
        <w:rPr>
          <w:rFonts w:ascii="Calibri" w:eastAsia="Times New Roman" w:hAnsi="Calibri" w:cs="Calibri"/>
          <w:lang w:val="en-US"/>
        </w:rPr>
        <w:t>expected erroneous results</w:t>
      </w:r>
      <w:r w:rsidR="002F3E62">
        <w:rPr>
          <w:rFonts w:ascii="Calibri" w:eastAsia="Times New Roman" w:hAnsi="Calibri" w:cs="Calibri"/>
          <w:lang w:val="en-US"/>
        </w:rPr>
        <w:t xml:space="preserve"> </w:t>
      </w:r>
      <w:r w:rsidR="004F4105">
        <w:rPr>
          <w:rFonts w:ascii="Calibri" w:eastAsia="Times New Roman" w:hAnsi="Calibri" w:cs="Calibri"/>
          <w:lang w:val="en-US"/>
        </w:rPr>
        <w:t>is</w:t>
      </w:r>
      <w:r w:rsidR="002F3E62">
        <w:rPr>
          <w:rFonts w:ascii="Calibri" w:eastAsia="Times New Roman" w:hAnsi="Calibri" w:cs="Calibri"/>
          <w:lang w:val="en-US"/>
        </w:rPr>
        <w:t xml:space="preserve"> needed.</w:t>
      </w:r>
    </w:p>
    <w:p w14:paraId="69C96BB6" w14:textId="77777777" w:rsidR="00D047DC" w:rsidRDefault="00D047DC" w:rsidP="00E86E82">
      <w:pPr>
        <w:spacing w:line="276" w:lineRule="auto"/>
        <w:jc w:val="both"/>
        <w:rPr>
          <w:rFonts w:ascii="Calibri" w:eastAsia="Times New Roman" w:hAnsi="Calibri" w:cs="Calibri"/>
          <w:lang w:val="en-US"/>
        </w:rPr>
      </w:pPr>
    </w:p>
    <w:p w14:paraId="6F360759" w14:textId="167C9587" w:rsidR="00B0773C" w:rsidRDefault="00823E51" w:rsidP="00E86E82">
      <w:pPr>
        <w:spacing w:line="276" w:lineRule="auto"/>
        <w:jc w:val="both"/>
        <w:rPr>
          <w:rFonts w:ascii="Calibri" w:eastAsia="Times New Roman" w:hAnsi="Calibri" w:cs="Calibri"/>
          <w:lang w:val="en-US"/>
        </w:rPr>
      </w:pPr>
      <w:r w:rsidRPr="00820DE4">
        <w:rPr>
          <w:rFonts w:ascii="Calibri" w:eastAsia="Times New Roman" w:hAnsi="Calibri" w:cs="Calibri"/>
          <w:lang w:val="en-US"/>
        </w:rPr>
        <w:t xml:space="preserve">The requirements regarding trend reporting differs between the directive 93/42/EEC and MDR. </w:t>
      </w:r>
      <w:r w:rsidR="008979C5" w:rsidRPr="00820DE4">
        <w:rPr>
          <w:rFonts w:ascii="Calibri" w:eastAsia="Times New Roman" w:hAnsi="Calibri" w:cs="Calibri"/>
          <w:lang w:val="en-US"/>
        </w:rPr>
        <w:t>However</w:t>
      </w:r>
      <w:r w:rsidR="00820DE4">
        <w:rPr>
          <w:rFonts w:ascii="Calibri" w:eastAsia="Times New Roman" w:hAnsi="Calibri" w:cs="Calibri"/>
          <w:lang w:val="en-US"/>
        </w:rPr>
        <w:t>,</w:t>
      </w:r>
      <w:r w:rsidR="008979C5" w:rsidRPr="00820DE4">
        <w:rPr>
          <w:rFonts w:ascii="Calibri" w:eastAsia="Times New Roman" w:hAnsi="Calibri" w:cs="Calibri"/>
          <w:lang w:val="en-US"/>
        </w:rPr>
        <w:t xml:space="preserve"> t</w:t>
      </w:r>
      <w:r w:rsidRPr="00820DE4">
        <w:rPr>
          <w:rFonts w:ascii="Calibri" w:eastAsia="Times New Roman" w:hAnsi="Calibri" w:cs="Calibri"/>
          <w:lang w:val="en-US"/>
        </w:rPr>
        <w:t xml:space="preserve">rend reporting </w:t>
      </w:r>
      <w:r w:rsidR="00BF7FD4" w:rsidRPr="00820DE4">
        <w:rPr>
          <w:rFonts w:ascii="Calibri" w:eastAsia="Times New Roman" w:hAnsi="Calibri" w:cs="Calibri"/>
          <w:lang w:val="en-US"/>
        </w:rPr>
        <w:t>based on</w:t>
      </w:r>
      <w:r w:rsidRPr="00820DE4">
        <w:rPr>
          <w:rFonts w:ascii="Calibri" w:eastAsia="Times New Roman" w:hAnsi="Calibri" w:cs="Calibri"/>
          <w:lang w:val="en-US"/>
        </w:rPr>
        <w:t xml:space="preserve"> the MDR could be </w:t>
      </w:r>
      <w:r w:rsidR="00BF7FD4" w:rsidRPr="00820DE4">
        <w:rPr>
          <w:rFonts w:ascii="Calibri" w:eastAsia="Times New Roman" w:hAnsi="Calibri" w:cs="Calibri"/>
          <w:lang w:val="en-US"/>
        </w:rPr>
        <w:t>applied</w:t>
      </w:r>
      <w:r w:rsidRPr="00820DE4">
        <w:rPr>
          <w:rFonts w:ascii="Calibri" w:eastAsia="Times New Roman" w:hAnsi="Calibri" w:cs="Calibri"/>
          <w:lang w:val="en-US"/>
        </w:rPr>
        <w:t xml:space="preserve"> also to the old devices</w:t>
      </w:r>
      <w:r w:rsidR="00BF7FD4" w:rsidRPr="00820DE4">
        <w:rPr>
          <w:rFonts w:ascii="Calibri" w:eastAsia="Times New Roman" w:hAnsi="Calibri" w:cs="Calibri"/>
          <w:lang w:val="en-US"/>
        </w:rPr>
        <w:t xml:space="preserve">. </w:t>
      </w:r>
      <w:r w:rsidR="008979C5">
        <w:rPr>
          <w:rFonts w:ascii="Calibri" w:eastAsia="Times New Roman" w:hAnsi="Calibri" w:cs="Calibri"/>
          <w:lang w:val="en-US"/>
        </w:rPr>
        <w:t>Consequently</w:t>
      </w:r>
      <w:r w:rsidR="00BF7FD4">
        <w:rPr>
          <w:rFonts w:ascii="Calibri" w:eastAsia="Times New Roman" w:hAnsi="Calibri" w:cs="Calibri"/>
          <w:lang w:val="en-US"/>
        </w:rPr>
        <w:t xml:space="preserve"> it is not</w:t>
      </w:r>
      <w:r w:rsidR="00B0773C" w:rsidRPr="00B0773C">
        <w:rPr>
          <w:rFonts w:ascii="Calibri" w:eastAsia="Times New Roman" w:hAnsi="Calibri" w:cs="Calibri"/>
          <w:lang w:val="en-US"/>
        </w:rPr>
        <w:t xml:space="preserve"> necessary to distinguish between ‘old’, ‘legacy’ and ‘MDR’ devices for the purpose of defining the vigilance reporting obligations</w:t>
      </w:r>
      <w:r w:rsidR="009E0F18">
        <w:rPr>
          <w:rStyle w:val="FootnoteReference"/>
          <w:rFonts w:ascii="Calibri" w:eastAsia="Times New Roman" w:hAnsi="Calibri" w:cs="Calibri"/>
          <w:lang w:val="en-US"/>
        </w:rPr>
        <w:footnoteReference w:id="1"/>
      </w:r>
      <w:r w:rsidR="008979C5">
        <w:rPr>
          <w:rFonts w:ascii="Calibri" w:eastAsia="Times New Roman" w:hAnsi="Calibri" w:cs="Calibri"/>
          <w:lang w:val="en-US"/>
        </w:rPr>
        <w:t xml:space="preserve"> of the medical devices. </w:t>
      </w:r>
      <w:r w:rsidR="009E0F18">
        <w:rPr>
          <w:rFonts w:ascii="Calibri" w:eastAsia="Times New Roman" w:hAnsi="Calibri" w:cs="Calibri"/>
          <w:lang w:val="en-US"/>
        </w:rPr>
        <w:t xml:space="preserve"> </w:t>
      </w:r>
    </w:p>
    <w:p w14:paraId="06C4CBA9" w14:textId="77777777" w:rsidR="000B322A" w:rsidRDefault="000B322A" w:rsidP="000B322A">
      <w:pPr>
        <w:spacing w:line="276" w:lineRule="auto"/>
        <w:jc w:val="both"/>
        <w:rPr>
          <w:rFonts w:ascii="Calibri" w:hAnsi="Calibri" w:cs="Calibri"/>
          <w:lang w:val="en-IE"/>
        </w:rPr>
      </w:pPr>
      <w:r>
        <w:rPr>
          <w:rFonts w:ascii="Calibri" w:hAnsi="Calibri" w:cs="Calibri"/>
          <w:lang w:val="en-IE"/>
        </w:rPr>
        <w:t>The requirements on trend reporting are applicable to:</w:t>
      </w:r>
    </w:p>
    <w:p w14:paraId="46C5BC48" w14:textId="77777777" w:rsidR="000B322A" w:rsidRPr="00011108" w:rsidRDefault="000B322A" w:rsidP="000B322A">
      <w:pPr>
        <w:pStyle w:val="ListParagraph"/>
        <w:numPr>
          <w:ilvl w:val="0"/>
          <w:numId w:val="21"/>
        </w:numPr>
        <w:spacing w:line="276" w:lineRule="auto"/>
        <w:jc w:val="both"/>
        <w:rPr>
          <w:rFonts w:ascii="Calibri" w:hAnsi="Calibri" w:cs="Calibri"/>
          <w:lang w:val="en-IE"/>
        </w:rPr>
      </w:pPr>
      <w:r w:rsidRPr="00011108">
        <w:rPr>
          <w:rFonts w:ascii="Calibri" w:hAnsi="Calibri" w:cs="Calibri"/>
          <w:lang w:val="en-IE"/>
        </w:rPr>
        <w:t>Legacy devices</w:t>
      </w:r>
      <w:r w:rsidR="00536B39">
        <w:rPr>
          <w:rFonts w:ascii="Calibri" w:hAnsi="Calibri" w:cs="Calibri"/>
          <w:lang w:val="en-IE"/>
        </w:rPr>
        <w:t xml:space="preserve"> (MDR and IVDR)</w:t>
      </w:r>
    </w:p>
    <w:p w14:paraId="2AD4DE3D" w14:textId="77777777" w:rsidR="000B322A" w:rsidRPr="00011108" w:rsidRDefault="000B322A" w:rsidP="000B322A">
      <w:pPr>
        <w:pStyle w:val="ListParagraph"/>
        <w:numPr>
          <w:ilvl w:val="0"/>
          <w:numId w:val="21"/>
        </w:numPr>
        <w:spacing w:line="276" w:lineRule="auto"/>
        <w:jc w:val="both"/>
        <w:rPr>
          <w:rFonts w:ascii="Calibri" w:hAnsi="Calibri" w:cs="Calibri"/>
          <w:lang w:val="en-IE"/>
        </w:rPr>
      </w:pPr>
      <w:r w:rsidRPr="00011108">
        <w:rPr>
          <w:rFonts w:ascii="Calibri" w:hAnsi="Calibri" w:cs="Calibri"/>
          <w:lang w:val="en-IE"/>
        </w:rPr>
        <w:t xml:space="preserve">MDR </w:t>
      </w:r>
      <w:r w:rsidR="00A543B2">
        <w:rPr>
          <w:rFonts w:ascii="Calibri" w:hAnsi="Calibri" w:cs="Calibri"/>
          <w:lang w:val="en-IE"/>
        </w:rPr>
        <w:t xml:space="preserve">certified </w:t>
      </w:r>
      <w:r w:rsidRPr="00011108">
        <w:rPr>
          <w:rFonts w:ascii="Calibri" w:hAnsi="Calibri" w:cs="Calibri"/>
          <w:lang w:val="en-IE"/>
        </w:rPr>
        <w:t>devices</w:t>
      </w:r>
    </w:p>
    <w:p w14:paraId="435E99F5" w14:textId="77777777" w:rsidR="000B322A" w:rsidRDefault="000B322A" w:rsidP="000B322A">
      <w:pPr>
        <w:pStyle w:val="ListParagraph"/>
        <w:numPr>
          <w:ilvl w:val="0"/>
          <w:numId w:val="21"/>
        </w:numPr>
        <w:spacing w:line="276" w:lineRule="auto"/>
        <w:jc w:val="both"/>
        <w:rPr>
          <w:rFonts w:ascii="Calibri" w:hAnsi="Calibri" w:cs="Calibri"/>
          <w:lang w:val="en-IE"/>
        </w:rPr>
      </w:pPr>
      <w:r w:rsidRPr="00011108">
        <w:rPr>
          <w:rFonts w:ascii="Calibri" w:hAnsi="Calibri" w:cs="Calibri"/>
          <w:lang w:val="en-IE"/>
        </w:rPr>
        <w:t>IVD</w:t>
      </w:r>
      <w:r>
        <w:rPr>
          <w:rFonts w:ascii="Calibri" w:hAnsi="Calibri" w:cs="Calibri"/>
          <w:lang w:val="en-IE"/>
        </w:rPr>
        <w:t xml:space="preserve">R </w:t>
      </w:r>
      <w:r w:rsidR="00A543B2">
        <w:rPr>
          <w:rFonts w:ascii="Calibri" w:hAnsi="Calibri" w:cs="Calibri"/>
          <w:lang w:val="en-IE"/>
        </w:rPr>
        <w:t xml:space="preserve">certified </w:t>
      </w:r>
      <w:r>
        <w:rPr>
          <w:rFonts w:ascii="Calibri" w:hAnsi="Calibri" w:cs="Calibri"/>
          <w:lang w:val="en-IE"/>
        </w:rPr>
        <w:t>devices</w:t>
      </w:r>
      <w:r w:rsidRPr="00011108">
        <w:rPr>
          <w:rFonts w:ascii="Calibri" w:hAnsi="Calibri" w:cs="Calibri"/>
          <w:lang w:val="en-IE"/>
        </w:rPr>
        <w:t xml:space="preserve"> </w:t>
      </w:r>
    </w:p>
    <w:p w14:paraId="1F453701" w14:textId="77777777" w:rsidR="000B322A" w:rsidRPr="00011108" w:rsidRDefault="000B322A" w:rsidP="000B322A">
      <w:pPr>
        <w:pStyle w:val="ListParagraph"/>
        <w:numPr>
          <w:ilvl w:val="0"/>
          <w:numId w:val="21"/>
        </w:numPr>
        <w:spacing w:line="276" w:lineRule="auto"/>
        <w:jc w:val="both"/>
        <w:rPr>
          <w:rFonts w:ascii="Calibri" w:hAnsi="Calibri" w:cs="Calibri"/>
          <w:lang w:val="en-IE"/>
        </w:rPr>
      </w:pPr>
      <w:commentRangeStart w:id="0"/>
      <w:r>
        <w:rPr>
          <w:rFonts w:ascii="Calibri" w:hAnsi="Calibri" w:cs="Calibri"/>
          <w:lang w:val="en-IE"/>
        </w:rPr>
        <w:t>Old devices</w:t>
      </w:r>
      <w:r w:rsidR="00536B39">
        <w:rPr>
          <w:rFonts w:ascii="Calibri" w:hAnsi="Calibri" w:cs="Calibri"/>
          <w:lang w:val="en-IE"/>
        </w:rPr>
        <w:t xml:space="preserve"> (MDR)</w:t>
      </w:r>
      <w:commentRangeEnd w:id="0"/>
      <w:r w:rsidR="00820DE4">
        <w:rPr>
          <w:rStyle w:val="CommentReference"/>
        </w:rPr>
        <w:commentReference w:id="0"/>
      </w:r>
    </w:p>
    <w:p w14:paraId="3D5BE387" w14:textId="77777777" w:rsidR="000B322A" w:rsidRDefault="000B322A" w:rsidP="00E86E82">
      <w:pPr>
        <w:spacing w:line="276" w:lineRule="auto"/>
        <w:jc w:val="both"/>
        <w:rPr>
          <w:rFonts w:ascii="Calibri" w:eastAsia="Times New Roman" w:hAnsi="Calibri" w:cs="Calibri"/>
          <w:lang w:val="en-US"/>
        </w:rPr>
      </w:pPr>
    </w:p>
    <w:p w14:paraId="0934746F" w14:textId="77777777" w:rsidR="002C594A" w:rsidRDefault="002C594A" w:rsidP="00E86E82">
      <w:pPr>
        <w:spacing w:line="276" w:lineRule="auto"/>
        <w:jc w:val="both"/>
        <w:rPr>
          <w:rFonts w:ascii="Calibri" w:eastAsia="Times New Roman" w:hAnsi="Calibri" w:cs="Calibri"/>
          <w:lang w:val="en-US"/>
        </w:rPr>
      </w:pPr>
    </w:p>
    <w:p w14:paraId="3C637741" w14:textId="0661B9C2" w:rsidR="002C594A" w:rsidRDefault="00E90157" w:rsidP="00E86E82">
      <w:pPr>
        <w:spacing w:line="276" w:lineRule="auto"/>
        <w:jc w:val="both"/>
        <w:rPr>
          <w:rFonts w:ascii="Calibri" w:eastAsia="Times New Roman" w:hAnsi="Calibri" w:cs="Calibri"/>
          <w:lang w:val="en-US"/>
        </w:rPr>
      </w:pPr>
      <w:r w:rsidRPr="003A7DF9">
        <w:rPr>
          <w:lang w:val="en-IE"/>
        </w:rPr>
        <w:t>The Terms and Concepts, useful for Trend Report</w:t>
      </w:r>
      <w:r w:rsidR="00A543B2">
        <w:rPr>
          <w:lang w:val="en-IE"/>
        </w:rPr>
        <w:t>ing</w:t>
      </w:r>
      <w:r w:rsidRPr="003A7DF9">
        <w:rPr>
          <w:lang w:val="en-IE"/>
        </w:rPr>
        <w:t>, as</w:t>
      </w:r>
      <w:r w:rsidR="000C7B99" w:rsidRPr="003A7DF9">
        <w:rPr>
          <w:lang w:val="en-IE"/>
        </w:rPr>
        <w:t xml:space="preserve"> outlined in Section 2 of Chapter VII of the Regulation (EU) 2017/745 on medical device</w:t>
      </w:r>
      <w:r w:rsidRPr="003A7DF9">
        <w:rPr>
          <w:lang w:val="en-IE"/>
        </w:rPr>
        <w:t>s, are</w:t>
      </w:r>
      <w:r w:rsidR="000C7B99" w:rsidRPr="003A7DF9">
        <w:rPr>
          <w:lang w:val="en-IE"/>
        </w:rPr>
        <w:t xml:space="preserve"> defined on the</w:t>
      </w:r>
      <w:r w:rsidR="002C594A" w:rsidRPr="003A7DF9">
        <w:rPr>
          <w:rFonts w:ascii="Calibri" w:eastAsia="Times New Roman" w:hAnsi="Calibri" w:cs="Calibri"/>
          <w:lang w:val="en-US"/>
        </w:rPr>
        <w:t xml:space="preserve"> document Questions and Answers on Vigilance Terms and Concepts</w:t>
      </w:r>
      <w:r w:rsidR="0066476F" w:rsidRPr="003A7DF9">
        <w:rPr>
          <w:rFonts w:ascii="Calibri" w:eastAsia="Times New Roman" w:hAnsi="Calibri" w:cs="Calibri"/>
          <w:lang w:val="en-US"/>
        </w:rPr>
        <w:t xml:space="preserve"> </w:t>
      </w:r>
      <w:r w:rsidR="0066476F">
        <w:rPr>
          <w:rFonts w:ascii="Calibri" w:eastAsia="Times New Roman" w:hAnsi="Calibri" w:cs="Calibri"/>
          <w:color w:val="C00000"/>
          <w:lang w:val="en-US"/>
        </w:rPr>
        <w:t>(add reference when available)</w:t>
      </w:r>
      <w:r w:rsidRPr="001D275F">
        <w:rPr>
          <w:rFonts w:ascii="Calibri" w:eastAsia="Times New Roman" w:hAnsi="Calibri" w:cs="Calibri"/>
          <w:color w:val="C00000"/>
          <w:lang w:val="en-US"/>
        </w:rPr>
        <w:t>.</w:t>
      </w:r>
      <w:r w:rsidR="002C594A" w:rsidRPr="001D275F">
        <w:rPr>
          <w:rFonts w:ascii="Calibri" w:eastAsia="Times New Roman" w:hAnsi="Calibri" w:cs="Calibri"/>
          <w:color w:val="C00000"/>
          <w:lang w:val="en-US"/>
        </w:rPr>
        <w:t xml:space="preserve"> </w:t>
      </w:r>
    </w:p>
    <w:p w14:paraId="4EE2C38A" w14:textId="26090B48" w:rsidR="009B5E98" w:rsidRDefault="003A1685" w:rsidP="00B10642">
      <w:pPr>
        <w:spacing w:line="276" w:lineRule="auto"/>
        <w:jc w:val="both"/>
        <w:rPr>
          <w:rFonts w:ascii="Calibri" w:eastAsia="Times New Roman" w:hAnsi="Calibri" w:cs="Calibri"/>
          <w:lang w:val="en-US"/>
        </w:rPr>
      </w:pPr>
      <w:r w:rsidRPr="0031127E">
        <w:rPr>
          <w:rFonts w:ascii="Calibri" w:eastAsia="Times New Roman" w:hAnsi="Calibri" w:cs="Calibri"/>
          <w:lang w:val="en-US"/>
        </w:rPr>
        <w:lastRenderedPageBreak/>
        <w:t xml:space="preserve">The concepts </w:t>
      </w:r>
      <w:r w:rsidR="00EC41D5" w:rsidRPr="0031127E">
        <w:rPr>
          <w:rFonts w:ascii="Calibri" w:eastAsia="Times New Roman" w:hAnsi="Calibri" w:cs="Calibri"/>
          <w:lang w:val="en-US"/>
        </w:rPr>
        <w:t xml:space="preserve">defined in this document are applicable to the </w:t>
      </w:r>
      <w:r w:rsidRPr="0031127E">
        <w:rPr>
          <w:rFonts w:ascii="Calibri" w:eastAsia="Times New Roman" w:hAnsi="Calibri" w:cs="Calibri"/>
          <w:lang w:val="en-US"/>
        </w:rPr>
        <w:t>corresponding articles of the Regulation (EU) 2</w:t>
      </w:r>
      <w:r w:rsidR="0031127E" w:rsidRPr="0031127E">
        <w:rPr>
          <w:rFonts w:ascii="Calibri" w:eastAsia="Times New Roman" w:hAnsi="Calibri" w:cs="Calibri"/>
          <w:lang w:val="en-US"/>
        </w:rPr>
        <w:t>0</w:t>
      </w:r>
      <w:r w:rsidRPr="0031127E">
        <w:rPr>
          <w:rFonts w:ascii="Calibri" w:eastAsia="Times New Roman" w:hAnsi="Calibri" w:cs="Calibri"/>
          <w:lang w:val="en-US"/>
        </w:rPr>
        <w:t>17/746 on in vitro diagnostic medical devices (IVDR)</w:t>
      </w:r>
      <w:r w:rsidR="000D6CE4" w:rsidRPr="0031127E">
        <w:rPr>
          <w:rFonts w:ascii="Calibri" w:eastAsia="Times New Roman" w:hAnsi="Calibri" w:cs="Calibri"/>
          <w:lang w:val="en-US"/>
        </w:rPr>
        <w:t>, when</w:t>
      </w:r>
      <w:r w:rsidR="00A543B2">
        <w:rPr>
          <w:rFonts w:ascii="Calibri" w:eastAsia="Times New Roman" w:hAnsi="Calibri" w:cs="Calibri"/>
          <w:lang w:val="en-US"/>
        </w:rPr>
        <w:t xml:space="preserve"> an</w:t>
      </w:r>
      <w:r w:rsidR="000D6CE4" w:rsidRPr="0031127E">
        <w:rPr>
          <w:rFonts w:ascii="Calibri" w:eastAsia="Times New Roman" w:hAnsi="Calibri" w:cs="Calibri"/>
          <w:lang w:val="en-US"/>
        </w:rPr>
        <w:t xml:space="preserve"> </w:t>
      </w:r>
      <w:r w:rsidR="003D777C" w:rsidRPr="0031127E">
        <w:rPr>
          <w:rFonts w:ascii="Calibri" w:eastAsia="Times New Roman" w:hAnsi="Calibri" w:cs="Calibri"/>
          <w:lang w:val="en-US"/>
        </w:rPr>
        <w:t xml:space="preserve">IVDR-specific </w:t>
      </w:r>
      <w:r w:rsidR="00CF6652" w:rsidRPr="0031127E">
        <w:rPr>
          <w:rFonts w:ascii="Calibri" w:eastAsia="Times New Roman" w:hAnsi="Calibri" w:cs="Calibri"/>
          <w:lang w:val="en-US"/>
        </w:rPr>
        <w:t xml:space="preserve">Q&amp;A </w:t>
      </w:r>
      <w:r w:rsidR="00A543B2">
        <w:rPr>
          <w:rFonts w:ascii="Calibri" w:eastAsia="Times New Roman" w:hAnsi="Calibri" w:cs="Calibri"/>
          <w:lang w:val="en-US"/>
        </w:rPr>
        <w:t>document is not available</w:t>
      </w:r>
      <w:r w:rsidR="00EC41D5" w:rsidRPr="0031127E">
        <w:rPr>
          <w:rFonts w:ascii="Calibri" w:eastAsia="Times New Roman" w:hAnsi="Calibri" w:cs="Calibri"/>
          <w:lang w:val="en-US"/>
        </w:rPr>
        <w:t>.</w:t>
      </w:r>
    </w:p>
    <w:p w14:paraId="6C74778C" w14:textId="77777777" w:rsidR="00792D58" w:rsidRDefault="00792D58" w:rsidP="00B10642">
      <w:pPr>
        <w:spacing w:line="276" w:lineRule="auto"/>
        <w:jc w:val="both"/>
        <w:rPr>
          <w:rFonts w:ascii="Calibri" w:eastAsia="Times New Roman" w:hAnsi="Calibri" w:cs="Calibri"/>
          <w:lang w:val="en-US"/>
        </w:rPr>
      </w:pPr>
    </w:p>
    <w:p w14:paraId="4B1B1DB6" w14:textId="77777777" w:rsidR="00B10642" w:rsidRPr="00436E78" w:rsidRDefault="00B10642" w:rsidP="00436E78">
      <w:pPr>
        <w:jc w:val="both"/>
        <w:rPr>
          <w:rFonts w:ascii="Calibri" w:hAnsi="Calibri" w:cs="Calibri"/>
          <w:lang w:val="en-IE"/>
        </w:rPr>
      </w:pPr>
    </w:p>
    <w:p w14:paraId="6A4F9FAA" w14:textId="77777777" w:rsidR="00E030AB" w:rsidRPr="00436E78" w:rsidRDefault="00E030AB" w:rsidP="00436E78">
      <w:pPr>
        <w:pStyle w:val="ListParagraph"/>
        <w:numPr>
          <w:ilvl w:val="0"/>
          <w:numId w:val="1"/>
        </w:numPr>
        <w:jc w:val="both"/>
        <w:rPr>
          <w:rFonts w:ascii="Calibri" w:hAnsi="Calibri" w:cs="Calibri"/>
          <w:b/>
          <w:bCs/>
          <w:lang w:val="en-US"/>
        </w:rPr>
      </w:pPr>
      <w:r w:rsidRPr="00436E78">
        <w:rPr>
          <w:rFonts w:ascii="Calibri" w:hAnsi="Calibri" w:cs="Calibri"/>
          <w:b/>
          <w:bCs/>
          <w:lang w:val="en-US"/>
        </w:rPr>
        <w:t xml:space="preserve">What </w:t>
      </w:r>
      <w:r w:rsidR="000D6CE4">
        <w:rPr>
          <w:rFonts w:ascii="Calibri" w:hAnsi="Calibri" w:cs="Calibri"/>
          <w:b/>
          <w:bCs/>
          <w:lang w:val="en-US"/>
        </w:rPr>
        <w:t xml:space="preserve">shall </w:t>
      </w:r>
      <w:r w:rsidRPr="00436E78">
        <w:rPr>
          <w:rFonts w:ascii="Calibri" w:hAnsi="Calibri" w:cs="Calibri"/>
          <w:b/>
          <w:bCs/>
          <w:lang w:val="en-US"/>
        </w:rPr>
        <w:t xml:space="preserve">a </w:t>
      </w:r>
      <w:r w:rsidR="00FE4D46">
        <w:rPr>
          <w:rFonts w:ascii="Calibri" w:hAnsi="Calibri" w:cs="Calibri"/>
          <w:b/>
          <w:bCs/>
          <w:lang w:val="en-US"/>
        </w:rPr>
        <w:t>m</w:t>
      </w:r>
      <w:r w:rsidRPr="00436E78">
        <w:rPr>
          <w:rFonts w:ascii="Calibri" w:hAnsi="Calibri" w:cs="Calibri"/>
          <w:b/>
          <w:bCs/>
          <w:lang w:val="en-US"/>
        </w:rPr>
        <w:t xml:space="preserve">anufacturer report </w:t>
      </w:r>
      <w:r w:rsidR="00D41777">
        <w:rPr>
          <w:rFonts w:ascii="Calibri" w:hAnsi="Calibri" w:cs="Calibri"/>
          <w:b/>
          <w:bCs/>
          <w:lang w:val="en-US"/>
        </w:rPr>
        <w:t>with</w:t>
      </w:r>
      <w:r w:rsidR="00D41777" w:rsidRPr="00436E78">
        <w:rPr>
          <w:rFonts w:ascii="Calibri" w:hAnsi="Calibri" w:cs="Calibri"/>
          <w:b/>
          <w:bCs/>
          <w:lang w:val="en-US"/>
        </w:rPr>
        <w:t xml:space="preserve"> </w:t>
      </w:r>
      <w:r w:rsidRPr="00436E78">
        <w:rPr>
          <w:rFonts w:ascii="Calibri" w:hAnsi="Calibri" w:cs="Calibri"/>
          <w:b/>
          <w:bCs/>
          <w:lang w:val="en-US"/>
        </w:rPr>
        <w:t>a Trend Report?</w:t>
      </w:r>
    </w:p>
    <w:p w14:paraId="0BAD20B7" w14:textId="77777777" w:rsidR="00A63501" w:rsidRPr="00436E78" w:rsidRDefault="00A63501" w:rsidP="00436E78">
      <w:pPr>
        <w:jc w:val="both"/>
        <w:rPr>
          <w:rFonts w:ascii="Calibri" w:eastAsia="Times New Roman" w:hAnsi="Calibri" w:cs="Calibri"/>
          <w:lang w:val="en-US"/>
        </w:rPr>
      </w:pPr>
    </w:p>
    <w:p w14:paraId="0BCCCBCC" w14:textId="0F666C87" w:rsidR="00E030AB" w:rsidRDefault="00042938" w:rsidP="00E86E82">
      <w:pPr>
        <w:spacing w:line="276" w:lineRule="auto"/>
        <w:jc w:val="both"/>
        <w:rPr>
          <w:rFonts w:ascii="Calibri" w:hAnsi="Calibri" w:cs="Calibri"/>
          <w:lang w:val="en-US"/>
        </w:rPr>
      </w:pPr>
      <w:r>
        <w:rPr>
          <w:rFonts w:ascii="Calibri" w:eastAsia="Times New Roman" w:hAnsi="Calibri" w:cs="Calibri"/>
          <w:lang w:val="en-US"/>
        </w:rPr>
        <w:t>The Medical Device Regulation</w:t>
      </w:r>
      <w:r w:rsidR="00E030AB" w:rsidRPr="00436E78">
        <w:rPr>
          <w:rFonts w:ascii="Calibri" w:eastAsia="Times New Roman" w:hAnsi="Calibri" w:cs="Calibri"/>
          <w:lang w:val="en-US"/>
        </w:rPr>
        <w:t xml:space="preserve"> 2017</w:t>
      </w:r>
      <w:r w:rsidR="00C85C1E">
        <w:rPr>
          <w:rFonts w:ascii="Calibri" w:eastAsia="Times New Roman" w:hAnsi="Calibri" w:cs="Calibri"/>
          <w:lang w:val="en-US"/>
        </w:rPr>
        <w:t>/745</w:t>
      </w:r>
      <w:r w:rsidR="00E030AB" w:rsidRPr="00436E78">
        <w:rPr>
          <w:rFonts w:ascii="Calibri" w:eastAsia="Times New Roman" w:hAnsi="Calibri" w:cs="Calibri"/>
          <w:lang w:val="en-US"/>
        </w:rPr>
        <w:t xml:space="preserve"> </w:t>
      </w:r>
      <w:r w:rsidR="00C85C1E">
        <w:rPr>
          <w:rFonts w:ascii="Calibri" w:eastAsia="Times New Roman" w:hAnsi="Calibri" w:cs="Calibri"/>
          <w:lang w:val="en-US"/>
        </w:rPr>
        <w:t>A</w:t>
      </w:r>
      <w:r w:rsidR="00E030AB" w:rsidRPr="00436E78">
        <w:rPr>
          <w:rFonts w:ascii="Calibri" w:eastAsia="Times New Roman" w:hAnsi="Calibri" w:cs="Calibri"/>
          <w:lang w:val="en-US"/>
        </w:rPr>
        <w:t>rticle 88</w:t>
      </w:r>
      <w:r w:rsidR="00B83A05">
        <w:rPr>
          <w:rFonts w:ascii="Calibri" w:eastAsia="Times New Roman" w:hAnsi="Calibri" w:cs="Calibri"/>
          <w:lang w:val="en-US"/>
        </w:rPr>
        <w:t xml:space="preserve"> </w:t>
      </w:r>
      <w:r w:rsidR="00E030AB" w:rsidRPr="00436E78">
        <w:rPr>
          <w:rFonts w:ascii="Calibri" w:eastAsia="Times New Roman" w:hAnsi="Calibri" w:cs="Calibri"/>
          <w:lang w:val="en-US"/>
        </w:rPr>
        <w:t>(1)</w:t>
      </w:r>
      <w:r>
        <w:rPr>
          <w:rFonts w:ascii="Calibri" w:eastAsia="Times New Roman" w:hAnsi="Calibri" w:cs="Calibri"/>
          <w:lang w:val="en-US"/>
        </w:rPr>
        <w:t xml:space="preserve"> requires manufacturers to report as Trend Report, to the Competent Authorit</w:t>
      </w:r>
      <w:r w:rsidR="00D90B4C">
        <w:rPr>
          <w:rFonts w:ascii="Calibri" w:eastAsia="Times New Roman" w:hAnsi="Calibri" w:cs="Calibri"/>
          <w:lang w:val="en-US"/>
        </w:rPr>
        <w:t>ies where the incidents occurred (art.92(6) )</w:t>
      </w:r>
      <w:r>
        <w:rPr>
          <w:rFonts w:ascii="Calibri" w:eastAsia="Times New Roman" w:hAnsi="Calibri" w:cs="Calibri"/>
          <w:lang w:val="en-US"/>
        </w:rPr>
        <w:t>,</w:t>
      </w:r>
      <w:r w:rsidR="00E030AB" w:rsidRPr="00436E78">
        <w:rPr>
          <w:rFonts w:ascii="Calibri" w:eastAsia="Times New Roman" w:hAnsi="Calibri" w:cs="Calibri"/>
          <w:lang w:val="en-US"/>
        </w:rPr>
        <w:t xml:space="preserve"> </w:t>
      </w:r>
      <w:r w:rsidR="00E030AB" w:rsidRPr="00436E78">
        <w:rPr>
          <w:rFonts w:ascii="Calibri" w:hAnsi="Calibri" w:cs="Calibri"/>
          <w:lang w:val="en-US"/>
        </w:rPr>
        <w:t xml:space="preserve">any statistically significant increase in the frequency or severity of </w:t>
      </w:r>
      <w:r w:rsidR="00E030AB" w:rsidRPr="0031127E">
        <w:rPr>
          <w:rFonts w:ascii="Calibri" w:eastAsia="Times New Roman" w:hAnsi="Calibri" w:cs="Calibri"/>
          <w:lang w:val="en-US"/>
        </w:rPr>
        <w:t>incidents</w:t>
      </w:r>
      <w:r w:rsidR="0031127E" w:rsidRPr="0031127E">
        <w:rPr>
          <w:rFonts w:ascii="Calibri" w:eastAsia="Times New Roman" w:hAnsi="Calibri" w:cs="Calibri"/>
          <w:lang w:val="en-US"/>
        </w:rPr>
        <w:t>,</w:t>
      </w:r>
      <w:r w:rsidR="00E030AB" w:rsidRPr="0031127E">
        <w:rPr>
          <w:rFonts w:ascii="Calibri" w:eastAsia="Times New Roman" w:hAnsi="Calibri" w:cs="Calibri"/>
          <w:lang w:val="en-US"/>
        </w:rPr>
        <w:t xml:space="preserve"> </w:t>
      </w:r>
      <w:r w:rsidR="0031127E" w:rsidRPr="0031127E">
        <w:rPr>
          <w:rFonts w:ascii="Calibri" w:eastAsia="Times New Roman" w:hAnsi="Calibri" w:cs="Calibri"/>
          <w:lang w:val="en-US"/>
        </w:rPr>
        <w:t>that are not serious incidents</w:t>
      </w:r>
      <w:r w:rsidR="0031127E">
        <w:rPr>
          <w:rFonts w:ascii="Calibri" w:eastAsia="Times New Roman" w:hAnsi="Calibri" w:cs="Calibri"/>
          <w:lang w:val="en-US"/>
        </w:rPr>
        <w:t>,</w:t>
      </w:r>
      <w:r w:rsidR="0031127E" w:rsidRPr="0031127E">
        <w:rPr>
          <w:rFonts w:ascii="Calibri" w:eastAsia="Times New Roman" w:hAnsi="Calibri" w:cs="Calibri"/>
          <w:lang w:val="en-US"/>
        </w:rPr>
        <w:t xml:space="preserve"> or that are expected undesirable side-effects that could have a significant impact on the benefit-risk analysis</w:t>
      </w:r>
      <w:r w:rsidRPr="0031127E">
        <w:rPr>
          <w:rFonts w:ascii="Calibri" w:eastAsia="Times New Roman" w:hAnsi="Calibri" w:cs="Calibri"/>
          <w:lang w:val="en-US"/>
        </w:rPr>
        <w:t>.</w:t>
      </w:r>
      <w:r w:rsidR="00E030AB" w:rsidRPr="00436E78">
        <w:rPr>
          <w:rFonts w:ascii="Calibri" w:hAnsi="Calibri" w:cs="Calibri"/>
          <w:lang w:val="en-US"/>
        </w:rPr>
        <w:t xml:space="preserve"> </w:t>
      </w:r>
      <w:r>
        <w:rPr>
          <w:rFonts w:ascii="Calibri" w:hAnsi="Calibri" w:cs="Calibri"/>
          <w:lang w:val="en-US"/>
        </w:rPr>
        <w:t xml:space="preserve"> </w:t>
      </w:r>
      <w:r w:rsidR="00EE4018" w:rsidRPr="0031127E">
        <w:rPr>
          <w:lang w:val="en-US"/>
        </w:rPr>
        <w:t xml:space="preserve"> </w:t>
      </w:r>
      <w:r w:rsidR="00EE4018">
        <w:rPr>
          <w:lang w:val="en-US"/>
        </w:rPr>
        <w:t>T</w:t>
      </w:r>
      <w:r w:rsidR="00EE4018" w:rsidRPr="00EE4018">
        <w:rPr>
          <w:rFonts w:ascii="Calibri" w:hAnsi="Calibri" w:cs="Calibri"/>
          <w:lang w:val="en-US"/>
        </w:rPr>
        <w:t>he statistically significant increase shall be established in comparison to the foreseeable frequency or severity of such incidents in respect of the device, or category or group of devices, in question during a specific period as specified in the technical documentation and product information.</w:t>
      </w:r>
    </w:p>
    <w:p w14:paraId="4AB3173E" w14:textId="77777777" w:rsidR="00C574BE" w:rsidRDefault="00C574BE" w:rsidP="00E86E82">
      <w:pPr>
        <w:spacing w:line="276" w:lineRule="auto"/>
        <w:jc w:val="both"/>
        <w:rPr>
          <w:rFonts w:ascii="Calibri" w:hAnsi="Calibri" w:cs="Calibri"/>
          <w:lang w:val="en-US"/>
        </w:rPr>
      </w:pPr>
    </w:p>
    <w:p w14:paraId="538F7FF6" w14:textId="77777777" w:rsidR="003E0B6D" w:rsidRDefault="003E0B6D" w:rsidP="00E86E82">
      <w:pPr>
        <w:spacing w:line="276" w:lineRule="auto"/>
        <w:jc w:val="both"/>
        <w:rPr>
          <w:rFonts w:ascii="Calibri" w:eastAsia="Times New Roman" w:hAnsi="Calibri" w:cs="Calibri"/>
          <w:lang w:val="en-US"/>
        </w:rPr>
      </w:pPr>
      <w:r>
        <w:rPr>
          <w:rFonts w:ascii="Calibri" w:hAnsi="Calibri" w:cs="Calibri"/>
          <w:lang w:val="en-US"/>
        </w:rPr>
        <w:t xml:space="preserve">The In </w:t>
      </w:r>
      <w:r w:rsidR="00792D58">
        <w:rPr>
          <w:rFonts w:ascii="Calibri" w:hAnsi="Calibri" w:cs="Calibri"/>
          <w:lang w:val="en-US"/>
        </w:rPr>
        <w:t>V</w:t>
      </w:r>
      <w:r>
        <w:rPr>
          <w:rFonts w:ascii="Calibri" w:hAnsi="Calibri" w:cs="Calibri"/>
          <w:lang w:val="en-US"/>
        </w:rPr>
        <w:t xml:space="preserve">itro Medical Device Regulation 2017/746 Article 83 (1) requires </w:t>
      </w:r>
      <w:r>
        <w:rPr>
          <w:rFonts w:ascii="Calibri" w:eastAsia="Times New Roman" w:hAnsi="Calibri" w:cs="Calibri"/>
          <w:lang w:val="en-US"/>
        </w:rPr>
        <w:t>manufacturers to report as Trend Report, to the Evaluating Competent Authority,</w:t>
      </w:r>
      <w:r w:rsidRPr="00436E78">
        <w:rPr>
          <w:rFonts w:ascii="Calibri" w:eastAsia="Times New Roman" w:hAnsi="Calibri" w:cs="Calibri"/>
          <w:lang w:val="en-US"/>
        </w:rPr>
        <w:t xml:space="preserve"> </w:t>
      </w:r>
      <w:r w:rsidRPr="00436E78">
        <w:rPr>
          <w:rFonts w:ascii="Calibri" w:hAnsi="Calibri" w:cs="Calibri"/>
          <w:lang w:val="en-US"/>
        </w:rPr>
        <w:t xml:space="preserve">any statistically significant increase in the frequency or severity of </w:t>
      </w:r>
      <w:r w:rsidRPr="0031127E">
        <w:rPr>
          <w:rFonts w:ascii="Calibri" w:hAnsi="Calibri" w:cs="Calibri"/>
          <w:lang w:val="en-US"/>
        </w:rPr>
        <w:t xml:space="preserve">incidents or </w:t>
      </w:r>
      <w:r w:rsidRPr="0031127E">
        <w:rPr>
          <w:rFonts w:ascii="Calibri" w:eastAsia="Times New Roman" w:hAnsi="Calibri" w:cs="Calibri"/>
          <w:lang w:val="en-US"/>
        </w:rPr>
        <w:t>expected erroneous result</w:t>
      </w:r>
      <w:r>
        <w:rPr>
          <w:rFonts w:ascii="Calibri" w:eastAsia="Times New Roman" w:hAnsi="Calibri" w:cs="Calibri"/>
          <w:lang w:val="en-US"/>
        </w:rPr>
        <w:t xml:space="preserve"> </w:t>
      </w:r>
      <w:r w:rsidRPr="003E0B6D">
        <w:rPr>
          <w:rFonts w:ascii="Calibri" w:eastAsia="Times New Roman" w:hAnsi="Calibri" w:cs="Calibri"/>
          <w:lang w:val="en-US"/>
        </w:rPr>
        <w:t>established in comparison to the stated performance of the device as referred to in points (a) and (b) of Section 9.1 of Annex I and specified in the technical documentation and product information.</w:t>
      </w:r>
    </w:p>
    <w:p w14:paraId="432CE36C" w14:textId="77777777" w:rsidR="00C574BE" w:rsidRDefault="00C574BE" w:rsidP="00E86E82">
      <w:pPr>
        <w:spacing w:line="276" w:lineRule="auto"/>
        <w:jc w:val="both"/>
        <w:rPr>
          <w:rFonts w:ascii="Calibri" w:eastAsia="Times New Roman" w:hAnsi="Calibri" w:cs="Calibri"/>
          <w:lang w:val="en-US"/>
        </w:rPr>
      </w:pPr>
    </w:p>
    <w:p w14:paraId="2C1D8505" w14:textId="77777777" w:rsidR="00B83A05" w:rsidRDefault="003E0B6D" w:rsidP="00E86E82">
      <w:pPr>
        <w:spacing w:line="276" w:lineRule="auto"/>
        <w:jc w:val="both"/>
        <w:rPr>
          <w:rFonts w:ascii="Calibri" w:hAnsi="Calibri" w:cs="Calibri"/>
          <w:lang w:val="en-US"/>
        </w:rPr>
      </w:pPr>
      <w:r>
        <w:rPr>
          <w:rFonts w:ascii="Calibri" w:hAnsi="Calibri" w:cs="Calibri"/>
          <w:lang w:val="en-US"/>
        </w:rPr>
        <w:t xml:space="preserve">The Competent Authority shall be notified  in cases where a statistically significant increase  of incidents or expected undesirable side effects (MDR) or </w:t>
      </w:r>
      <w:r w:rsidRPr="003E0B6D">
        <w:rPr>
          <w:rFonts w:ascii="Calibri" w:eastAsia="Times New Roman" w:hAnsi="Calibri" w:cs="Calibri"/>
          <w:lang w:val="en-US"/>
        </w:rPr>
        <w:t>expected erroneous result (IVDR)</w:t>
      </w:r>
      <w:r>
        <w:rPr>
          <w:rFonts w:ascii="Calibri" w:hAnsi="Calibri" w:cs="Calibri"/>
          <w:lang w:val="en-US"/>
        </w:rPr>
        <w:t xml:space="preserve"> is detected and </w:t>
      </w:r>
      <w:r w:rsidRPr="00436E78">
        <w:rPr>
          <w:rFonts w:ascii="Calibri" w:hAnsi="Calibri" w:cs="Calibri"/>
          <w:lang w:val="en-US"/>
        </w:rPr>
        <w:t xml:space="preserve">that </w:t>
      </w:r>
      <w:r>
        <w:rPr>
          <w:rFonts w:ascii="Calibri" w:hAnsi="Calibri" w:cs="Calibri"/>
          <w:lang w:val="en-US"/>
        </w:rPr>
        <w:t xml:space="preserve">change </w:t>
      </w:r>
      <w:r w:rsidRPr="00436E78">
        <w:rPr>
          <w:rFonts w:ascii="Calibri" w:hAnsi="Calibri" w:cs="Calibri"/>
          <w:lang w:val="en-US"/>
        </w:rPr>
        <w:t>could have a significant impact on the benefit-risk analysis</w:t>
      </w:r>
      <w:r>
        <w:rPr>
          <w:rStyle w:val="FootnoteReference"/>
          <w:rFonts w:ascii="Calibri" w:hAnsi="Calibri" w:cs="Calibri"/>
          <w:lang w:val="en-US"/>
        </w:rPr>
        <w:footnoteReference w:id="2"/>
      </w:r>
      <w:r w:rsidRPr="00436E78">
        <w:rPr>
          <w:rFonts w:ascii="Calibri" w:hAnsi="Calibri" w:cs="Calibri"/>
          <w:lang w:val="en-US"/>
        </w:rPr>
        <w:t xml:space="preserve"> and which have led or may lead to risks to the health or safety of patients, users or other persons that are unacceptable when weighed against the intended benefits. Trends should be identified by the manufacturer as they can be indicative for a change in the risk-benefit ratio.</w:t>
      </w:r>
    </w:p>
    <w:p w14:paraId="0384E20B" w14:textId="77777777" w:rsidR="0031199E" w:rsidRDefault="0031199E" w:rsidP="0031199E">
      <w:pPr>
        <w:spacing w:line="276" w:lineRule="auto"/>
        <w:jc w:val="both"/>
        <w:rPr>
          <w:rFonts w:ascii="Calibri" w:eastAsia="Times New Roman" w:hAnsi="Calibri" w:cs="Calibri"/>
          <w:color w:val="000000" w:themeColor="text1"/>
          <w:lang w:val="en-US"/>
        </w:rPr>
      </w:pPr>
    </w:p>
    <w:p w14:paraId="1BE06F94" w14:textId="77777777" w:rsidR="0027190C" w:rsidRPr="00D77606" w:rsidRDefault="0027190C" w:rsidP="001A3F6C">
      <w:pPr>
        <w:rPr>
          <w:rFonts w:eastAsia="Times New Roman"/>
          <w:b/>
          <w:bCs/>
          <w:lang w:val="en-US"/>
        </w:rPr>
      </w:pPr>
    </w:p>
    <w:p w14:paraId="0C25415B" w14:textId="0C3AA463" w:rsidR="002D3FDF" w:rsidRPr="000D5C84" w:rsidRDefault="002D3FDF" w:rsidP="000D5C84">
      <w:pPr>
        <w:pStyle w:val="ListParagraph"/>
        <w:numPr>
          <w:ilvl w:val="0"/>
          <w:numId w:val="1"/>
        </w:numPr>
        <w:spacing w:after="160" w:line="276" w:lineRule="auto"/>
        <w:jc w:val="both"/>
        <w:rPr>
          <w:rFonts w:ascii="Calibri" w:hAnsi="Calibri" w:cs="Calibri"/>
          <w:b/>
          <w:lang w:val="en-US"/>
        </w:rPr>
      </w:pPr>
      <w:r w:rsidRPr="000D5C84">
        <w:rPr>
          <w:rFonts w:ascii="Calibri" w:hAnsi="Calibri" w:cs="Calibri"/>
          <w:b/>
          <w:lang w:val="en-US"/>
        </w:rPr>
        <w:t xml:space="preserve">When </w:t>
      </w:r>
      <w:r w:rsidR="00A543B2">
        <w:rPr>
          <w:rFonts w:ascii="Calibri" w:hAnsi="Calibri" w:cs="Calibri"/>
          <w:b/>
          <w:lang w:val="en-US"/>
        </w:rPr>
        <w:t>a</w:t>
      </w:r>
      <w:r w:rsidR="00A543B2" w:rsidRPr="000D5C84">
        <w:rPr>
          <w:rFonts w:ascii="Calibri" w:hAnsi="Calibri" w:cs="Calibri"/>
          <w:b/>
          <w:lang w:val="en-US"/>
        </w:rPr>
        <w:t xml:space="preserve"> </w:t>
      </w:r>
      <w:r w:rsidRPr="000D5C84">
        <w:rPr>
          <w:rFonts w:ascii="Calibri" w:hAnsi="Calibri" w:cs="Calibri"/>
          <w:b/>
          <w:lang w:val="en-US"/>
        </w:rPr>
        <w:t xml:space="preserve">manufacturer </w:t>
      </w:r>
      <w:r w:rsidR="00371B01">
        <w:rPr>
          <w:rFonts w:ascii="Calibri" w:hAnsi="Calibri" w:cs="Calibri"/>
          <w:b/>
          <w:lang w:val="en-US"/>
        </w:rPr>
        <w:t xml:space="preserve">should </w:t>
      </w:r>
      <w:r w:rsidRPr="000D5C84">
        <w:rPr>
          <w:rFonts w:ascii="Calibri" w:hAnsi="Calibri" w:cs="Calibri"/>
          <w:b/>
          <w:lang w:val="en-US"/>
        </w:rPr>
        <w:t>report incident</w:t>
      </w:r>
      <w:r w:rsidR="00A543B2">
        <w:rPr>
          <w:rFonts w:ascii="Calibri" w:hAnsi="Calibri" w:cs="Calibri"/>
          <w:b/>
          <w:lang w:val="en-US"/>
        </w:rPr>
        <w:t>s</w:t>
      </w:r>
      <w:r w:rsidR="00C574BE">
        <w:rPr>
          <w:rFonts w:ascii="Calibri" w:hAnsi="Calibri" w:cs="Calibri"/>
          <w:b/>
          <w:lang w:val="en-US"/>
        </w:rPr>
        <w:t>,</w:t>
      </w:r>
      <w:r w:rsidRPr="000D5C84">
        <w:rPr>
          <w:rFonts w:ascii="Calibri" w:hAnsi="Calibri" w:cs="Calibri"/>
          <w:b/>
          <w:lang w:val="en-US"/>
        </w:rPr>
        <w:t xml:space="preserve"> expected undesirable side effect</w:t>
      </w:r>
      <w:r w:rsidR="000D19B8">
        <w:rPr>
          <w:rFonts w:ascii="Calibri" w:hAnsi="Calibri" w:cs="Calibri"/>
          <w:b/>
          <w:lang w:val="en-US"/>
        </w:rPr>
        <w:t>s</w:t>
      </w:r>
      <w:r w:rsidRPr="000D5C84">
        <w:rPr>
          <w:rFonts w:ascii="Calibri" w:hAnsi="Calibri" w:cs="Calibri"/>
          <w:b/>
          <w:lang w:val="en-US"/>
        </w:rPr>
        <w:t xml:space="preserve"> </w:t>
      </w:r>
      <w:r w:rsidR="00C574BE">
        <w:rPr>
          <w:rFonts w:ascii="Calibri" w:hAnsi="Calibri" w:cs="Calibri"/>
          <w:b/>
          <w:lang w:val="en-US"/>
        </w:rPr>
        <w:t xml:space="preserve">or </w:t>
      </w:r>
      <w:r w:rsidR="00C574BE" w:rsidRPr="001A3F6C">
        <w:rPr>
          <w:rFonts w:ascii="Calibri" w:eastAsia="Times New Roman" w:hAnsi="Calibri" w:cs="Calibri"/>
          <w:b/>
          <w:lang w:val="en-US"/>
        </w:rPr>
        <w:t>expected erroneous result</w:t>
      </w:r>
      <w:r w:rsidR="000D19B8">
        <w:rPr>
          <w:rFonts w:ascii="Calibri" w:eastAsia="Times New Roman" w:hAnsi="Calibri" w:cs="Calibri"/>
          <w:b/>
          <w:lang w:val="en-US"/>
        </w:rPr>
        <w:t>s</w:t>
      </w:r>
      <w:r w:rsidR="00C574BE">
        <w:rPr>
          <w:rFonts w:ascii="Calibri" w:eastAsia="Times New Roman" w:hAnsi="Calibri" w:cs="Calibri"/>
          <w:lang w:val="en-US"/>
        </w:rPr>
        <w:t xml:space="preserve"> </w:t>
      </w:r>
      <w:r w:rsidRPr="000D5C84">
        <w:rPr>
          <w:rFonts w:ascii="Calibri" w:hAnsi="Calibri" w:cs="Calibri"/>
          <w:b/>
          <w:lang w:val="en-US"/>
        </w:rPr>
        <w:t xml:space="preserve">to a </w:t>
      </w:r>
      <w:r w:rsidR="00C54A21" w:rsidRPr="000D5C84">
        <w:rPr>
          <w:rFonts w:ascii="Calibri" w:hAnsi="Calibri" w:cs="Calibri"/>
          <w:b/>
          <w:lang w:val="en-US"/>
        </w:rPr>
        <w:t>Competent Authority</w:t>
      </w:r>
      <w:r w:rsidRPr="000D5C84">
        <w:rPr>
          <w:rFonts w:ascii="Calibri" w:hAnsi="Calibri" w:cs="Calibri"/>
          <w:b/>
          <w:lang w:val="en-US"/>
        </w:rPr>
        <w:t xml:space="preserve"> using a Trend Report?</w:t>
      </w:r>
    </w:p>
    <w:p w14:paraId="0C490991" w14:textId="77777777" w:rsidR="00C54A21" w:rsidRDefault="00B02522" w:rsidP="000E35CA">
      <w:pPr>
        <w:spacing w:after="160" w:line="276" w:lineRule="auto"/>
        <w:jc w:val="both"/>
        <w:rPr>
          <w:rFonts w:ascii="Calibri" w:hAnsi="Calibri" w:cs="Calibri"/>
          <w:bCs/>
          <w:lang w:val="en-US"/>
        </w:rPr>
      </w:pPr>
      <w:r w:rsidRPr="00436E78">
        <w:rPr>
          <w:rFonts w:ascii="Calibri" w:hAnsi="Calibri" w:cs="Calibri"/>
          <w:bCs/>
          <w:lang w:val="en-US"/>
        </w:rPr>
        <w:t>The manufacturer has to record incident</w:t>
      </w:r>
      <w:r w:rsidR="002D3FDF" w:rsidRPr="00436E78">
        <w:rPr>
          <w:rFonts w:ascii="Calibri" w:hAnsi="Calibri" w:cs="Calibri"/>
          <w:bCs/>
          <w:lang w:val="en-US"/>
        </w:rPr>
        <w:t xml:space="preserve">s </w:t>
      </w:r>
      <w:r w:rsidR="002D3FDF" w:rsidRPr="00C54A21">
        <w:rPr>
          <w:rFonts w:ascii="Calibri" w:hAnsi="Calibri" w:cs="Calibri"/>
          <w:bCs/>
          <w:lang w:val="en-US"/>
        </w:rPr>
        <w:t xml:space="preserve">and </w:t>
      </w:r>
      <w:r w:rsidR="0002310E" w:rsidRPr="0002310E">
        <w:rPr>
          <w:rFonts w:ascii="Calibri" w:hAnsi="Calibri" w:cs="Calibri"/>
          <w:bCs/>
          <w:lang w:val="en-US"/>
        </w:rPr>
        <w:t xml:space="preserve">expected undesirable </w:t>
      </w:r>
      <w:r w:rsidR="002D3FDF" w:rsidRPr="00C54A21">
        <w:rPr>
          <w:rFonts w:ascii="Calibri" w:hAnsi="Calibri" w:cs="Calibri"/>
          <w:bCs/>
          <w:lang w:val="en-US"/>
        </w:rPr>
        <w:t>side effects</w:t>
      </w:r>
      <w:r w:rsidRPr="00C54A21">
        <w:rPr>
          <w:rFonts w:ascii="Calibri" w:hAnsi="Calibri" w:cs="Calibri"/>
          <w:bCs/>
          <w:lang w:val="en-US"/>
        </w:rPr>
        <w:t xml:space="preserve"> </w:t>
      </w:r>
      <w:r w:rsidRPr="00436E78">
        <w:rPr>
          <w:rFonts w:ascii="Calibri" w:hAnsi="Calibri" w:cs="Calibri"/>
          <w:bCs/>
          <w:lang w:val="en-US"/>
        </w:rPr>
        <w:t xml:space="preserve">in accordance with </w:t>
      </w:r>
      <w:r w:rsidR="002D3FDF" w:rsidRPr="00436E78">
        <w:rPr>
          <w:rFonts w:ascii="Calibri" w:hAnsi="Calibri" w:cs="Calibri"/>
          <w:bCs/>
          <w:lang w:val="en-US"/>
        </w:rPr>
        <w:t xml:space="preserve">Articles </w:t>
      </w:r>
      <w:r w:rsidRPr="00436E78">
        <w:rPr>
          <w:rFonts w:ascii="Calibri" w:hAnsi="Calibri" w:cs="Calibri"/>
          <w:bCs/>
          <w:lang w:val="en-US"/>
        </w:rPr>
        <w:t>83-86 of the MDR</w:t>
      </w:r>
      <w:r w:rsidR="007C0A6D">
        <w:rPr>
          <w:rFonts w:ascii="Calibri" w:hAnsi="Calibri" w:cs="Calibri"/>
          <w:bCs/>
          <w:lang w:val="en-US"/>
        </w:rPr>
        <w:t xml:space="preserve"> prescription for the post market surveillance</w:t>
      </w:r>
      <w:r w:rsidRPr="00436E78">
        <w:rPr>
          <w:rFonts w:ascii="Calibri" w:hAnsi="Calibri" w:cs="Calibri"/>
          <w:bCs/>
          <w:lang w:val="en-US"/>
        </w:rPr>
        <w:t>.</w:t>
      </w:r>
      <w:r w:rsidR="00E40ECD" w:rsidRPr="00436E78">
        <w:rPr>
          <w:rFonts w:ascii="Calibri" w:hAnsi="Calibri" w:cs="Calibri"/>
          <w:bCs/>
          <w:lang w:val="en-US"/>
        </w:rPr>
        <w:t xml:space="preserve"> </w:t>
      </w:r>
    </w:p>
    <w:p w14:paraId="6900BA6B" w14:textId="77777777" w:rsidR="00B02522" w:rsidRPr="00436E78" w:rsidRDefault="006C286C" w:rsidP="000E35CA">
      <w:pPr>
        <w:spacing w:after="160" w:line="276" w:lineRule="auto"/>
        <w:jc w:val="both"/>
        <w:rPr>
          <w:rFonts w:ascii="Calibri" w:hAnsi="Calibri" w:cs="Calibri"/>
          <w:bCs/>
          <w:lang w:val="en-US"/>
        </w:rPr>
      </w:pPr>
      <w:r>
        <w:rPr>
          <w:rFonts w:ascii="Calibri" w:hAnsi="Calibri" w:cs="Calibri"/>
          <w:bCs/>
          <w:lang w:val="en-US"/>
        </w:rPr>
        <w:t>A</w:t>
      </w:r>
      <w:r w:rsidR="00E40ECD" w:rsidRPr="00436E78">
        <w:rPr>
          <w:rFonts w:ascii="Calibri" w:hAnsi="Calibri" w:cs="Calibri"/>
          <w:bCs/>
          <w:lang w:val="en-US"/>
        </w:rPr>
        <w:t>s specified in the Article 83 (2</w:t>
      </w:r>
      <w:r w:rsidR="00B81974" w:rsidRPr="00436E78">
        <w:rPr>
          <w:rFonts w:ascii="Calibri" w:hAnsi="Calibri" w:cs="Calibri"/>
          <w:bCs/>
          <w:lang w:val="en-US"/>
        </w:rPr>
        <w:t>)</w:t>
      </w:r>
      <w:r w:rsidR="00C905EC">
        <w:rPr>
          <w:rFonts w:ascii="Calibri" w:hAnsi="Calibri" w:cs="Calibri"/>
          <w:bCs/>
          <w:lang w:val="en-US"/>
        </w:rPr>
        <w:t xml:space="preserve"> of the MDR,</w:t>
      </w:r>
      <w:r w:rsidR="00E40ECD" w:rsidRPr="00436E78">
        <w:rPr>
          <w:rFonts w:ascii="Calibri" w:hAnsi="Calibri" w:cs="Calibri"/>
          <w:bCs/>
          <w:lang w:val="en-US"/>
        </w:rPr>
        <w:t xml:space="preserve"> </w:t>
      </w:r>
      <w:r w:rsidR="00C905EC">
        <w:rPr>
          <w:rFonts w:ascii="Calibri" w:hAnsi="Calibri" w:cs="Calibri"/>
          <w:bCs/>
          <w:lang w:val="en-US"/>
        </w:rPr>
        <w:t>a</w:t>
      </w:r>
      <w:r w:rsidR="00C905EC" w:rsidRPr="00436E78">
        <w:rPr>
          <w:rFonts w:ascii="Calibri" w:hAnsi="Calibri" w:cs="Calibri"/>
          <w:bCs/>
          <w:lang w:val="en-US"/>
        </w:rPr>
        <w:t xml:space="preserve"> </w:t>
      </w:r>
      <w:r w:rsidR="00C54A21">
        <w:rPr>
          <w:rFonts w:ascii="Calibri" w:hAnsi="Calibri" w:cs="Calibri"/>
          <w:bCs/>
          <w:lang w:val="en-US"/>
        </w:rPr>
        <w:t>m</w:t>
      </w:r>
      <w:r w:rsidR="00E40ECD" w:rsidRPr="00436E78">
        <w:rPr>
          <w:rFonts w:ascii="Calibri" w:hAnsi="Calibri" w:cs="Calibri"/>
          <w:bCs/>
          <w:lang w:val="en-US"/>
        </w:rPr>
        <w:t>anufacturer</w:t>
      </w:r>
      <w:r w:rsidR="00B81974" w:rsidRPr="00436E78">
        <w:rPr>
          <w:rFonts w:ascii="Calibri" w:hAnsi="Calibri" w:cs="Calibri"/>
          <w:bCs/>
          <w:lang w:val="en-US"/>
        </w:rPr>
        <w:t xml:space="preserve"> in its post market surveillance system ha</w:t>
      </w:r>
      <w:r w:rsidR="00B701B6">
        <w:rPr>
          <w:rFonts w:ascii="Calibri" w:hAnsi="Calibri" w:cs="Calibri"/>
          <w:bCs/>
          <w:lang w:val="en-US"/>
        </w:rPr>
        <w:t>s</w:t>
      </w:r>
      <w:r w:rsidR="00B81974" w:rsidRPr="00436E78">
        <w:rPr>
          <w:rFonts w:ascii="Calibri" w:hAnsi="Calibri" w:cs="Calibri"/>
          <w:bCs/>
          <w:lang w:val="en-US"/>
        </w:rPr>
        <w:t xml:space="preserve"> to</w:t>
      </w:r>
      <w:r w:rsidR="00B81974" w:rsidRPr="00436E78">
        <w:rPr>
          <w:rFonts w:ascii="Calibri" w:hAnsi="Calibri" w:cs="Calibri"/>
          <w:lang w:val="en-US"/>
        </w:rPr>
        <w:t xml:space="preserve"> </w:t>
      </w:r>
      <w:r w:rsidR="00300FA0" w:rsidRPr="00300FA0">
        <w:rPr>
          <w:rFonts w:ascii="Calibri" w:hAnsi="Calibri" w:cs="Calibri"/>
          <w:lang w:val="en-US"/>
        </w:rPr>
        <w:t>gather</w:t>
      </w:r>
      <w:r w:rsidR="00300FA0">
        <w:rPr>
          <w:rFonts w:ascii="Calibri" w:hAnsi="Calibri" w:cs="Calibri"/>
          <w:lang w:val="en-US"/>
        </w:rPr>
        <w:t xml:space="preserve">, </w:t>
      </w:r>
      <w:r w:rsidR="00B81974" w:rsidRPr="00436E78">
        <w:rPr>
          <w:rFonts w:ascii="Calibri" w:hAnsi="Calibri" w:cs="Calibri"/>
          <w:bCs/>
          <w:lang w:val="en-US"/>
        </w:rPr>
        <w:t>record, analyze</w:t>
      </w:r>
      <w:r w:rsidR="00C54A21">
        <w:rPr>
          <w:rFonts w:ascii="Calibri" w:hAnsi="Calibri" w:cs="Calibri"/>
          <w:bCs/>
          <w:lang w:val="en-US"/>
        </w:rPr>
        <w:t>,</w:t>
      </w:r>
      <w:r w:rsidR="00B81974" w:rsidRPr="00436E78">
        <w:rPr>
          <w:rFonts w:ascii="Calibri" w:hAnsi="Calibri" w:cs="Calibri"/>
          <w:bCs/>
          <w:lang w:val="en-US"/>
        </w:rPr>
        <w:t xml:space="preserve"> actively and systematically</w:t>
      </w:r>
      <w:r w:rsidR="00C54A21">
        <w:rPr>
          <w:rFonts w:ascii="Calibri" w:hAnsi="Calibri" w:cs="Calibri"/>
          <w:bCs/>
          <w:lang w:val="en-US"/>
        </w:rPr>
        <w:t>,</w:t>
      </w:r>
      <w:r w:rsidR="00B81974" w:rsidRPr="00436E78">
        <w:rPr>
          <w:rFonts w:ascii="Calibri" w:hAnsi="Calibri" w:cs="Calibri"/>
          <w:bCs/>
          <w:lang w:val="en-US"/>
        </w:rPr>
        <w:t xml:space="preserve"> any relevant data on the quality, performance and safety of a device throughout its entire lifetime, in order to be able to draw the necessary conclusions and to determining, implementing and monitoring any preventive and corrective actions.</w:t>
      </w:r>
      <w:r w:rsidR="00FC5B86" w:rsidRPr="00436E78">
        <w:rPr>
          <w:rFonts w:ascii="Calibri" w:hAnsi="Calibri" w:cs="Calibri"/>
          <w:bCs/>
          <w:lang w:val="en-US"/>
        </w:rPr>
        <w:t xml:space="preserve"> As also specif</w:t>
      </w:r>
      <w:r w:rsidR="00B701B6">
        <w:rPr>
          <w:rFonts w:ascii="Calibri" w:hAnsi="Calibri" w:cs="Calibri"/>
          <w:bCs/>
          <w:lang w:val="en-US"/>
        </w:rPr>
        <w:t>ied</w:t>
      </w:r>
      <w:r w:rsidR="00FC5B86" w:rsidRPr="00436E78">
        <w:rPr>
          <w:rFonts w:ascii="Calibri" w:hAnsi="Calibri" w:cs="Calibri"/>
          <w:bCs/>
          <w:lang w:val="en-US"/>
        </w:rPr>
        <w:t xml:space="preserve"> in the </w:t>
      </w:r>
      <w:r w:rsidR="00C54A21">
        <w:rPr>
          <w:rFonts w:ascii="Calibri" w:hAnsi="Calibri" w:cs="Calibri"/>
          <w:bCs/>
          <w:lang w:val="en-US"/>
        </w:rPr>
        <w:t>A</w:t>
      </w:r>
      <w:r w:rsidR="00FC5B86" w:rsidRPr="00436E78">
        <w:rPr>
          <w:rFonts w:ascii="Calibri" w:hAnsi="Calibri" w:cs="Calibri"/>
          <w:bCs/>
          <w:lang w:val="en-US"/>
        </w:rPr>
        <w:t>rticle 83 (3)</w:t>
      </w:r>
      <w:r w:rsidR="00C905EC">
        <w:rPr>
          <w:rFonts w:ascii="Calibri" w:hAnsi="Calibri" w:cs="Calibri"/>
          <w:bCs/>
          <w:lang w:val="en-US"/>
        </w:rPr>
        <w:t xml:space="preserve"> of the MDR</w:t>
      </w:r>
      <w:r w:rsidR="00055585">
        <w:rPr>
          <w:rFonts w:ascii="Calibri" w:hAnsi="Calibri" w:cs="Calibri"/>
          <w:bCs/>
          <w:lang w:val="en-US"/>
        </w:rPr>
        <w:t>,</w:t>
      </w:r>
      <w:r w:rsidR="00FC5B86" w:rsidRPr="00436E78">
        <w:rPr>
          <w:rFonts w:ascii="Calibri" w:hAnsi="Calibri" w:cs="Calibri"/>
          <w:bCs/>
          <w:lang w:val="en-US"/>
        </w:rPr>
        <w:t xml:space="preserve"> </w:t>
      </w:r>
      <w:r w:rsidR="00C54A21">
        <w:rPr>
          <w:rFonts w:ascii="Calibri" w:hAnsi="Calibri" w:cs="Calibri"/>
          <w:bCs/>
          <w:lang w:val="en-US"/>
        </w:rPr>
        <w:t>d</w:t>
      </w:r>
      <w:r w:rsidR="00FC5B86" w:rsidRPr="00436E78">
        <w:rPr>
          <w:rFonts w:ascii="Calibri" w:hAnsi="Calibri" w:cs="Calibri"/>
          <w:bCs/>
          <w:lang w:val="en-US"/>
        </w:rPr>
        <w:t xml:space="preserve">ata gathered by the </w:t>
      </w:r>
      <w:r w:rsidR="00FC5B86" w:rsidRPr="00436E78">
        <w:rPr>
          <w:rFonts w:ascii="Calibri" w:hAnsi="Calibri" w:cs="Calibri"/>
          <w:bCs/>
          <w:lang w:val="en-US"/>
        </w:rPr>
        <w:lastRenderedPageBreak/>
        <w:t>manufacturer's post-market surveillance system shall</w:t>
      </w:r>
      <w:r w:rsidR="005D5B71">
        <w:rPr>
          <w:rFonts w:ascii="Calibri" w:hAnsi="Calibri" w:cs="Calibri"/>
          <w:bCs/>
          <w:lang w:val="en-US"/>
        </w:rPr>
        <w:t>, among other things,</w:t>
      </w:r>
      <w:r w:rsidR="00FC5B86" w:rsidRPr="00436E78">
        <w:rPr>
          <w:rFonts w:ascii="Calibri" w:hAnsi="Calibri" w:cs="Calibri"/>
          <w:bCs/>
          <w:lang w:val="en-US"/>
        </w:rPr>
        <w:t xml:space="preserve"> be used to detect and report trends in accordance with Article 88</w:t>
      </w:r>
      <w:r w:rsidR="00C905EC">
        <w:rPr>
          <w:rFonts w:ascii="Calibri" w:hAnsi="Calibri" w:cs="Calibri"/>
          <w:bCs/>
          <w:lang w:val="en-US"/>
        </w:rPr>
        <w:t xml:space="preserve"> of the MDR</w:t>
      </w:r>
      <w:r w:rsidR="00FC5B86" w:rsidRPr="00436E78">
        <w:rPr>
          <w:rFonts w:ascii="Calibri" w:hAnsi="Calibri" w:cs="Calibri"/>
          <w:bCs/>
          <w:lang w:val="en-US"/>
        </w:rPr>
        <w:t>.</w:t>
      </w:r>
    </w:p>
    <w:p w14:paraId="5BFC844B" w14:textId="77777777" w:rsidR="00A526DC" w:rsidRDefault="00A526DC" w:rsidP="000E35CA">
      <w:pPr>
        <w:spacing w:after="160" w:line="276" w:lineRule="auto"/>
        <w:jc w:val="both"/>
        <w:rPr>
          <w:rFonts w:ascii="Calibri" w:hAnsi="Calibri" w:cs="Calibri"/>
          <w:bCs/>
          <w:lang w:val="en-US"/>
        </w:rPr>
      </w:pPr>
      <w:r w:rsidRPr="00436E78">
        <w:rPr>
          <w:rFonts w:ascii="Calibri" w:hAnsi="Calibri" w:cs="Calibri"/>
          <w:bCs/>
          <w:lang w:val="en-US"/>
        </w:rPr>
        <w:t>Whenever a</w:t>
      </w:r>
      <w:r w:rsidR="00C54A21">
        <w:rPr>
          <w:rFonts w:ascii="Calibri" w:hAnsi="Calibri" w:cs="Calibri"/>
          <w:bCs/>
          <w:lang w:val="en-US"/>
        </w:rPr>
        <w:t xml:space="preserve"> </w:t>
      </w:r>
      <w:r w:rsidR="00C54A21" w:rsidRPr="00C54A21">
        <w:rPr>
          <w:rFonts w:ascii="Calibri" w:hAnsi="Calibri" w:cs="Calibri"/>
          <w:bCs/>
          <w:u w:val="single"/>
          <w:lang w:val="en-US"/>
        </w:rPr>
        <w:t>statistically significant</w:t>
      </w:r>
      <w:r w:rsidRPr="00C54A21">
        <w:rPr>
          <w:rFonts w:ascii="Calibri" w:hAnsi="Calibri" w:cs="Calibri"/>
          <w:bCs/>
          <w:u w:val="single"/>
          <w:lang w:val="en-US"/>
        </w:rPr>
        <w:t xml:space="preserve"> increase</w:t>
      </w:r>
      <w:r w:rsidRPr="00436E78">
        <w:rPr>
          <w:rFonts w:ascii="Calibri" w:hAnsi="Calibri" w:cs="Calibri"/>
          <w:bCs/>
          <w:u w:val="single"/>
          <w:lang w:val="en-US"/>
        </w:rPr>
        <w:t xml:space="preserve"> in the frequency or severity </w:t>
      </w:r>
      <w:r w:rsidRPr="00436E78">
        <w:rPr>
          <w:rFonts w:ascii="Calibri" w:hAnsi="Calibri" w:cs="Calibri"/>
          <w:bCs/>
          <w:lang w:val="en-US"/>
        </w:rPr>
        <w:t xml:space="preserve">of </w:t>
      </w:r>
      <w:r w:rsidR="00C37871" w:rsidRPr="00C22F25">
        <w:rPr>
          <w:rFonts w:ascii="Calibri" w:hAnsi="Calibri" w:cs="Calibri"/>
          <w:bCs/>
          <w:lang w:val="en-US"/>
        </w:rPr>
        <w:t>no</w:t>
      </w:r>
      <w:r w:rsidR="00C37871">
        <w:rPr>
          <w:rFonts w:ascii="Calibri" w:hAnsi="Calibri" w:cs="Calibri"/>
          <w:bCs/>
          <w:lang w:val="en-US"/>
        </w:rPr>
        <w:t>n</w:t>
      </w:r>
      <w:r w:rsidR="00011108">
        <w:rPr>
          <w:rFonts w:ascii="Calibri" w:hAnsi="Calibri" w:cs="Calibri"/>
          <w:bCs/>
          <w:lang w:val="en-US"/>
        </w:rPr>
        <w:t>-</w:t>
      </w:r>
      <w:r w:rsidR="00C22F25" w:rsidRPr="00C22F25">
        <w:rPr>
          <w:rFonts w:ascii="Calibri" w:hAnsi="Calibri" w:cs="Calibri"/>
          <w:bCs/>
          <w:lang w:val="en-US"/>
        </w:rPr>
        <w:t xml:space="preserve">serious </w:t>
      </w:r>
      <w:r w:rsidRPr="00436E78">
        <w:rPr>
          <w:rFonts w:ascii="Calibri" w:hAnsi="Calibri" w:cs="Calibri"/>
          <w:bCs/>
          <w:lang w:val="en-US"/>
        </w:rPr>
        <w:t>incidents</w:t>
      </w:r>
      <w:r w:rsidR="00C54A21">
        <w:rPr>
          <w:rFonts w:ascii="Calibri" w:hAnsi="Calibri" w:cs="Calibri"/>
          <w:bCs/>
          <w:lang w:val="en-US"/>
        </w:rPr>
        <w:t xml:space="preserve"> </w:t>
      </w:r>
      <w:r w:rsidRPr="00436E78">
        <w:rPr>
          <w:rFonts w:ascii="Calibri" w:hAnsi="Calibri" w:cs="Calibri"/>
          <w:bCs/>
          <w:lang w:val="en-US"/>
        </w:rPr>
        <w:t xml:space="preserve">or </w:t>
      </w:r>
      <w:r w:rsidR="00C54A21">
        <w:rPr>
          <w:rFonts w:ascii="Calibri" w:hAnsi="Calibri" w:cs="Calibri"/>
          <w:bCs/>
          <w:lang w:val="en-US"/>
        </w:rPr>
        <w:t>of</w:t>
      </w:r>
      <w:r w:rsidRPr="00436E78">
        <w:rPr>
          <w:rFonts w:ascii="Calibri" w:hAnsi="Calibri" w:cs="Calibri"/>
          <w:bCs/>
          <w:lang w:val="en-US"/>
        </w:rPr>
        <w:t xml:space="preserve"> expected undesirable</w:t>
      </w:r>
      <w:r w:rsidR="000C7B99">
        <w:rPr>
          <w:rFonts w:ascii="Calibri" w:hAnsi="Calibri" w:cs="Calibri"/>
          <w:bCs/>
          <w:lang w:val="en-US"/>
        </w:rPr>
        <w:t xml:space="preserve"> </w:t>
      </w:r>
      <w:r w:rsidRPr="00436E78">
        <w:rPr>
          <w:rFonts w:ascii="Calibri" w:hAnsi="Calibri" w:cs="Calibri"/>
          <w:bCs/>
          <w:lang w:val="en-US"/>
        </w:rPr>
        <w:t xml:space="preserve">side effects </w:t>
      </w:r>
      <w:r w:rsidR="000C7B99">
        <w:rPr>
          <w:rFonts w:ascii="Calibri" w:hAnsi="Calibri" w:cs="Calibri"/>
          <w:bCs/>
          <w:lang w:val="en-US"/>
        </w:rPr>
        <w:t xml:space="preserve">or </w:t>
      </w:r>
      <w:r w:rsidR="000C7B99" w:rsidRPr="000C7B99">
        <w:rPr>
          <w:rFonts w:ascii="Calibri" w:hAnsi="Calibri" w:cs="Calibri"/>
          <w:bCs/>
          <w:lang w:val="en-US"/>
        </w:rPr>
        <w:t xml:space="preserve">expected erroneous result </w:t>
      </w:r>
      <w:r w:rsidR="00B176B0">
        <w:rPr>
          <w:rFonts w:ascii="Calibri" w:hAnsi="Calibri" w:cs="Calibri"/>
          <w:bCs/>
          <w:lang w:val="en-US"/>
        </w:rPr>
        <w:t xml:space="preserve">is detected and </w:t>
      </w:r>
      <w:r w:rsidRPr="00436E78">
        <w:rPr>
          <w:rFonts w:ascii="Calibri" w:hAnsi="Calibri" w:cs="Calibri"/>
          <w:bCs/>
          <w:lang w:val="en-US"/>
        </w:rPr>
        <w:t xml:space="preserve">results in a change of the risk evaluation and </w:t>
      </w:r>
      <w:r w:rsidR="00F478E5">
        <w:rPr>
          <w:rFonts w:ascii="Calibri" w:hAnsi="Calibri" w:cs="Calibri"/>
          <w:bCs/>
          <w:lang w:val="en-US"/>
        </w:rPr>
        <w:t>has</w:t>
      </w:r>
      <w:r w:rsidR="00F478E5" w:rsidRPr="00436E78">
        <w:rPr>
          <w:rFonts w:ascii="Calibri" w:hAnsi="Calibri" w:cs="Calibri"/>
          <w:bCs/>
          <w:lang w:val="en-US"/>
        </w:rPr>
        <w:t xml:space="preserve"> </w:t>
      </w:r>
      <w:r w:rsidRPr="00436E78">
        <w:rPr>
          <w:rFonts w:ascii="Calibri" w:hAnsi="Calibri" w:cs="Calibri"/>
          <w:bCs/>
          <w:lang w:val="en-US"/>
        </w:rPr>
        <w:t xml:space="preserve">a significant impact on the benefit-risk analysis, the manufacturer shall draw up a trend report as defined in the </w:t>
      </w:r>
      <w:r w:rsidR="00B176B0">
        <w:rPr>
          <w:rFonts w:ascii="Calibri" w:hAnsi="Calibri" w:cs="Calibri"/>
          <w:bCs/>
          <w:lang w:val="en-US"/>
        </w:rPr>
        <w:t>A</w:t>
      </w:r>
      <w:r w:rsidRPr="00436E78">
        <w:rPr>
          <w:rFonts w:ascii="Calibri" w:hAnsi="Calibri" w:cs="Calibri"/>
          <w:bCs/>
          <w:lang w:val="en-US"/>
        </w:rPr>
        <w:t>rt</w:t>
      </w:r>
      <w:r w:rsidR="00B176B0">
        <w:rPr>
          <w:rFonts w:ascii="Calibri" w:hAnsi="Calibri" w:cs="Calibri"/>
          <w:bCs/>
          <w:lang w:val="en-US"/>
        </w:rPr>
        <w:t xml:space="preserve">icle </w:t>
      </w:r>
      <w:r w:rsidRPr="00436E78">
        <w:rPr>
          <w:rFonts w:ascii="Calibri" w:hAnsi="Calibri" w:cs="Calibri"/>
          <w:bCs/>
          <w:lang w:val="en-US"/>
        </w:rPr>
        <w:t>88</w:t>
      </w:r>
      <w:r w:rsidR="00355A26">
        <w:rPr>
          <w:rFonts w:ascii="Calibri" w:hAnsi="Calibri" w:cs="Calibri"/>
          <w:bCs/>
          <w:lang w:val="en-US"/>
        </w:rPr>
        <w:t>/83</w:t>
      </w:r>
      <w:r w:rsidR="00B176B0">
        <w:rPr>
          <w:rFonts w:ascii="Calibri" w:hAnsi="Calibri" w:cs="Calibri"/>
          <w:bCs/>
          <w:lang w:val="en-US"/>
        </w:rPr>
        <w:t xml:space="preserve"> of the MDR</w:t>
      </w:r>
      <w:r w:rsidR="00355A26">
        <w:rPr>
          <w:rFonts w:ascii="Calibri" w:hAnsi="Calibri" w:cs="Calibri"/>
          <w:bCs/>
          <w:lang w:val="en-US"/>
        </w:rPr>
        <w:t>/IVDR</w:t>
      </w:r>
      <w:r w:rsidRPr="00436E78">
        <w:rPr>
          <w:rFonts w:ascii="Calibri" w:hAnsi="Calibri" w:cs="Calibri"/>
          <w:bCs/>
          <w:lang w:val="en-US"/>
        </w:rPr>
        <w:t>.</w:t>
      </w:r>
    </w:p>
    <w:p w14:paraId="016C20E5" w14:textId="77777777" w:rsidR="004C6469" w:rsidRPr="00436E78" w:rsidRDefault="004C6469" w:rsidP="000E35CA">
      <w:pPr>
        <w:spacing w:after="160" w:line="276" w:lineRule="auto"/>
        <w:jc w:val="both"/>
        <w:rPr>
          <w:rFonts w:ascii="Calibri" w:hAnsi="Calibri" w:cs="Calibri"/>
          <w:bCs/>
          <w:lang w:val="en-US"/>
        </w:rPr>
      </w:pPr>
      <w:r w:rsidRPr="004C6469">
        <w:rPr>
          <w:rFonts w:ascii="Calibri" w:hAnsi="Calibri" w:cs="Calibri"/>
          <w:bCs/>
          <w:lang w:val="en-US"/>
        </w:rPr>
        <w:t>It is worth mentioning that while assessing the increase in the events frequency and severity, it is implied that the risk management system must be based on quantitative categorization of probability of occurrence of harm and severity of harm versus the option to use either qualitative or quantitative categorization as required by ISO 14971: Medical devices - Application of risk management to medical devices.</w:t>
      </w:r>
    </w:p>
    <w:p w14:paraId="2C369708" w14:textId="77777777" w:rsidR="00E80F92" w:rsidRDefault="00A526DC" w:rsidP="00E80F92">
      <w:pPr>
        <w:spacing w:after="160" w:line="276" w:lineRule="auto"/>
        <w:jc w:val="both"/>
        <w:rPr>
          <w:rFonts w:ascii="Calibri" w:hAnsi="Calibri" w:cs="Calibri"/>
          <w:bCs/>
          <w:lang w:val="en-US"/>
        </w:rPr>
      </w:pPr>
      <w:r w:rsidRPr="00436E78">
        <w:rPr>
          <w:rFonts w:ascii="Calibri" w:hAnsi="Calibri" w:cs="Calibri"/>
          <w:bCs/>
          <w:lang w:val="en-US"/>
        </w:rPr>
        <w:t xml:space="preserve">A trend report can be drawn up when the manufacturer has performed a monitoring of incidents over time and </w:t>
      </w:r>
      <w:r w:rsidR="009E4F07">
        <w:rPr>
          <w:rFonts w:ascii="Calibri" w:hAnsi="Calibri" w:cs="Calibri"/>
          <w:bCs/>
          <w:lang w:val="en-US"/>
        </w:rPr>
        <w:t>h</w:t>
      </w:r>
      <w:r w:rsidRPr="00436E78">
        <w:rPr>
          <w:rFonts w:ascii="Calibri" w:hAnsi="Calibri" w:cs="Calibri"/>
          <w:bCs/>
          <w:lang w:val="en-US"/>
        </w:rPr>
        <w:t xml:space="preserve">as compared the </w:t>
      </w:r>
      <w:r w:rsidR="003373DE">
        <w:rPr>
          <w:rFonts w:ascii="Calibri" w:hAnsi="Calibri" w:cs="Calibri"/>
          <w:bCs/>
          <w:lang w:val="en-US"/>
        </w:rPr>
        <w:t xml:space="preserve">severity </w:t>
      </w:r>
      <w:r w:rsidRPr="00436E78">
        <w:rPr>
          <w:rFonts w:ascii="Calibri" w:hAnsi="Calibri" w:cs="Calibri"/>
          <w:bCs/>
          <w:lang w:val="en-US"/>
        </w:rPr>
        <w:t xml:space="preserve">and the frequency of the occurrences with the threshold defined during the design </w:t>
      </w:r>
      <w:r w:rsidR="00FD0E09">
        <w:rPr>
          <w:rFonts w:ascii="Calibri" w:hAnsi="Calibri" w:cs="Calibri"/>
          <w:bCs/>
          <w:lang w:val="en-US"/>
        </w:rPr>
        <w:t xml:space="preserve">process </w:t>
      </w:r>
      <w:r w:rsidRPr="00436E78">
        <w:rPr>
          <w:rFonts w:ascii="Calibri" w:hAnsi="Calibri" w:cs="Calibri"/>
          <w:bCs/>
          <w:lang w:val="en-US"/>
        </w:rPr>
        <w:t xml:space="preserve">and documented </w:t>
      </w:r>
      <w:r w:rsidR="00162DE4">
        <w:rPr>
          <w:rFonts w:ascii="Calibri" w:hAnsi="Calibri" w:cs="Calibri"/>
          <w:bCs/>
          <w:lang w:val="en-US"/>
        </w:rPr>
        <w:t xml:space="preserve">in the </w:t>
      </w:r>
      <w:r w:rsidRPr="00436E78">
        <w:rPr>
          <w:rFonts w:ascii="Calibri" w:hAnsi="Calibri" w:cs="Calibri"/>
          <w:bCs/>
          <w:lang w:val="en-US"/>
        </w:rPr>
        <w:t>risk analysis.</w:t>
      </w:r>
    </w:p>
    <w:p w14:paraId="454CDD55" w14:textId="77777777" w:rsidR="00786FBB" w:rsidRDefault="00786FBB" w:rsidP="00E80F92">
      <w:pPr>
        <w:spacing w:after="160" w:line="276" w:lineRule="auto"/>
        <w:jc w:val="both"/>
        <w:rPr>
          <w:rFonts w:ascii="Calibri" w:hAnsi="Calibri" w:cs="Calibri"/>
          <w:bCs/>
          <w:lang w:val="en-US"/>
        </w:rPr>
      </w:pPr>
    </w:p>
    <w:p w14:paraId="30D3D98A" w14:textId="77777777" w:rsidR="00786FBB" w:rsidRPr="00786FBB" w:rsidRDefault="00786FBB" w:rsidP="00786FBB">
      <w:pPr>
        <w:pStyle w:val="ListParagraph"/>
        <w:numPr>
          <w:ilvl w:val="0"/>
          <w:numId w:val="1"/>
        </w:numPr>
        <w:spacing w:after="160" w:line="276" w:lineRule="auto"/>
        <w:jc w:val="both"/>
        <w:rPr>
          <w:rFonts w:ascii="Calibri" w:hAnsi="Calibri" w:cs="Calibri"/>
          <w:b/>
          <w:lang w:val="en-US"/>
        </w:rPr>
      </w:pPr>
      <w:r w:rsidRPr="00786FBB">
        <w:rPr>
          <w:rFonts w:ascii="Calibri" w:hAnsi="Calibri" w:cs="Calibri"/>
          <w:b/>
          <w:lang w:val="en-US"/>
        </w:rPr>
        <w:t xml:space="preserve">    What happen</w:t>
      </w:r>
      <w:r w:rsidR="000051CD">
        <w:rPr>
          <w:rFonts w:ascii="Calibri" w:hAnsi="Calibri" w:cs="Calibri"/>
          <w:b/>
          <w:lang w:val="en-US"/>
        </w:rPr>
        <w:t>s</w:t>
      </w:r>
      <w:r w:rsidRPr="00786FBB">
        <w:rPr>
          <w:rFonts w:ascii="Calibri" w:hAnsi="Calibri" w:cs="Calibri"/>
          <w:b/>
          <w:lang w:val="en-US"/>
        </w:rPr>
        <w:t xml:space="preserve"> if a NEW </w:t>
      </w:r>
      <w:r w:rsidR="008F5910" w:rsidRPr="00786FBB">
        <w:rPr>
          <w:rFonts w:ascii="Calibri" w:hAnsi="Calibri" w:cs="Calibri"/>
          <w:b/>
          <w:lang w:val="en-US"/>
        </w:rPr>
        <w:t xml:space="preserve">unexpected </w:t>
      </w:r>
      <w:r w:rsidRPr="00786FBB">
        <w:rPr>
          <w:rFonts w:ascii="Calibri" w:hAnsi="Calibri" w:cs="Calibri"/>
          <w:b/>
          <w:lang w:val="en-US"/>
        </w:rPr>
        <w:t>undesirable side effect or incident is identified?</w:t>
      </w:r>
    </w:p>
    <w:p w14:paraId="4A4D4239" w14:textId="7E98D991" w:rsidR="00A954A9" w:rsidRDefault="00011108" w:rsidP="00792D58">
      <w:pPr>
        <w:spacing w:after="160" w:line="276" w:lineRule="auto"/>
        <w:jc w:val="both"/>
        <w:rPr>
          <w:rFonts w:ascii="Calibri" w:hAnsi="Calibri" w:cs="Calibri"/>
          <w:bCs/>
          <w:lang w:val="en-US"/>
        </w:rPr>
      </w:pPr>
      <w:r>
        <w:rPr>
          <w:rFonts w:ascii="Calibri" w:hAnsi="Calibri" w:cs="Calibri"/>
          <w:bCs/>
          <w:lang w:val="en-US"/>
        </w:rPr>
        <w:t>U</w:t>
      </w:r>
      <w:r w:rsidRPr="006C73B2">
        <w:rPr>
          <w:rFonts w:ascii="Calibri" w:hAnsi="Calibri" w:cs="Calibri"/>
          <w:bCs/>
          <w:lang w:val="en-US"/>
        </w:rPr>
        <w:t xml:space="preserve">nexpected </w:t>
      </w:r>
      <w:r>
        <w:rPr>
          <w:rFonts w:ascii="Calibri" w:hAnsi="Calibri" w:cs="Calibri"/>
          <w:bCs/>
          <w:lang w:val="en-US"/>
        </w:rPr>
        <w:t>u</w:t>
      </w:r>
      <w:r w:rsidR="006C73B2" w:rsidRPr="006C73B2">
        <w:rPr>
          <w:rFonts w:ascii="Calibri" w:hAnsi="Calibri" w:cs="Calibri"/>
          <w:bCs/>
          <w:lang w:val="en-US"/>
        </w:rPr>
        <w:t xml:space="preserve">ndesirable side-effects or </w:t>
      </w:r>
      <w:r w:rsidR="00F7329F">
        <w:rPr>
          <w:rFonts w:ascii="Calibri" w:hAnsi="Calibri" w:cs="Calibri"/>
          <w:bCs/>
          <w:lang w:val="en-US"/>
        </w:rPr>
        <w:t>newly identified</w:t>
      </w:r>
      <w:r w:rsidR="000D19B8">
        <w:rPr>
          <w:rFonts w:ascii="Calibri" w:hAnsi="Calibri" w:cs="Calibri"/>
          <w:bCs/>
          <w:lang w:val="en-US"/>
        </w:rPr>
        <w:t xml:space="preserve"> </w:t>
      </w:r>
      <w:r w:rsidR="006C73B2" w:rsidRPr="006C73B2">
        <w:rPr>
          <w:rFonts w:ascii="Calibri" w:hAnsi="Calibri" w:cs="Calibri"/>
          <w:bCs/>
          <w:lang w:val="en-US"/>
        </w:rPr>
        <w:t>incident</w:t>
      </w:r>
      <w:r w:rsidR="000D19B8">
        <w:rPr>
          <w:rFonts w:ascii="Calibri" w:hAnsi="Calibri" w:cs="Calibri"/>
          <w:bCs/>
          <w:lang w:val="en-US"/>
        </w:rPr>
        <w:t>s</w:t>
      </w:r>
      <w:r w:rsidR="006C73B2" w:rsidRPr="006C73B2">
        <w:rPr>
          <w:rFonts w:ascii="Calibri" w:hAnsi="Calibri" w:cs="Calibri"/>
          <w:bCs/>
          <w:lang w:val="en-US"/>
        </w:rPr>
        <w:t xml:space="preserve"> are events that were not considered or addressed by the manufacturer in its risk analysis should be </w:t>
      </w:r>
      <w:r w:rsidR="000D19B8">
        <w:rPr>
          <w:rFonts w:ascii="Calibri" w:hAnsi="Calibri" w:cs="Calibri"/>
          <w:bCs/>
          <w:lang w:val="en-US"/>
        </w:rPr>
        <w:t xml:space="preserve">assessed and </w:t>
      </w:r>
    </w:p>
    <w:p w14:paraId="10F25C4D" w14:textId="77777777" w:rsidR="00A954A9" w:rsidRDefault="006C73B2" w:rsidP="00A954A9">
      <w:pPr>
        <w:pStyle w:val="ListParagraph"/>
        <w:numPr>
          <w:ilvl w:val="0"/>
          <w:numId w:val="24"/>
        </w:numPr>
        <w:spacing w:after="160" w:line="276" w:lineRule="auto"/>
        <w:jc w:val="both"/>
        <w:rPr>
          <w:rFonts w:ascii="Calibri" w:hAnsi="Calibri" w:cs="Calibri"/>
          <w:bCs/>
          <w:lang w:val="en-US"/>
        </w:rPr>
      </w:pPr>
      <w:r w:rsidRPr="00635CBA">
        <w:rPr>
          <w:rFonts w:ascii="Calibri" w:hAnsi="Calibri" w:cs="Calibri"/>
          <w:bCs/>
          <w:lang w:val="en-US"/>
        </w:rPr>
        <w:t>reported in accordance with Article 87 of the MDR (serious incidents) and</w:t>
      </w:r>
    </w:p>
    <w:p w14:paraId="3CCBB669" w14:textId="77777777" w:rsidR="006C73B2" w:rsidRPr="00635CBA" w:rsidRDefault="006C73B2" w:rsidP="00635CBA">
      <w:pPr>
        <w:pStyle w:val="ListParagraph"/>
        <w:numPr>
          <w:ilvl w:val="0"/>
          <w:numId w:val="24"/>
        </w:numPr>
        <w:spacing w:after="160" w:line="276" w:lineRule="auto"/>
        <w:jc w:val="both"/>
        <w:rPr>
          <w:rFonts w:ascii="Calibri" w:hAnsi="Calibri" w:cs="Calibri"/>
          <w:bCs/>
          <w:lang w:val="en-US"/>
        </w:rPr>
      </w:pPr>
      <w:r w:rsidRPr="00635CBA">
        <w:rPr>
          <w:rFonts w:ascii="Calibri" w:hAnsi="Calibri" w:cs="Calibri"/>
          <w:bCs/>
          <w:lang w:val="en-US"/>
        </w:rPr>
        <w:t xml:space="preserve"> documented and analyzed during the update </w:t>
      </w:r>
      <w:r w:rsidR="000D19B8" w:rsidRPr="00635CBA">
        <w:rPr>
          <w:rFonts w:ascii="Calibri" w:hAnsi="Calibri" w:cs="Calibri"/>
          <w:bCs/>
          <w:lang w:val="en-US"/>
        </w:rPr>
        <w:t xml:space="preserve">of </w:t>
      </w:r>
      <w:r w:rsidRPr="00635CBA">
        <w:rPr>
          <w:rFonts w:ascii="Calibri" w:hAnsi="Calibri" w:cs="Calibri"/>
          <w:bCs/>
          <w:lang w:val="en-US"/>
        </w:rPr>
        <w:t xml:space="preserve">the risk analysis and the risk management file. </w:t>
      </w:r>
    </w:p>
    <w:p w14:paraId="6E21BC13" w14:textId="44EFCD47" w:rsidR="006C73B2" w:rsidRDefault="006C73B2" w:rsidP="00792D58">
      <w:pPr>
        <w:spacing w:after="160" w:line="276" w:lineRule="auto"/>
        <w:jc w:val="both"/>
        <w:rPr>
          <w:rFonts w:ascii="Calibri" w:hAnsi="Calibri" w:cs="Calibri"/>
          <w:bCs/>
          <w:lang w:val="en-US"/>
        </w:rPr>
      </w:pPr>
      <w:r w:rsidRPr="006C73B2">
        <w:rPr>
          <w:rFonts w:ascii="Calibri" w:hAnsi="Calibri" w:cs="Calibri"/>
          <w:bCs/>
          <w:lang w:val="en-US"/>
        </w:rPr>
        <w:t>The update of the risk-benefit assessment should take the identified new risks in consideration</w:t>
      </w:r>
      <w:r w:rsidR="000D19B8">
        <w:rPr>
          <w:rFonts w:ascii="Calibri" w:hAnsi="Calibri" w:cs="Calibri"/>
          <w:bCs/>
          <w:lang w:val="en-US"/>
        </w:rPr>
        <w:t xml:space="preserve"> and labeling updates implemented as required</w:t>
      </w:r>
      <w:r w:rsidRPr="006C73B2">
        <w:rPr>
          <w:rFonts w:ascii="Calibri" w:hAnsi="Calibri" w:cs="Calibri"/>
          <w:bCs/>
          <w:lang w:val="en-US"/>
        </w:rPr>
        <w:t xml:space="preserve">. </w:t>
      </w:r>
    </w:p>
    <w:p w14:paraId="1F390E41" w14:textId="77777777" w:rsidR="00B83A05" w:rsidRDefault="006C73B2" w:rsidP="00792D58">
      <w:pPr>
        <w:spacing w:after="160" w:line="276" w:lineRule="auto"/>
        <w:jc w:val="both"/>
        <w:rPr>
          <w:rFonts w:ascii="Calibri" w:hAnsi="Calibri" w:cs="Calibri"/>
          <w:bCs/>
          <w:lang w:val="en-US"/>
        </w:rPr>
      </w:pPr>
      <w:r w:rsidRPr="003313D1">
        <w:rPr>
          <w:rFonts w:ascii="Calibri" w:hAnsi="Calibri" w:cs="Calibri"/>
          <w:bCs/>
          <w:lang w:val="en-US"/>
        </w:rPr>
        <w:t xml:space="preserve">Whenever a statistically significant increase in the frequency or severity of incidents or of </w:t>
      </w:r>
      <w:r>
        <w:rPr>
          <w:rFonts w:ascii="Calibri" w:hAnsi="Calibri" w:cs="Calibri"/>
          <w:bCs/>
          <w:lang w:val="en-US"/>
        </w:rPr>
        <w:t xml:space="preserve">unexpected </w:t>
      </w:r>
      <w:r w:rsidRPr="003313D1">
        <w:rPr>
          <w:rFonts w:ascii="Calibri" w:hAnsi="Calibri" w:cs="Calibri"/>
          <w:bCs/>
          <w:lang w:val="en-US"/>
        </w:rPr>
        <w:t xml:space="preserve">undesirable side effects </w:t>
      </w:r>
      <w:r>
        <w:rPr>
          <w:rFonts w:ascii="Calibri" w:hAnsi="Calibri" w:cs="Calibri"/>
          <w:bCs/>
          <w:lang w:val="en-US"/>
        </w:rPr>
        <w:t xml:space="preserve">is identified and confirmed according the manufacturer internal procedures, the manufacturer should conduct a full assessment on  </w:t>
      </w:r>
      <w:r w:rsidRPr="003313D1">
        <w:rPr>
          <w:rFonts w:ascii="Calibri" w:hAnsi="Calibri" w:cs="Calibri"/>
          <w:bCs/>
          <w:lang w:val="en-US"/>
        </w:rPr>
        <w:t>impact</w:t>
      </w:r>
      <w:r>
        <w:rPr>
          <w:rFonts w:ascii="Calibri" w:hAnsi="Calibri" w:cs="Calibri"/>
          <w:bCs/>
          <w:lang w:val="en-US"/>
        </w:rPr>
        <w:t xml:space="preserve"> of the trend </w:t>
      </w:r>
      <w:r w:rsidRPr="003313D1">
        <w:rPr>
          <w:rFonts w:ascii="Calibri" w:hAnsi="Calibri" w:cs="Calibri"/>
          <w:bCs/>
          <w:lang w:val="en-US"/>
        </w:rPr>
        <w:t xml:space="preserve">on the benefit-risk </w:t>
      </w:r>
      <w:r>
        <w:rPr>
          <w:rFonts w:ascii="Calibri" w:hAnsi="Calibri" w:cs="Calibri"/>
          <w:bCs/>
          <w:lang w:val="en-US"/>
        </w:rPr>
        <w:t xml:space="preserve">ratio of the product and </w:t>
      </w:r>
      <w:r w:rsidRPr="003313D1">
        <w:rPr>
          <w:rFonts w:ascii="Calibri" w:hAnsi="Calibri" w:cs="Calibri"/>
          <w:bCs/>
          <w:lang w:val="en-US"/>
        </w:rPr>
        <w:t>shall draw up a trend report as defined in the Article 88/83 of the MDR/IVDR.</w:t>
      </w:r>
    </w:p>
    <w:p w14:paraId="6AE49613" w14:textId="77777777" w:rsidR="002D2A06" w:rsidRDefault="002D2A06" w:rsidP="00885443">
      <w:pPr>
        <w:spacing w:after="160" w:line="276" w:lineRule="auto"/>
        <w:ind w:left="283"/>
        <w:jc w:val="both"/>
        <w:rPr>
          <w:rFonts w:ascii="Calibri" w:hAnsi="Calibri" w:cs="Calibri"/>
          <w:bCs/>
          <w:lang w:val="en-US"/>
        </w:rPr>
      </w:pPr>
    </w:p>
    <w:p w14:paraId="5E5E3529" w14:textId="77777777" w:rsidR="008541C6" w:rsidRPr="00B83A05" w:rsidRDefault="00276BFB" w:rsidP="000D5C84">
      <w:pPr>
        <w:pStyle w:val="ListParagraph"/>
        <w:numPr>
          <w:ilvl w:val="0"/>
          <w:numId w:val="1"/>
        </w:numPr>
        <w:spacing w:after="160" w:line="276" w:lineRule="auto"/>
        <w:jc w:val="both"/>
        <w:rPr>
          <w:rFonts w:ascii="Calibri" w:hAnsi="Calibri" w:cs="Calibri"/>
          <w:b/>
          <w:bCs/>
          <w:lang w:val="en-US"/>
        </w:rPr>
      </w:pPr>
      <w:r>
        <w:rPr>
          <w:rFonts w:ascii="Calibri" w:hAnsi="Calibri" w:cs="Calibri"/>
          <w:b/>
          <w:bCs/>
          <w:lang w:val="en-US"/>
        </w:rPr>
        <w:t>How to link the PMS plan with the trend reporting process</w:t>
      </w:r>
      <w:r w:rsidR="008541C6" w:rsidRPr="00B83A05">
        <w:rPr>
          <w:rFonts w:ascii="Calibri" w:hAnsi="Calibri" w:cs="Calibri"/>
          <w:b/>
          <w:bCs/>
          <w:lang w:val="en-US"/>
        </w:rPr>
        <w:t>?</w:t>
      </w:r>
    </w:p>
    <w:p w14:paraId="5F2A5337" w14:textId="77777777" w:rsidR="004C6469" w:rsidRDefault="004C6469" w:rsidP="00123F76">
      <w:pPr>
        <w:pStyle w:val="NormalWeb"/>
        <w:shd w:val="clear" w:color="auto" w:fill="FFFFFF"/>
        <w:spacing w:before="0" w:beforeAutospacing="0" w:after="150" w:afterAutospacing="0" w:line="330" w:lineRule="atLeast"/>
        <w:jc w:val="both"/>
        <w:rPr>
          <w:rFonts w:ascii="Calibri" w:hAnsi="Calibri" w:cs="Calibri"/>
          <w:lang w:val="en-US" w:eastAsia="en-US"/>
        </w:rPr>
      </w:pPr>
      <w:r>
        <w:rPr>
          <w:rFonts w:ascii="Calibri" w:hAnsi="Calibri" w:cs="Calibri"/>
          <w:lang w:val="en-US" w:eastAsia="en-US"/>
        </w:rPr>
        <w:t>T</w:t>
      </w:r>
      <w:r w:rsidRPr="004C6469">
        <w:rPr>
          <w:rFonts w:ascii="Calibri" w:hAnsi="Calibri" w:cs="Calibri"/>
          <w:lang w:val="en-US" w:eastAsia="en-US"/>
        </w:rPr>
        <w:t>aking into account the requirement of Post Market Surveillance (PMS)</w:t>
      </w:r>
      <w:r>
        <w:rPr>
          <w:rFonts w:ascii="Calibri" w:hAnsi="Calibri" w:cs="Calibri"/>
          <w:lang w:val="en-US" w:eastAsia="en-US"/>
        </w:rPr>
        <w:t xml:space="preserve"> (MDR,</w:t>
      </w:r>
      <w:r w:rsidRPr="00011108">
        <w:rPr>
          <w:lang w:val="en-US"/>
        </w:rPr>
        <w:t xml:space="preserve"> </w:t>
      </w:r>
      <w:r w:rsidRPr="004C6469">
        <w:rPr>
          <w:rFonts w:ascii="Calibri" w:hAnsi="Calibri" w:cs="Calibri"/>
          <w:lang w:val="en-US" w:eastAsia="en-US"/>
        </w:rPr>
        <w:t>Chapter VII: Post-market surveillance, vigilance, and market surveillance</w:t>
      </w:r>
      <w:r>
        <w:rPr>
          <w:rFonts w:ascii="Calibri" w:hAnsi="Calibri" w:cs="Calibri"/>
          <w:lang w:val="en-US" w:eastAsia="en-US"/>
        </w:rPr>
        <w:t>)</w:t>
      </w:r>
      <w:r w:rsidRPr="004C6469">
        <w:rPr>
          <w:rFonts w:ascii="Calibri" w:hAnsi="Calibri" w:cs="Calibri"/>
          <w:lang w:val="en-US" w:eastAsia="en-US"/>
        </w:rPr>
        <w:t xml:space="preserve"> manufacturers do not only need to perform trend reporting per Article</w:t>
      </w:r>
      <w:r>
        <w:rPr>
          <w:rFonts w:ascii="Calibri" w:hAnsi="Calibri" w:cs="Calibri"/>
          <w:lang w:val="en-US" w:eastAsia="en-US"/>
        </w:rPr>
        <w:t>s</w:t>
      </w:r>
      <w:r w:rsidRPr="004C6469">
        <w:rPr>
          <w:rFonts w:ascii="Calibri" w:hAnsi="Calibri" w:cs="Calibri"/>
          <w:lang w:val="en-US" w:eastAsia="en-US"/>
        </w:rPr>
        <w:t xml:space="preserve"> 88</w:t>
      </w:r>
      <w:r>
        <w:rPr>
          <w:rFonts w:ascii="Calibri" w:hAnsi="Calibri" w:cs="Calibri"/>
          <w:lang w:val="en-US" w:eastAsia="en-US"/>
        </w:rPr>
        <w:t xml:space="preserve"> and 83</w:t>
      </w:r>
      <w:r w:rsidRPr="004C6469">
        <w:rPr>
          <w:rFonts w:ascii="Calibri" w:hAnsi="Calibri" w:cs="Calibri"/>
          <w:lang w:val="en-US" w:eastAsia="en-US"/>
        </w:rPr>
        <w:t>, but they must also include in the PMS Plan the methods and protocols to manage the events subject to trend reporting.</w:t>
      </w:r>
      <w:r w:rsidRPr="00011108">
        <w:rPr>
          <w:lang w:val="en-US"/>
        </w:rPr>
        <w:t xml:space="preserve"> </w:t>
      </w:r>
      <w:r w:rsidR="002979AC" w:rsidRPr="00011108">
        <w:rPr>
          <w:lang w:val="en-US"/>
        </w:rPr>
        <w:t>T</w:t>
      </w:r>
      <w:r w:rsidRPr="004C6469">
        <w:rPr>
          <w:rFonts w:ascii="Calibri" w:hAnsi="Calibri" w:cs="Calibri"/>
          <w:lang w:val="en-US" w:eastAsia="en-US"/>
        </w:rPr>
        <w:t xml:space="preserve">his includes the methods and protocols to be used to establish any statistically significant increase in the frequency or severity of incidents </w:t>
      </w:r>
      <w:r w:rsidRPr="004C6469">
        <w:rPr>
          <w:rFonts w:ascii="Calibri" w:hAnsi="Calibri" w:cs="Calibri"/>
          <w:lang w:val="en-US" w:eastAsia="en-US"/>
        </w:rPr>
        <w:lastRenderedPageBreak/>
        <w:t>as well as the observation period (per Annex III, section 1.1 b: Technical Documentation on Post-Market Surveillance).</w:t>
      </w:r>
      <w:r w:rsidR="008F5910">
        <w:rPr>
          <w:rFonts w:ascii="Calibri" w:hAnsi="Calibri" w:cs="Calibri"/>
          <w:lang w:val="en-US" w:eastAsia="en-US"/>
        </w:rPr>
        <w:t xml:space="preserve"> </w:t>
      </w:r>
    </w:p>
    <w:p w14:paraId="75C73F57" w14:textId="77777777" w:rsidR="008541C6" w:rsidRPr="00E80F92" w:rsidRDefault="008541C6" w:rsidP="00123F76">
      <w:pPr>
        <w:pStyle w:val="NormalWeb"/>
        <w:shd w:val="clear" w:color="auto" w:fill="FFFFFF"/>
        <w:spacing w:before="0" w:beforeAutospacing="0" w:after="150" w:afterAutospacing="0" w:line="330" w:lineRule="atLeast"/>
        <w:jc w:val="both"/>
        <w:rPr>
          <w:rFonts w:ascii="Calibri" w:hAnsi="Calibri" w:cs="Calibri"/>
          <w:lang w:val="en-US" w:eastAsia="en-US"/>
        </w:rPr>
      </w:pPr>
      <w:r w:rsidRPr="00E80F92">
        <w:rPr>
          <w:rFonts w:ascii="Calibri" w:hAnsi="Calibri" w:cs="Calibri"/>
          <w:lang w:val="en-US" w:eastAsia="en-US"/>
        </w:rPr>
        <w:t>As per Article 88 (1)</w:t>
      </w:r>
      <w:r w:rsidR="00C734EC">
        <w:rPr>
          <w:rFonts w:ascii="Calibri" w:hAnsi="Calibri" w:cs="Calibri"/>
          <w:lang w:val="en-US" w:eastAsia="en-US"/>
        </w:rPr>
        <w:t xml:space="preserve"> (MDR)</w:t>
      </w:r>
      <w:r w:rsidR="002272A5">
        <w:rPr>
          <w:rFonts w:ascii="Calibri" w:hAnsi="Calibri" w:cs="Calibri"/>
          <w:lang w:val="en-US" w:eastAsia="en-US"/>
        </w:rPr>
        <w:t xml:space="preserve">, </w:t>
      </w:r>
      <w:r w:rsidRPr="00E80F92">
        <w:rPr>
          <w:rFonts w:ascii="Calibri" w:hAnsi="Calibri" w:cs="Calibri"/>
          <w:lang w:val="en-US" w:eastAsia="en-US"/>
        </w:rPr>
        <w:t>the manufacturer shall specify, in the post-market surveillance plan referred to in Article 84</w:t>
      </w:r>
      <w:r w:rsidR="00C734EC">
        <w:rPr>
          <w:rFonts w:ascii="Calibri" w:hAnsi="Calibri" w:cs="Calibri"/>
          <w:lang w:val="en-US" w:eastAsia="en-US"/>
        </w:rPr>
        <w:t xml:space="preserve"> for MDR</w:t>
      </w:r>
      <w:r w:rsidRPr="00E80F92">
        <w:rPr>
          <w:rFonts w:ascii="Calibri" w:hAnsi="Calibri" w:cs="Calibri"/>
          <w:lang w:val="en-US" w:eastAsia="en-US"/>
        </w:rPr>
        <w:t>:</w:t>
      </w:r>
    </w:p>
    <w:p w14:paraId="77D5EF0D" w14:textId="77777777" w:rsidR="008541C6" w:rsidRPr="00E80F92" w:rsidRDefault="008541C6" w:rsidP="008541C6">
      <w:pPr>
        <w:pStyle w:val="NormalWeb"/>
        <w:shd w:val="clear" w:color="auto" w:fill="FFFFFF"/>
        <w:spacing w:before="0" w:beforeAutospacing="0" w:after="150" w:afterAutospacing="0" w:line="330" w:lineRule="atLeast"/>
        <w:ind w:left="720"/>
        <w:jc w:val="both"/>
        <w:rPr>
          <w:rFonts w:ascii="Calibri" w:hAnsi="Calibri" w:cs="Calibri"/>
          <w:lang w:val="en-US" w:eastAsia="en-US"/>
        </w:rPr>
      </w:pPr>
      <w:r w:rsidRPr="00E80F92">
        <w:rPr>
          <w:rFonts w:ascii="Calibri" w:hAnsi="Calibri" w:cs="Calibri"/>
          <w:lang w:val="en-US" w:eastAsia="en-US"/>
        </w:rPr>
        <w:t xml:space="preserve">-  how to manage the incidents </w:t>
      </w:r>
      <w:r w:rsidR="00743A8F">
        <w:rPr>
          <w:rFonts w:ascii="Calibri" w:hAnsi="Calibri" w:cs="Calibri"/>
          <w:lang w:val="en-US" w:eastAsia="en-US"/>
        </w:rPr>
        <w:t>subject to the trend report</w:t>
      </w:r>
      <w:r w:rsidR="00802D85">
        <w:rPr>
          <w:rFonts w:ascii="Calibri" w:hAnsi="Calibri" w:cs="Calibri"/>
          <w:lang w:val="en-US" w:eastAsia="en-US"/>
        </w:rPr>
        <w:t>;</w:t>
      </w:r>
    </w:p>
    <w:p w14:paraId="6540CF10" w14:textId="77777777" w:rsidR="008541C6" w:rsidRPr="00E80F92" w:rsidRDefault="008541C6" w:rsidP="008541C6">
      <w:pPr>
        <w:pStyle w:val="NormalWeb"/>
        <w:shd w:val="clear" w:color="auto" w:fill="FFFFFF"/>
        <w:spacing w:before="0" w:beforeAutospacing="0" w:after="150" w:afterAutospacing="0" w:line="330" w:lineRule="atLeast"/>
        <w:ind w:left="720"/>
        <w:jc w:val="both"/>
        <w:rPr>
          <w:rFonts w:ascii="Calibri" w:hAnsi="Calibri" w:cs="Calibri"/>
          <w:lang w:val="en-US" w:eastAsia="en-US"/>
        </w:rPr>
      </w:pPr>
      <w:r w:rsidRPr="00E80F92">
        <w:rPr>
          <w:rFonts w:ascii="Calibri" w:hAnsi="Calibri" w:cs="Calibri"/>
          <w:lang w:val="en-US" w:eastAsia="en-US"/>
        </w:rPr>
        <w:t xml:space="preserve">- </w:t>
      </w:r>
      <w:r w:rsidR="003545AE">
        <w:rPr>
          <w:rFonts w:ascii="Calibri" w:hAnsi="Calibri" w:cs="Calibri"/>
          <w:lang w:val="en-US" w:eastAsia="en-US"/>
        </w:rPr>
        <w:t xml:space="preserve"> </w:t>
      </w:r>
      <w:r w:rsidRPr="00E80F92">
        <w:rPr>
          <w:rFonts w:ascii="Calibri" w:hAnsi="Calibri" w:cs="Calibri"/>
          <w:lang w:val="en-US" w:eastAsia="en-US"/>
        </w:rPr>
        <w:t>the methodology used for determining any statistically significant increase in the frequency or severity of such incidents</w:t>
      </w:r>
      <w:r w:rsidR="00802D85">
        <w:rPr>
          <w:rFonts w:ascii="Calibri" w:hAnsi="Calibri" w:cs="Calibri"/>
          <w:lang w:val="en-US" w:eastAsia="en-US"/>
        </w:rPr>
        <w:t>;</w:t>
      </w:r>
    </w:p>
    <w:p w14:paraId="02549712" w14:textId="77777777" w:rsidR="008541C6" w:rsidRPr="00E80F92" w:rsidRDefault="008541C6" w:rsidP="008541C6">
      <w:pPr>
        <w:pStyle w:val="NormalWeb"/>
        <w:shd w:val="clear" w:color="auto" w:fill="FFFFFF"/>
        <w:spacing w:before="0" w:beforeAutospacing="0" w:after="150" w:afterAutospacing="0" w:line="330" w:lineRule="atLeast"/>
        <w:ind w:left="720"/>
        <w:jc w:val="both"/>
        <w:rPr>
          <w:rFonts w:ascii="Calibri" w:hAnsi="Calibri" w:cs="Calibri"/>
          <w:lang w:val="en-US" w:eastAsia="en-US"/>
        </w:rPr>
      </w:pPr>
      <w:r w:rsidRPr="00E80F92">
        <w:rPr>
          <w:rFonts w:ascii="Calibri" w:hAnsi="Calibri" w:cs="Calibri"/>
          <w:lang w:val="en-US" w:eastAsia="en-US"/>
        </w:rPr>
        <w:t>- the observation period</w:t>
      </w:r>
      <w:r w:rsidR="00B968DF">
        <w:rPr>
          <w:rFonts w:ascii="Calibri" w:hAnsi="Calibri" w:cs="Calibri"/>
          <w:lang w:val="en-US" w:eastAsia="en-US"/>
        </w:rPr>
        <w:t>.</w:t>
      </w:r>
    </w:p>
    <w:p w14:paraId="0234437E" w14:textId="77777777" w:rsidR="00792D58" w:rsidRDefault="008541C6" w:rsidP="008541C6">
      <w:pPr>
        <w:pStyle w:val="NormalWeb"/>
        <w:shd w:val="clear" w:color="auto" w:fill="FFFFFF"/>
        <w:spacing w:before="0" w:beforeAutospacing="0" w:after="150" w:afterAutospacing="0" w:line="330" w:lineRule="atLeast"/>
        <w:jc w:val="both"/>
        <w:rPr>
          <w:rFonts w:ascii="Calibri" w:hAnsi="Calibri" w:cs="Calibri"/>
          <w:i/>
          <w:iCs/>
          <w:lang w:val="en-US" w:eastAsia="en-US"/>
        </w:rPr>
      </w:pPr>
      <w:r w:rsidRPr="00E80F92">
        <w:rPr>
          <w:rFonts w:ascii="Calibri" w:hAnsi="Calibri" w:cs="Calibri"/>
          <w:lang w:val="en-US" w:eastAsia="en-US"/>
        </w:rPr>
        <w:t xml:space="preserve">Article 84 </w:t>
      </w:r>
      <w:r w:rsidR="00786FBB">
        <w:rPr>
          <w:rFonts w:ascii="Calibri" w:hAnsi="Calibri" w:cs="Calibri"/>
          <w:lang w:val="en-US" w:eastAsia="en-US"/>
        </w:rPr>
        <w:t xml:space="preserve">(MDR) </w:t>
      </w:r>
      <w:r w:rsidRPr="00E80F92">
        <w:rPr>
          <w:rFonts w:ascii="Calibri" w:hAnsi="Calibri" w:cs="Calibri"/>
          <w:lang w:val="en-US" w:eastAsia="en-US"/>
        </w:rPr>
        <w:t>specif</w:t>
      </w:r>
      <w:r w:rsidR="00B2279F">
        <w:rPr>
          <w:rFonts w:ascii="Calibri" w:hAnsi="Calibri" w:cs="Calibri"/>
          <w:lang w:val="en-US" w:eastAsia="en-US"/>
        </w:rPr>
        <w:t>ies</w:t>
      </w:r>
      <w:r w:rsidRPr="00E80F92">
        <w:rPr>
          <w:rFonts w:ascii="Calibri" w:hAnsi="Calibri" w:cs="Calibri"/>
          <w:lang w:val="en-US" w:eastAsia="en-US"/>
        </w:rPr>
        <w:t xml:space="preserve"> that the requirements for </w:t>
      </w:r>
      <w:r w:rsidR="006478AB">
        <w:rPr>
          <w:rFonts w:ascii="Calibri" w:hAnsi="Calibri" w:cs="Calibri"/>
          <w:lang w:val="en-US" w:eastAsia="en-US"/>
        </w:rPr>
        <w:t xml:space="preserve">the </w:t>
      </w:r>
      <w:r w:rsidR="006478AB" w:rsidRPr="006478AB">
        <w:rPr>
          <w:rFonts w:ascii="Calibri" w:hAnsi="Calibri" w:cs="Calibri"/>
          <w:lang w:val="en-US" w:eastAsia="en-US"/>
        </w:rPr>
        <w:t>post-market surveillance plan</w:t>
      </w:r>
      <w:r w:rsidR="006478AB" w:rsidRPr="00E80F92">
        <w:rPr>
          <w:rFonts w:ascii="Calibri" w:hAnsi="Calibri" w:cs="Calibri"/>
          <w:lang w:val="en-US" w:eastAsia="en-US"/>
        </w:rPr>
        <w:t xml:space="preserve"> </w:t>
      </w:r>
      <w:r w:rsidRPr="00E80F92">
        <w:rPr>
          <w:rFonts w:ascii="Calibri" w:hAnsi="Calibri" w:cs="Calibri"/>
          <w:lang w:val="en-US" w:eastAsia="en-US"/>
        </w:rPr>
        <w:t>are set out in Section 1 of Annex III which says that</w:t>
      </w:r>
      <w:r w:rsidRPr="00E80F92">
        <w:rPr>
          <w:rFonts w:ascii="Calibri" w:hAnsi="Calibri" w:cs="Calibri"/>
          <w:color w:val="FF0000"/>
          <w:lang w:val="en-US" w:eastAsia="en-US"/>
        </w:rPr>
        <w:t xml:space="preserve"> </w:t>
      </w:r>
      <w:r w:rsidRPr="00E80F92">
        <w:rPr>
          <w:rFonts w:ascii="Calibri" w:hAnsi="Calibri" w:cs="Calibri"/>
          <w:i/>
          <w:iCs/>
          <w:lang w:val="en-US" w:eastAsia="en-US"/>
        </w:rPr>
        <w:t xml:space="preserve">“methods and protocols to manage the </w:t>
      </w:r>
      <w:r w:rsidR="006A36BA">
        <w:rPr>
          <w:rFonts w:ascii="Calibri" w:hAnsi="Calibri" w:cs="Calibri"/>
          <w:i/>
          <w:iCs/>
          <w:lang w:val="en-US" w:eastAsia="en-US"/>
        </w:rPr>
        <w:t>incidents</w:t>
      </w:r>
      <w:r w:rsidR="006A36BA" w:rsidRPr="00E80F92">
        <w:rPr>
          <w:rFonts w:ascii="Calibri" w:hAnsi="Calibri" w:cs="Calibri"/>
          <w:i/>
          <w:iCs/>
          <w:lang w:val="en-US" w:eastAsia="en-US"/>
        </w:rPr>
        <w:t xml:space="preserve"> </w:t>
      </w:r>
      <w:r w:rsidRPr="00E80F92">
        <w:rPr>
          <w:rFonts w:ascii="Calibri" w:hAnsi="Calibri" w:cs="Calibri"/>
          <w:i/>
          <w:iCs/>
          <w:lang w:val="en-US" w:eastAsia="en-US"/>
        </w:rPr>
        <w:t>subject to the trend report as provided for in Article 88, including the methods and protocols to be used to establish any statistically significant increase in the frequency or severity of incidents as well as the observation period.”</w:t>
      </w:r>
    </w:p>
    <w:p w14:paraId="2A0DE3DC" w14:textId="77777777" w:rsidR="00802D85" w:rsidRDefault="00802D85" w:rsidP="008541C6">
      <w:pPr>
        <w:pStyle w:val="NormalWeb"/>
        <w:shd w:val="clear" w:color="auto" w:fill="FFFFFF"/>
        <w:spacing w:before="0" w:beforeAutospacing="0" w:after="150" w:afterAutospacing="0" w:line="330" w:lineRule="atLeast"/>
        <w:jc w:val="both"/>
        <w:rPr>
          <w:rFonts w:ascii="Calibri" w:hAnsi="Calibri" w:cs="Calibri"/>
          <w:i/>
          <w:iCs/>
          <w:lang w:val="en-US" w:eastAsia="en-US"/>
        </w:rPr>
      </w:pPr>
    </w:p>
    <w:p w14:paraId="71EB4A67" w14:textId="77777777" w:rsidR="00786FBB" w:rsidRDefault="009F146D" w:rsidP="00B83A05">
      <w:pPr>
        <w:pStyle w:val="CommentText"/>
        <w:spacing w:line="276" w:lineRule="auto"/>
        <w:jc w:val="both"/>
        <w:rPr>
          <w:rFonts w:ascii="Calibri" w:eastAsia="Times New Roman" w:hAnsi="Calibri" w:cs="Calibri"/>
          <w:sz w:val="24"/>
          <w:szCs w:val="24"/>
          <w:lang w:val="en-US"/>
        </w:rPr>
      </w:pPr>
      <w:r w:rsidRPr="009F146D">
        <w:rPr>
          <w:rFonts w:ascii="Calibri" w:eastAsia="Times New Roman" w:hAnsi="Calibri" w:cs="Calibri"/>
          <w:sz w:val="24"/>
          <w:szCs w:val="24"/>
          <w:lang w:val="en-US"/>
        </w:rPr>
        <w:t xml:space="preserve">As per Article 83 (1) </w:t>
      </w:r>
      <w:r w:rsidR="00C905EC">
        <w:rPr>
          <w:rFonts w:ascii="Calibri" w:eastAsia="Times New Roman" w:hAnsi="Calibri" w:cs="Calibri"/>
          <w:sz w:val="24"/>
          <w:szCs w:val="24"/>
          <w:lang w:val="en-US"/>
        </w:rPr>
        <w:t>(</w:t>
      </w:r>
      <w:r w:rsidRPr="009F146D">
        <w:rPr>
          <w:rFonts w:ascii="Calibri" w:eastAsia="Times New Roman" w:hAnsi="Calibri" w:cs="Calibri"/>
          <w:sz w:val="24"/>
          <w:szCs w:val="24"/>
          <w:lang w:val="en-US"/>
        </w:rPr>
        <w:t>IVDR</w:t>
      </w:r>
      <w:r w:rsidR="00C905EC">
        <w:rPr>
          <w:rFonts w:ascii="Calibri" w:eastAsia="Times New Roman" w:hAnsi="Calibri" w:cs="Calibri"/>
          <w:sz w:val="24"/>
          <w:szCs w:val="24"/>
          <w:lang w:val="en-US"/>
        </w:rPr>
        <w:t>)</w:t>
      </w:r>
      <w:r w:rsidRPr="009F146D">
        <w:rPr>
          <w:rFonts w:ascii="Calibri" w:eastAsia="Times New Roman" w:hAnsi="Calibri" w:cs="Calibri"/>
          <w:sz w:val="24"/>
          <w:szCs w:val="24"/>
          <w:lang w:val="en-US"/>
        </w:rPr>
        <w:t xml:space="preserve"> t</w:t>
      </w:r>
      <w:r w:rsidR="002272A5" w:rsidRPr="009F146D">
        <w:rPr>
          <w:rFonts w:ascii="Calibri" w:eastAsia="Times New Roman" w:hAnsi="Calibri" w:cs="Calibri"/>
          <w:sz w:val="24"/>
          <w:szCs w:val="24"/>
          <w:lang w:val="en-US"/>
        </w:rPr>
        <w:t>he manufacturer shall specify</w:t>
      </w:r>
      <w:r w:rsidR="00786FBB">
        <w:rPr>
          <w:rFonts w:ascii="Calibri" w:eastAsia="Times New Roman" w:hAnsi="Calibri" w:cs="Calibri"/>
          <w:sz w:val="24"/>
          <w:szCs w:val="24"/>
          <w:lang w:val="en-US"/>
        </w:rPr>
        <w:t xml:space="preserve">, </w:t>
      </w:r>
      <w:r w:rsidR="00786FBB" w:rsidRPr="009F146D">
        <w:rPr>
          <w:rFonts w:ascii="Calibri" w:eastAsia="Times New Roman" w:hAnsi="Calibri" w:cs="Calibri"/>
          <w:sz w:val="24"/>
          <w:szCs w:val="24"/>
          <w:lang w:val="en-US"/>
        </w:rPr>
        <w:t>in the post-market surveillance plan referred to in Article 79</w:t>
      </w:r>
      <w:r w:rsidR="00786FBB">
        <w:rPr>
          <w:rFonts w:ascii="Calibri" w:eastAsia="Times New Roman" w:hAnsi="Calibri" w:cs="Calibri"/>
          <w:sz w:val="24"/>
          <w:szCs w:val="24"/>
          <w:lang w:val="en-US"/>
        </w:rPr>
        <w:t xml:space="preserve"> of the IVDR:</w:t>
      </w:r>
    </w:p>
    <w:p w14:paraId="6A9241A9" w14:textId="77777777" w:rsidR="00792D58" w:rsidRDefault="00792D58" w:rsidP="00B83A05">
      <w:pPr>
        <w:pStyle w:val="CommentText"/>
        <w:spacing w:line="276" w:lineRule="auto"/>
        <w:jc w:val="both"/>
        <w:rPr>
          <w:rFonts w:ascii="Calibri" w:eastAsia="Times New Roman" w:hAnsi="Calibri" w:cs="Calibri"/>
          <w:sz w:val="24"/>
          <w:szCs w:val="24"/>
          <w:lang w:val="en-US"/>
        </w:rPr>
      </w:pPr>
    </w:p>
    <w:p w14:paraId="07EDCE22" w14:textId="77777777" w:rsidR="00786FBB" w:rsidRDefault="002272A5" w:rsidP="00802D85">
      <w:pPr>
        <w:pStyle w:val="CommentText"/>
        <w:numPr>
          <w:ilvl w:val="0"/>
          <w:numId w:val="20"/>
        </w:numPr>
        <w:spacing w:line="276" w:lineRule="auto"/>
        <w:jc w:val="both"/>
        <w:rPr>
          <w:rFonts w:ascii="Calibri" w:eastAsia="Times New Roman" w:hAnsi="Calibri" w:cs="Calibri"/>
          <w:sz w:val="24"/>
          <w:szCs w:val="24"/>
          <w:lang w:val="en-US"/>
        </w:rPr>
      </w:pPr>
      <w:r w:rsidRPr="009F146D">
        <w:rPr>
          <w:rFonts w:ascii="Calibri" w:eastAsia="Times New Roman" w:hAnsi="Calibri" w:cs="Calibri"/>
          <w:sz w:val="24"/>
          <w:szCs w:val="24"/>
          <w:lang w:val="en-US"/>
        </w:rPr>
        <w:t xml:space="preserve">how to manage the incidents </w:t>
      </w:r>
      <w:r w:rsidR="009930C9" w:rsidRPr="009930C9">
        <w:rPr>
          <w:rFonts w:ascii="Calibri" w:eastAsia="Times New Roman" w:hAnsi="Calibri" w:cs="Calibri"/>
          <w:sz w:val="24"/>
          <w:szCs w:val="24"/>
          <w:lang w:val="en-US"/>
        </w:rPr>
        <w:t>subject to the trend report</w:t>
      </w:r>
      <w:r w:rsidR="00802D85">
        <w:rPr>
          <w:rFonts w:ascii="Calibri" w:eastAsia="Times New Roman" w:hAnsi="Calibri" w:cs="Calibri"/>
          <w:sz w:val="24"/>
          <w:szCs w:val="24"/>
          <w:lang w:val="en-US"/>
        </w:rPr>
        <w:t>;</w:t>
      </w:r>
    </w:p>
    <w:p w14:paraId="4909AABE" w14:textId="77777777" w:rsidR="00786FBB" w:rsidRDefault="002272A5" w:rsidP="00802D85">
      <w:pPr>
        <w:pStyle w:val="CommentText"/>
        <w:numPr>
          <w:ilvl w:val="0"/>
          <w:numId w:val="20"/>
        </w:numPr>
        <w:spacing w:line="276" w:lineRule="auto"/>
        <w:jc w:val="both"/>
        <w:rPr>
          <w:rFonts w:ascii="Calibri" w:eastAsia="Times New Roman" w:hAnsi="Calibri" w:cs="Calibri"/>
          <w:sz w:val="24"/>
          <w:szCs w:val="24"/>
          <w:lang w:val="en-US"/>
        </w:rPr>
      </w:pPr>
      <w:r w:rsidRPr="009F146D">
        <w:rPr>
          <w:rFonts w:ascii="Calibri" w:eastAsia="Times New Roman" w:hAnsi="Calibri" w:cs="Calibri"/>
          <w:sz w:val="24"/>
          <w:szCs w:val="24"/>
          <w:lang w:val="en-US"/>
        </w:rPr>
        <w:t>the methodology used for determining any statistically significant increase in the frequency or severity of such events or change in performance</w:t>
      </w:r>
      <w:r w:rsidR="00802D85">
        <w:rPr>
          <w:rFonts w:ascii="Calibri" w:eastAsia="Times New Roman" w:hAnsi="Calibri" w:cs="Calibri"/>
          <w:sz w:val="24"/>
          <w:szCs w:val="24"/>
          <w:lang w:val="en-US"/>
        </w:rPr>
        <w:t>;</w:t>
      </w:r>
    </w:p>
    <w:p w14:paraId="12E8244D" w14:textId="77777777" w:rsidR="009F146D" w:rsidRDefault="002272A5" w:rsidP="00802D85">
      <w:pPr>
        <w:pStyle w:val="CommentText"/>
        <w:numPr>
          <w:ilvl w:val="0"/>
          <w:numId w:val="20"/>
        </w:numPr>
        <w:spacing w:line="276" w:lineRule="auto"/>
        <w:jc w:val="both"/>
        <w:rPr>
          <w:rFonts w:ascii="Calibri" w:eastAsia="Times New Roman" w:hAnsi="Calibri" w:cs="Calibri"/>
          <w:sz w:val="24"/>
          <w:szCs w:val="24"/>
          <w:lang w:val="en-US"/>
        </w:rPr>
      </w:pPr>
      <w:r w:rsidRPr="009F146D">
        <w:rPr>
          <w:rFonts w:ascii="Calibri" w:eastAsia="Times New Roman" w:hAnsi="Calibri" w:cs="Calibri"/>
          <w:sz w:val="24"/>
          <w:szCs w:val="24"/>
          <w:lang w:val="en-US"/>
        </w:rPr>
        <w:t>the observation period.</w:t>
      </w:r>
    </w:p>
    <w:p w14:paraId="6EC55950" w14:textId="77777777" w:rsidR="00457CB1" w:rsidRDefault="00457CB1" w:rsidP="00687EBF">
      <w:pPr>
        <w:pStyle w:val="CommentText"/>
        <w:spacing w:line="276" w:lineRule="auto"/>
        <w:jc w:val="both"/>
        <w:rPr>
          <w:rFonts w:ascii="Calibri" w:eastAsia="Times New Roman" w:hAnsi="Calibri" w:cs="Calibri"/>
          <w:sz w:val="24"/>
          <w:szCs w:val="24"/>
          <w:lang w:val="en-US"/>
        </w:rPr>
      </w:pPr>
    </w:p>
    <w:p w14:paraId="24004CDF" w14:textId="77777777" w:rsidR="00457CB1" w:rsidRPr="000D5C84" w:rsidRDefault="00457CB1" w:rsidP="00457CB1">
      <w:pPr>
        <w:pStyle w:val="ListParagraph"/>
        <w:numPr>
          <w:ilvl w:val="0"/>
          <w:numId w:val="1"/>
        </w:numPr>
        <w:shd w:val="clear" w:color="auto" w:fill="FFFFFF"/>
        <w:spacing w:after="150" w:line="276" w:lineRule="auto"/>
        <w:jc w:val="both"/>
        <w:rPr>
          <w:rFonts w:ascii="Calibri" w:hAnsi="Calibri" w:cs="Calibri"/>
          <w:lang w:val="en-US"/>
        </w:rPr>
      </w:pPr>
      <w:r>
        <w:rPr>
          <w:rFonts w:ascii="Calibri" w:eastAsia="Times New Roman" w:hAnsi="Calibri" w:cs="Calibri"/>
          <w:b/>
          <w:bCs/>
          <w:lang w:val="en-US" w:eastAsia="it-IT"/>
        </w:rPr>
        <w:t>How to link the trend reporting process to</w:t>
      </w:r>
      <w:r w:rsidRPr="000D5C84">
        <w:rPr>
          <w:rFonts w:ascii="Calibri" w:eastAsia="Times New Roman" w:hAnsi="Calibri" w:cs="Calibri"/>
          <w:b/>
          <w:bCs/>
          <w:lang w:val="en-US" w:eastAsia="it-IT"/>
        </w:rPr>
        <w:t xml:space="preserve"> general Quality Management System? </w:t>
      </w:r>
    </w:p>
    <w:p w14:paraId="3A91D5C3" w14:textId="77777777" w:rsidR="009B69D0" w:rsidRDefault="009B69D0" w:rsidP="00457CB1">
      <w:pPr>
        <w:shd w:val="clear" w:color="auto" w:fill="FFFFFF"/>
        <w:spacing w:after="150" w:line="276" w:lineRule="auto"/>
        <w:jc w:val="both"/>
        <w:rPr>
          <w:rFonts w:ascii="Calibri" w:hAnsi="Calibri" w:cs="Calibri"/>
          <w:lang w:val="en-US"/>
        </w:rPr>
      </w:pPr>
    </w:p>
    <w:p w14:paraId="07C27003" w14:textId="77777777" w:rsidR="009B69D0" w:rsidRDefault="009B69D0" w:rsidP="00457CB1">
      <w:pPr>
        <w:shd w:val="clear" w:color="auto" w:fill="FFFFFF"/>
        <w:spacing w:after="150" w:line="276" w:lineRule="auto"/>
        <w:jc w:val="both"/>
        <w:rPr>
          <w:rFonts w:ascii="Calibri" w:hAnsi="Calibri" w:cs="Calibri"/>
          <w:lang w:val="en-US"/>
        </w:rPr>
      </w:pPr>
      <w:r>
        <w:rPr>
          <w:rFonts w:ascii="Calibri" w:hAnsi="Calibri" w:cs="Calibri"/>
          <w:lang w:val="en-US"/>
        </w:rPr>
        <w:t>The general requirements on the quality management system</w:t>
      </w:r>
      <w:r w:rsidR="00A3078A">
        <w:rPr>
          <w:rFonts w:ascii="Calibri" w:hAnsi="Calibri" w:cs="Calibri"/>
          <w:lang w:val="en-US"/>
        </w:rPr>
        <w:t xml:space="preserve"> (QMS)</w:t>
      </w:r>
      <w:r>
        <w:rPr>
          <w:rFonts w:ascii="Calibri" w:hAnsi="Calibri" w:cs="Calibri"/>
          <w:lang w:val="en-US"/>
        </w:rPr>
        <w:t xml:space="preserve"> of medical devices and IVD’s are described in section 4.1 of the ISO 13485 as well as </w:t>
      </w:r>
      <w:r w:rsidR="000E43D3">
        <w:rPr>
          <w:rFonts w:ascii="Calibri" w:hAnsi="Calibri" w:cs="Calibri"/>
          <w:lang w:val="en-US"/>
        </w:rPr>
        <w:t xml:space="preserve">in Annex IX and </w:t>
      </w:r>
      <w:r>
        <w:rPr>
          <w:rFonts w:ascii="Calibri" w:hAnsi="Calibri" w:cs="Calibri"/>
          <w:lang w:val="en-US"/>
        </w:rPr>
        <w:t xml:space="preserve">the article 10 of the MDR and </w:t>
      </w:r>
      <w:r w:rsidR="000E43D3">
        <w:rPr>
          <w:rFonts w:ascii="Calibri" w:hAnsi="Calibri" w:cs="Calibri"/>
          <w:lang w:val="en-US"/>
        </w:rPr>
        <w:t>article 10 of the</w:t>
      </w:r>
      <w:r>
        <w:rPr>
          <w:rFonts w:ascii="Calibri" w:hAnsi="Calibri" w:cs="Calibri"/>
          <w:lang w:val="en-US"/>
        </w:rPr>
        <w:t xml:space="preserve"> IVDR.</w:t>
      </w:r>
      <w:r w:rsidR="000E43D3" w:rsidRPr="00011108">
        <w:rPr>
          <w:lang w:val="en-US"/>
        </w:rPr>
        <w:t xml:space="preserve"> The </w:t>
      </w:r>
      <w:r w:rsidR="000E43D3" w:rsidRPr="000E43D3">
        <w:rPr>
          <w:rFonts w:ascii="Calibri" w:hAnsi="Calibri" w:cs="Calibri"/>
          <w:lang w:val="en-US"/>
        </w:rPr>
        <w:t>Implementation of the quality management system shall ensure compliance with this Regulation</w:t>
      </w:r>
      <w:r w:rsidR="000E43D3">
        <w:rPr>
          <w:rFonts w:ascii="Calibri" w:hAnsi="Calibri" w:cs="Calibri"/>
          <w:lang w:val="en-US"/>
        </w:rPr>
        <w:t xml:space="preserve"> and the applicable standards.</w:t>
      </w:r>
    </w:p>
    <w:p w14:paraId="494FD238" w14:textId="0F467AB9" w:rsidR="000E43D3" w:rsidRDefault="000E43D3" w:rsidP="00A3078A">
      <w:pPr>
        <w:shd w:val="clear" w:color="auto" w:fill="FFFFFF"/>
        <w:spacing w:after="150" w:line="276" w:lineRule="auto"/>
        <w:jc w:val="both"/>
        <w:rPr>
          <w:rFonts w:ascii="Calibri" w:hAnsi="Calibri" w:cs="Calibri"/>
          <w:lang w:val="en-US"/>
        </w:rPr>
      </w:pPr>
      <w:r>
        <w:rPr>
          <w:rFonts w:ascii="Calibri" w:hAnsi="Calibri" w:cs="Calibri"/>
          <w:lang w:val="en-US"/>
        </w:rPr>
        <w:t xml:space="preserve">The trending process is one of the key </w:t>
      </w:r>
      <w:r w:rsidR="00A3078A">
        <w:rPr>
          <w:rFonts w:ascii="Calibri" w:hAnsi="Calibri" w:cs="Calibri"/>
          <w:lang w:val="en-US"/>
        </w:rPr>
        <w:t>element</w:t>
      </w:r>
      <w:r w:rsidR="00A04C3D">
        <w:rPr>
          <w:rFonts w:ascii="Calibri" w:hAnsi="Calibri" w:cs="Calibri"/>
          <w:lang w:val="en-US"/>
        </w:rPr>
        <w:t>s</w:t>
      </w:r>
      <w:r>
        <w:rPr>
          <w:rFonts w:ascii="Calibri" w:hAnsi="Calibri" w:cs="Calibri"/>
          <w:lang w:val="en-US"/>
        </w:rPr>
        <w:t xml:space="preserve"> of vigilance</w:t>
      </w:r>
      <w:r w:rsidR="00A3078A">
        <w:rPr>
          <w:rFonts w:ascii="Calibri" w:hAnsi="Calibri" w:cs="Calibri"/>
          <w:lang w:val="en-US"/>
        </w:rPr>
        <w:t>, risk management</w:t>
      </w:r>
      <w:r>
        <w:rPr>
          <w:rFonts w:ascii="Calibri" w:hAnsi="Calibri" w:cs="Calibri"/>
          <w:lang w:val="en-US"/>
        </w:rPr>
        <w:t xml:space="preserve"> and PMS processes</w:t>
      </w:r>
      <w:r w:rsidR="00A3078A">
        <w:rPr>
          <w:rFonts w:ascii="Calibri" w:hAnsi="Calibri" w:cs="Calibri"/>
          <w:lang w:val="en-US"/>
        </w:rPr>
        <w:t xml:space="preserve"> and of the QMS. </w:t>
      </w:r>
      <w:r w:rsidR="00A3078A" w:rsidRPr="00A3078A">
        <w:rPr>
          <w:rFonts w:ascii="Calibri" w:hAnsi="Calibri" w:cs="Calibri"/>
          <w:lang w:val="en-US"/>
        </w:rPr>
        <w:t xml:space="preserve">The </w:t>
      </w:r>
      <w:r w:rsidR="00A3078A">
        <w:rPr>
          <w:rFonts w:ascii="Calibri" w:hAnsi="Calibri" w:cs="Calibri"/>
          <w:lang w:val="en-US"/>
        </w:rPr>
        <w:t>manufacturers of medical devices and IVD’s</w:t>
      </w:r>
      <w:r w:rsidR="00A3078A" w:rsidRPr="00A3078A">
        <w:rPr>
          <w:rFonts w:ascii="Calibri" w:hAnsi="Calibri" w:cs="Calibri"/>
          <w:lang w:val="en-US"/>
        </w:rPr>
        <w:t xml:space="preserve"> shall plan and implement the monitoring, measurement, analysis</w:t>
      </w:r>
      <w:r w:rsidR="00A3078A">
        <w:rPr>
          <w:rFonts w:ascii="Calibri" w:hAnsi="Calibri" w:cs="Calibri"/>
          <w:lang w:val="en-US"/>
        </w:rPr>
        <w:t xml:space="preserve"> needed</w:t>
      </w:r>
      <w:r w:rsidR="00A3078A" w:rsidRPr="00A3078A">
        <w:rPr>
          <w:rFonts w:ascii="Calibri" w:hAnsi="Calibri" w:cs="Calibri"/>
          <w:lang w:val="en-US"/>
        </w:rPr>
        <w:t xml:space="preserve"> </w:t>
      </w:r>
      <w:r w:rsidR="00A3078A">
        <w:rPr>
          <w:rFonts w:ascii="Calibri" w:hAnsi="Calibri" w:cs="Calibri"/>
          <w:lang w:val="en-US"/>
        </w:rPr>
        <w:t xml:space="preserve">to </w:t>
      </w:r>
      <w:r w:rsidR="00A3078A" w:rsidRPr="00A3078A">
        <w:rPr>
          <w:rFonts w:ascii="Calibri" w:hAnsi="Calibri" w:cs="Calibri"/>
          <w:lang w:val="en-US"/>
        </w:rPr>
        <w:t>demonstrate conformity</w:t>
      </w:r>
      <w:r w:rsidR="00A3078A">
        <w:rPr>
          <w:rFonts w:ascii="Calibri" w:hAnsi="Calibri" w:cs="Calibri"/>
          <w:lang w:val="en-US"/>
        </w:rPr>
        <w:t>, the performance, and the safety of their products and to</w:t>
      </w:r>
      <w:r w:rsidR="00A3078A" w:rsidRPr="00011108">
        <w:rPr>
          <w:lang w:val="en-US"/>
        </w:rPr>
        <w:t xml:space="preserve"> </w:t>
      </w:r>
      <w:r w:rsidR="00A3078A" w:rsidRPr="00A3078A">
        <w:rPr>
          <w:rFonts w:ascii="Calibri" w:hAnsi="Calibri" w:cs="Calibri"/>
          <w:lang w:val="en-US"/>
        </w:rPr>
        <w:t>ensure conformity</w:t>
      </w:r>
      <w:r w:rsidR="00E21FDB">
        <w:rPr>
          <w:rFonts w:ascii="Calibri" w:hAnsi="Calibri" w:cs="Calibri"/>
          <w:lang w:val="en-US"/>
        </w:rPr>
        <w:t xml:space="preserve"> and </w:t>
      </w:r>
      <w:r w:rsidR="00A3078A" w:rsidRPr="00A3078A">
        <w:rPr>
          <w:rFonts w:ascii="Calibri" w:hAnsi="Calibri" w:cs="Calibri"/>
          <w:lang w:val="en-US"/>
        </w:rPr>
        <w:t>maintain the effectiveness of the quality management system</w:t>
      </w:r>
      <w:r w:rsidR="00A3078A">
        <w:rPr>
          <w:rFonts w:ascii="Calibri" w:hAnsi="Calibri" w:cs="Calibri"/>
          <w:lang w:val="en-US"/>
        </w:rPr>
        <w:t>.</w:t>
      </w:r>
    </w:p>
    <w:p w14:paraId="164091DA" w14:textId="77777777" w:rsidR="009142FB" w:rsidRDefault="00A3078A" w:rsidP="00457CB1">
      <w:pPr>
        <w:shd w:val="clear" w:color="auto" w:fill="FFFFFF"/>
        <w:spacing w:after="150" w:line="276" w:lineRule="auto"/>
        <w:jc w:val="both"/>
        <w:rPr>
          <w:rFonts w:ascii="Calibri" w:hAnsi="Calibri" w:cs="Calibri"/>
          <w:lang w:val="en-US"/>
        </w:rPr>
      </w:pPr>
      <w:r>
        <w:rPr>
          <w:rFonts w:ascii="Calibri" w:hAnsi="Calibri" w:cs="Calibri"/>
          <w:lang w:val="en-US"/>
        </w:rPr>
        <w:t>Therefore, and a</w:t>
      </w:r>
      <w:r w:rsidR="009142FB">
        <w:rPr>
          <w:rFonts w:ascii="Calibri" w:hAnsi="Calibri" w:cs="Calibri"/>
          <w:lang w:val="en-US"/>
        </w:rPr>
        <w:t>s required by</w:t>
      </w:r>
      <w:r w:rsidR="009B69D0">
        <w:rPr>
          <w:rFonts w:ascii="Calibri" w:hAnsi="Calibri" w:cs="Calibri"/>
          <w:lang w:val="en-US"/>
        </w:rPr>
        <w:t xml:space="preserve"> article 10.13 of the MDR and Article 10.12 of the IVDR m</w:t>
      </w:r>
      <w:r w:rsidR="009142FB" w:rsidRPr="009142FB">
        <w:rPr>
          <w:rFonts w:ascii="Calibri" w:hAnsi="Calibri" w:cs="Calibri"/>
          <w:lang w:val="en-US"/>
        </w:rPr>
        <w:t>anufacturers shall have a system for recording and reporting of incidents and field safety corrective actions as described in Articles 87 and 88</w:t>
      </w:r>
      <w:r w:rsidR="009B69D0">
        <w:rPr>
          <w:rFonts w:ascii="Calibri" w:hAnsi="Calibri" w:cs="Calibri"/>
          <w:lang w:val="en-US"/>
        </w:rPr>
        <w:t xml:space="preserve"> of the MDR and Articles 82 and 83 of the IVDR.</w:t>
      </w:r>
    </w:p>
    <w:p w14:paraId="46281410" w14:textId="77777777" w:rsidR="00457CB1" w:rsidRPr="00C94BB0" w:rsidRDefault="00457CB1" w:rsidP="00457CB1">
      <w:pPr>
        <w:pStyle w:val="NormalWeb"/>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lastRenderedPageBreak/>
        <w:t>The risk management and clinical evaluation</w:t>
      </w:r>
      <w:r w:rsidR="00DB278C">
        <w:rPr>
          <w:rFonts w:ascii="Calibri" w:hAnsi="Calibri" w:cs="Calibri"/>
          <w:lang w:val="en-US" w:eastAsia="en-US"/>
        </w:rPr>
        <w:t>, PMS</w:t>
      </w:r>
      <w:r w:rsidRPr="00C94BB0">
        <w:rPr>
          <w:rFonts w:ascii="Calibri" w:hAnsi="Calibri" w:cs="Calibri"/>
          <w:lang w:val="en-US" w:eastAsia="en-US"/>
        </w:rPr>
        <w:t xml:space="preserve"> processes under which manufacturers operate are essential key elements in trend reporting being the basis of determining: </w:t>
      </w:r>
    </w:p>
    <w:p w14:paraId="0A9688AD" w14:textId="77777777" w:rsidR="00457CB1" w:rsidRPr="00C94BB0" w:rsidRDefault="00457CB1" w:rsidP="00457CB1">
      <w:pPr>
        <w:pStyle w:val="NormalWeb"/>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trends become significant, </w:t>
      </w:r>
    </w:p>
    <w:p w14:paraId="4C0606AD" w14:textId="77777777" w:rsidR="00457CB1" w:rsidRPr="00C94BB0" w:rsidRDefault="00457CB1" w:rsidP="00457CB1">
      <w:pPr>
        <w:pStyle w:val="NormalWeb"/>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the acceptable (lowest) risk level (severity-harm combination) might become threatened, </w:t>
      </w:r>
    </w:p>
    <w:p w14:paraId="1E3AECAC" w14:textId="77777777" w:rsidR="00457CB1" w:rsidRPr="00C94BB0" w:rsidRDefault="00457CB1" w:rsidP="00457CB1">
      <w:pPr>
        <w:pStyle w:val="NormalWeb"/>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the risk-benefit analysis of residual risk </w:t>
      </w:r>
      <w:r>
        <w:rPr>
          <w:rFonts w:ascii="Calibri" w:hAnsi="Calibri" w:cs="Calibri"/>
          <w:lang w:val="en-US" w:eastAsia="en-US"/>
        </w:rPr>
        <w:t xml:space="preserve">has </w:t>
      </w:r>
      <w:r w:rsidRPr="00C94BB0">
        <w:rPr>
          <w:rFonts w:ascii="Calibri" w:hAnsi="Calibri" w:cs="Calibri"/>
          <w:lang w:val="en-US" w:eastAsia="en-US"/>
        </w:rPr>
        <w:t xml:space="preserve">led or may lead to unacceptable risks to health or safety of patients, </w:t>
      </w:r>
    </w:p>
    <w:p w14:paraId="55964372" w14:textId="77777777" w:rsidR="00457CB1" w:rsidRPr="00C94BB0" w:rsidRDefault="00457CB1" w:rsidP="00457CB1">
      <w:pPr>
        <w:pStyle w:val="NormalWeb"/>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the residual risk does not constitute an acceptable risk when weighed against the benefits to patient, </w:t>
      </w:r>
    </w:p>
    <w:p w14:paraId="00A658C4" w14:textId="77777777" w:rsidR="00457CB1" w:rsidRPr="00C905EC" w:rsidRDefault="00457CB1" w:rsidP="00C905EC">
      <w:pPr>
        <w:pStyle w:val="NormalWeb"/>
        <w:numPr>
          <w:ilvl w:val="0"/>
          <w:numId w:val="6"/>
        </w:numPr>
        <w:shd w:val="clear" w:color="auto" w:fill="FFFFFF"/>
        <w:spacing w:before="0" w:beforeAutospacing="0" w:after="150" w:afterAutospacing="0" w:line="276" w:lineRule="auto"/>
        <w:jc w:val="both"/>
        <w:rPr>
          <w:rFonts w:ascii="Calibri" w:hAnsi="Calibri" w:cs="Calibri"/>
          <w:lang w:val="en-US"/>
        </w:rPr>
      </w:pPr>
      <w:r w:rsidRPr="00C94BB0">
        <w:rPr>
          <w:rFonts w:ascii="Calibri" w:hAnsi="Calibri" w:cs="Calibri"/>
          <w:lang w:val="en-US" w:eastAsia="en-US"/>
        </w:rPr>
        <w:t xml:space="preserve">when actions are necessary by manufacturers to address unacceptable risks. </w:t>
      </w:r>
    </w:p>
    <w:p w14:paraId="08A7FD58" w14:textId="77777777" w:rsidR="00BF3048" w:rsidRDefault="00BF3048" w:rsidP="00687EBF">
      <w:pPr>
        <w:pStyle w:val="CommentText"/>
        <w:spacing w:line="276" w:lineRule="auto"/>
        <w:jc w:val="both"/>
        <w:rPr>
          <w:rFonts w:ascii="Calibri" w:eastAsia="Times New Roman" w:hAnsi="Calibri" w:cs="Calibri"/>
          <w:sz w:val="24"/>
          <w:szCs w:val="24"/>
          <w:lang w:val="en-US"/>
        </w:rPr>
      </w:pPr>
    </w:p>
    <w:p w14:paraId="2FAEDDE8" w14:textId="77777777" w:rsidR="003627DB" w:rsidRDefault="0008341A" w:rsidP="003627DB">
      <w:pPr>
        <w:pStyle w:val="NormalWeb"/>
        <w:numPr>
          <w:ilvl w:val="0"/>
          <w:numId w:val="1"/>
        </w:numPr>
        <w:shd w:val="clear" w:color="auto" w:fill="FFFFFF"/>
        <w:spacing w:before="0" w:beforeAutospacing="0" w:after="150" w:afterAutospacing="0" w:line="276" w:lineRule="auto"/>
        <w:jc w:val="both"/>
        <w:rPr>
          <w:b/>
          <w:bCs/>
          <w:lang w:val="en-US"/>
        </w:rPr>
      </w:pPr>
      <w:r w:rsidRPr="00BE42A4">
        <w:rPr>
          <w:rFonts w:asciiTheme="minorHAnsi" w:hAnsiTheme="minorHAnsi" w:cstheme="minorHAnsi"/>
          <w:b/>
          <w:bCs/>
          <w:lang w:val="en-US"/>
        </w:rPr>
        <w:t>Which incidents/undesirable side-effects</w:t>
      </w:r>
      <w:r w:rsidR="00F37F21" w:rsidRPr="00BE42A4">
        <w:rPr>
          <w:rFonts w:asciiTheme="minorHAnsi" w:hAnsiTheme="minorHAnsi" w:cstheme="minorHAnsi"/>
          <w:b/>
          <w:bCs/>
          <w:lang w:val="en-US"/>
        </w:rPr>
        <w:t>/</w:t>
      </w:r>
      <w:r w:rsidR="00F37F21" w:rsidRPr="00BE42A4">
        <w:rPr>
          <w:rFonts w:asciiTheme="minorHAnsi" w:hAnsiTheme="minorHAnsi" w:cstheme="minorHAnsi"/>
          <w:b/>
          <w:lang w:val="en-US"/>
        </w:rPr>
        <w:t>expected erroneous result</w:t>
      </w:r>
      <w:r w:rsidRPr="00BE42A4">
        <w:rPr>
          <w:rFonts w:asciiTheme="minorHAnsi" w:hAnsiTheme="minorHAnsi" w:cstheme="minorHAnsi"/>
          <w:b/>
          <w:bCs/>
          <w:lang w:val="en-US"/>
        </w:rPr>
        <w:t xml:space="preserve"> from a geographic perspective have to be included in Trend Reporting?</w:t>
      </w:r>
    </w:p>
    <w:p w14:paraId="6283D074" w14:textId="77777777" w:rsidR="003627DB" w:rsidRDefault="003627DB" w:rsidP="003627DB">
      <w:pPr>
        <w:spacing w:after="160" w:line="276" w:lineRule="auto"/>
        <w:jc w:val="both"/>
        <w:rPr>
          <w:rFonts w:ascii="Calibri" w:hAnsi="Calibri" w:cs="Calibri"/>
          <w:bCs/>
          <w:lang w:val="en-US"/>
        </w:rPr>
      </w:pPr>
      <w:r w:rsidRPr="003627DB">
        <w:rPr>
          <w:rFonts w:ascii="Calibri" w:hAnsi="Calibri" w:cs="Calibri"/>
          <w:bCs/>
          <w:lang w:val="en-US"/>
        </w:rPr>
        <w:t xml:space="preserve">The manufacturer has to record incidents and expected undesirable side effects in accordance with Articles 83-86 of the MDR prescription for the post market surveillance. </w:t>
      </w:r>
    </w:p>
    <w:p w14:paraId="75E0D90D" w14:textId="680DE842" w:rsidR="003627DB" w:rsidRPr="00570E90" w:rsidRDefault="003627DB" w:rsidP="003627DB">
      <w:pPr>
        <w:spacing w:after="160" w:line="276" w:lineRule="auto"/>
        <w:jc w:val="both"/>
        <w:rPr>
          <w:rFonts w:ascii="Calibri" w:hAnsi="Calibri" w:cs="Calibri"/>
          <w:bCs/>
          <w:lang w:val="en-US"/>
        </w:rPr>
      </w:pPr>
      <w:r w:rsidRPr="00570E90">
        <w:rPr>
          <w:rFonts w:ascii="Calibri" w:hAnsi="Calibri" w:cs="Calibri"/>
          <w:bCs/>
          <w:lang w:val="en-US"/>
        </w:rPr>
        <w:t xml:space="preserve">In order to </w:t>
      </w:r>
      <w:r w:rsidR="002C2143" w:rsidRPr="00570E90">
        <w:rPr>
          <w:rFonts w:ascii="Calibri" w:hAnsi="Calibri" w:cs="Calibri"/>
          <w:bCs/>
          <w:lang w:val="en-US"/>
        </w:rPr>
        <w:t xml:space="preserve">have a statistically significant data as a base for a trend report, the manufacturer </w:t>
      </w:r>
      <w:r w:rsidR="00E21FDB" w:rsidRPr="00570E90">
        <w:rPr>
          <w:rFonts w:ascii="Calibri" w:hAnsi="Calibri" w:cs="Calibri"/>
          <w:bCs/>
          <w:lang w:val="en-US"/>
        </w:rPr>
        <w:t xml:space="preserve">has </w:t>
      </w:r>
      <w:r w:rsidR="002C2143" w:rsidRPr="00570E90">
        <w:rPr>
          <w:rFonts w:ascii="Calibri" w:hAnsi="Calibri" w:cs="Calibri"/>
          <w:bCs/>
          <w:lang w:val="en-US"/>
        </w:rPr>
        <w:t xml:space="preserve">to take into account all the incidents related to a specific trend and from a geographic perspective has to consider all the incidents </w:t>
      </w:r>
      <w:r w:rsidR="00E21FDB" w:rsidRPr="00570E90">
        <w:rPr>
          <w:rFonts w:ascii="Calibri" w:hAnsi="Calibri" w:cs="Calibri"/>
          <w:bCs/>
          <w:lang w:val="en-US"/>
        </w:rPr>
        <w:t xml:space="preserve">that have </w:t>
      </w:r>
      <w:r w:rsidR="002C2143" w:rsidRPr="00570E90">
        <w:rPr>
          <w:rFonts w:ascii="Calibri" w:hAnsi="Calibri" w:cs="Calibri"/>
          <w:bCs/>
          <w:lang w:val="en-US"/>
        </w:rPr>
        <w:t>occurr</w:t>
      </w:r>
      <w:r w:rsidR="00E21FDB" w:rsidRPr="00570E90">
        <w:rPr>
          <w:rFonts w:ascii="Calibri" w:hAnsi="Calibri" w:cs="Calibri"/>
          <w:bCs/>
          <w:lang w:val="en-US"/>
        </w:rPr>
        <w:t>ed</w:t>
      </w:r>
      <w:r w:rsidR="002C2143" w:rsidRPr="00570E90">
        <w:rPr>
          <w:rFonts w:ascii="Calibri" w:hAnsi="Calibri" w:cs="Calibri"/>
          <w:bCs/>
          <w:lang w:val="en-US"/>
        </w:rPr>
        <w:t xml:space="preserve"> worldwide. </w:t>
      </w:r>
      <w:r w:rsidR="00E21FDB" w:rsidRPr="00570E90">
        <w:rPr>
          <w:rFonts w:ascii="Calibri" w:hAnsi="Calibri" w:cs="Calibri"/>
          <w:bCs/>
          <w:lang w:val="en-US"/>
        </w:rPr>
        <w:t>T</w:t>
      </w:r>
      <w:r w:rsidR="002C2143" w:rsidRPr="00570E90">
        <w:rPr>
          <w:rFonts w:ascii="Calibri" w:hAnsi="Calibri" w:cs="Calibri"/>
          <w:bCs/>
          <w:lang w:val="en-US"/>
        </w:rPr>
        <w:t xml:space="preserve">he worldwide data about incidents collected by the manufacturer </w:t>
      </w:r>
      <w:r w:rsidR="00E21FDB" w:rsidRPr="00570E90">
        <w:rPr>
          <w:rFonts w:ascii="Calibri" w:hAnsi="Calibri" w:cs="Calibri"/>
          <w:bCs/>
          <w:lang w:val="en-US"/>
        </w:rPr>
        <w:t>during</w:t>
      </w:r>
      <w:r w:rsidR="002C2143" w:rsidRPr="00570E90">
        <w:rPr>
          <w:rFonts w:ascii="Calibri" w:hAnsi="Calibri" w:cs="Calibri"/>
          <w:bCs/>
          <w:lang w:val="en-US"/>
        </w:rPr>
        <w:t xml:space="preserve"> PMS activity, are all useful to define the statistically significant dataset which establish a trend. This trend be notified to the countries in which MDR is applicable</w:t>
      </w:r>
      <w:r w:rsidR="00E21FDB" w:rsidRPr="00570E90">
        <w:rPr>
          <w:rFonts w:ascii="Calibri" w:hAnsi="Calibri" w:cs="Calibri"/>
          <w:bCs/>
          <w:lang w:val="en-US"/>
        </w:rPr>
        <w:t xml:space="preserve"> and where related incidents occurred</w:t>
      </w:r>
      <w:r w:rsidR="002C2143" w:rsidRPr="00570E90">
        <w:rPr>
          <w:rFonts w:ascii="Calibri" w:hAnsi="Calibri" w:cs="Calibri"/>
          <w:bCs/>
          <w:lang w:val="en-US"/>
        </w:rPr>
        <w:t>.</w:t>
      </w:r>
    </w:p>
    <w:p w14:paraId="4DF3C740" w14:textId="09E58971" w:rsidR="00BF3048" w:rsidRPr="00152C56" w:rsidRDefault="003627DB" w:rsidP="0027190C">
      <w:pPr>
        <w:pStyle w:val="NormalWeb"/>
        <w:shd w:val="clear" w:color="auto" w:fill="FFFFFF"/>
        <w:spacing w:before="0" w:beforeAutospacing="0" w:after="150" w:afterAutospacing="0" w:line="276" w:lineRule="auto"/>
        <w:jc w:val="both"/>
        <w:rPr>
          <w:rFonts w:ascii="Calibri" w:hAnsi="Calibri" w:cs="Calibri"/>
          <w:lang w:val="en-US"/>
        </w:rPr>
      </w:pPr>
      <w:r w:rsidRPr="004E5EB2">
        <w:rPr>
          <w:rFonts w:ascii="Calibri" w:hAnsi="Calibri" w:cs="Calibri"/>
          <w:lang w:val="en-US"/>
        </w:rPr>
        <w:t>Therefore, t</w:t>
      </w:r>
      <w:r w:rsidR="00BF3048" w:rsidRPr="004E5EB2">
        <w:rPr>
          <w:rFonts w:ascii="Calibri" w:hAnsi="Calibri" w:cs="Calibri"/>
          <w:lang w:val="en-US"/>
        </w:rPr>
        <w:t>he detection of trend</w:t>
      </w:r>
      <w:r w:rsidR="00E21FDB">
        <w:rPr>
          <w:rFonts w:ascii="Calibri" w:hAnsi="Calibri" w:cs="Calibri"/>
          <w:lang w:val="en-US"/>
        </w:rPr>
        <w:t>s</w:t>
      </w:r>
      <w:r w:rsidR="00BF3048" w:rsidRPr="004E5EB2">
        <w:rPr>
          <w:rFonts w:ascii="Calibri" w:hAnsi="Calibri" w:cs="Calibri"/>
          <w:lang w:val="en-US"/>
        </w:rPr>
        <w:t xml:space="preserve"> is based</w:t>
      </w:r>
      <w:r w:rsidRPr="004E5EB2">
        <w:rPr>
          <w:rFonts w:ascii="Calibri" w:hAnsi="Calibri" w:cs="Calibri"/>
          <w:lang w:val="en-US"/>
        </w:rPr>
        <w:t xml:space="preserve"> </w:t>
      </w:r>
      <w:r w:rsidR="00BF3048" w:rsidRPr="004E5EB2">
        <w:rPr>
          <w:rFonts w:ascii="Calibri" w:hAnsi="Calibri" w:cs="Calibri"/>
          <w:lang w:val="en-US"/>
        </w:rPr>
        <w:t xml:space="preserve">on the </w:t>
      </w:r>
      <w:r w:rsidR="00110F2E">
        <w:rPr>
          <w:rFonts w:ascii="Calibri" w:hAnsi="Calibri" w:cs="Calibri"/>
          <w:lang w:val="en-US"/>
        </w:rPr>
        <w:t xml:space="preserve">data collected about incidents </w:t>
      </w:r>
      <w:r w:rsidR="00B203F3">
        <w:rPr>
          <w:rFonts w:ascii="Calibri" w:hAnsi="Calibri" w:cs="Calibri"/>
          <w:lang w:val="en-US"/>
        </w:rPr>
        <w:t>occurring</w:t>
      </w:r>
      <w:r w:rsidR="00110F2E">
        <w:rPr>
          <w:rFonts w:ascii="Calibri" w:hAnsi="Calibri" w:cs="Calibri"/>
          <w:lang w:val="en-US"/>
        </w:rPr>
        <w:t xml:space="preserve"> in Europe and </w:t>
      </w:r>
      <w:r w:rsidR="00110F2E" w:rsidRPr="00077B18">
        <w:rPr>
          <w:rFonts w:asciiTheme="minorHAnsi" w:hAnsiTheme="minorHAnsi" w:cstheme="minorHAnsi"/>
          <w:lang w:val="en-US"/>
        </w:rPr>
        <w:t>worldwi</w:t>
      </w:r>
      <w:r w:rsidR="00C905EC" w:rsidRPr="00077B18">
        <w:rPr>
          <w:rFonts w:asciiTheme="minorHAnsi" w:hAnsiTheme="minorHAnsi" w:cstheme="minorHAnsi"/>
          <w:lang w:val="en-US"/>
        </w:rPr>
        <w:t>de</w:t>
      </w:r>
      <w:r w:rsidR="00872111" w:rsidRPr="00077B18">
        <w:rPr>
          <w:rFonts w:asciiTheme="minorHAnsi" w:hAnsiTheme="minorHAnsi" w:cstheme="minorHAnsi"/>
          <w:lang w:val="en-US"/>
        </w:rPr>
        <w:t xml:space="preserve">. </w:t>
      </w:r>
      <w:r w:rsidR="00A33A09" w:rsidRPr="00077B18">
        <w:rPr>
          <w:rFonts w:asciiTheme="minorHAnsi" w:hAnsiTheme="minorHAnsi" w:cstheme="minorHAnsi"/>
          <w:lang w:val="en-US"/>
        </w:rPr>
        <w:t>Consider limitation</w:t>
      </w:r>
      <w:r w:rsidR="00E04F91" w:rsidRPr="00077B18">
        <w:rPr>
          <w:rFonts w:asciiTheme="minorHAnsi" w:hAnsiTheme="minorHAnsi" w:cstheme="minorHAnsi"/>
        </w:rPr>
        <w:t xml:space="preserve"> to those countries where incident reporting is applied. </w:t>
      </w:r>
      <w:r w:rsidR="0032456E" w:rsidRPr="00077B18">
        <w:rPr>
          <w:rFonts w:ascii="Calibri" w:hAnsi="Calibri" w:cs="Calibri"/>
          <w:lang w:val="en-US"/>
        </w:rPr>
        <w:t xml:space="preserve">The </w:t>
      </w:r>
      <w:r w:rsidR="0032456E">
        <w:rPr>
          <w:rFonts w:ascii="Calibri" w:hAnsi="Calibri" w:cs="Calibri"/>
          <w:lang w:val="en-US"/>
        </w:rPr>
        <w:t xml:space="preserve">manufacturer should prepare a trend report when </w:t>
      </w:r>
      <w:r w:rsidR="00FA6BCC">
        <w:rPr>
          <w:rFonts w:ascii="Calibri" w:hAnsi="Calibri" w:cs="Calibri"/>
          <w:lang w:val="en-US"/>
        </w:rPr>
        <w:t xml:space="preserve">the trend includes </w:t>
      </w:r>
      <w:r w:rsidR="0032456E">
        <w:rPr>
          <w:rFonts w:ascii="Calibri" w:hAnsi="Calibri" w:cs="Calibri"/>
          <w:lang w:val="en-US"/>
        </w:rPr>
        <w:t xml:space="preserve">at least one incident </w:t>
      </w:r>
      <w:r w:rsidR="00FA6BCC">
        <w:rPr>
          <w:rFonts w:ascii="Calibri" w:hAnsi="Calibri" w:cs="Calibri"/>
          <w:lang w:val="en-US"/>
        </w:rPr>
        <w:t xml:space="preserve">that </w:t>
      </w:r>
      <w:r w:rsidR="001D5306">
        <w:rPr>
          <w:rFonts w:ascii="Calibri" w:hAnsi="Calibri" w:cs="Calibri"/>
          <w:lang w:val="en-US"/>
        </w:rPr>
        <w:t xml:space="preserve">occurred </w:t>
      </w:r>
      <w:r w:rsidR="0032456E">
        <w:rPr>
          <w:rFonts w:ascii="Calibri" w:hAnsi="Calibri" w:cs="Calibri"/>
          <w:lang w:val="en-US"/>
        </w:rPr>
        <w:t xml:space="preserve">in the </w:t>
      </w:r>
      <w:r w:rsidR="003E3C57">
        <w:rPr>
          <w:rFonts w:ascii="Calibri" w:hAnsi="Calibri" w:cs="Calibri"/>
          <w:lang w:val="en-US"/>
        </w:rPr>
        <w:t>European Economic Area (</w:t>
      </w:r>
      <w:r w:rsidR="0032456E">
        <w:rPr>
          <w:rFonts w:ascii="Calibri" w:hAnsi="Calibri" w:cs="Calibri"/>
          <w:lang w:val="en-US"/>
        </w:rPr>
        <w:t>EEA</w:t>
      </w:r>
      <w:r w:rsidR="003E3C57">
        <w:rPr>
          <w:rFonts w:ascii="Calibri" w:hAnsi="Calibri" w:cs="Calibri"/>
          <w:lang w:val="en-US"/>
        </w:rPr>
        <w:t>)</w:t>
      </w:r>
      <w:r w:rsidR="0032456E">
        <w:rPr>
          <w:rFonts w:ascii="Calibri" w:hAnsi="Calibri" w:cs="Calibri"/>
          <w:lang w:val="en-US"/>
        </w:rPr>
        <w:t>+</w:t>
      </w:r>
      <w:r w:rsidR="003E3C57" w:rsidRPr="003E3C57">
        <w:rPr>
          <w:lang w:val="en-US"/>
        </w:rPr>
        <w:t xml:space="preserve"> </w:t>
      </w:r>
      <w:r w:rsidR="003E3C57" w:rsidRPr="003E3C57">
        <w:rPr>
          <w:rFonts w:ascii="Calibri" w:hAnsi="Calibri" w:cs="Calibri"/>
          <w:lang w:val="en-US"/>
        </w:rPr>
        <w:t xml:space="preserve">Turkey </w:t>
      </w:r>
      <w:r w:rsidR="003E3C57">
        <w:rPr>
          <w:rFonts w:ascii="Calibri" w:hAnsi="Calibri" w:cs="Calibri"/>
          <w:lang w:val="en-US"/>
        </w:rPr>
        <w:t>(</w:t>
      </w:r>
      <w:r w:rsidR="0032456E">
        <w:rPr>
          <w:rFonts w:ascii="Calibri" w:hAnsi="Calibri" w:cs="Calibri"/>
          <w:lang w:val="en-US"/>
        </w:rPr>
        <w:t>TR</w:t>
      </w:r>
      <w:r w:rsidR="003E3C57">
        <w:rPr>
          <w:rFonts w:ascii="Calibri" w:hAnsi="Calibri" w:cs="Calibri"/>
          <w:lang w:val="en-US"/>
        </w:rPr>
        <w:t>)</w:t>
      </w:r>
      <w:r w:rsidR="0032456E">
        <w:rPr>
          <w:rFonts w:ascii="Calibri" w:hAnsi="Calibri" w:cs="Calibri"/>
          <w:lang w:val="en-US"/>
        </w:rPr>
        <w:t>+</w:t>
      </w:r>
      <w:r w:rsidR="003E3C57" w:rsidRPr="003E3C57">
        <w:rPr>
          <w:lang w:val="en-US"/>
        </w:rPr>
        <w:t xml:space="preserve"> </w:t>
      </w:r>
      <w:r w:rsidR="003E3C57" w:rsidRPr="003E3C57">
        <w:rPr>
          <w:rFonts w:ascii="Calibri" w:hAnsi="Calibri" w:cs="Calibri"/>
          <w:lang w:val="en-US"/>
        </w:rPr>
        <w:t>Northern Ireland</w:t>
      </w:r>
      <w:r w:rsidR="003E3C57">
        <w:rPr>
          <w:rFonts w:ascii="Calibri" w:hAnsi="Calibri" w:cs="Calibri"/>
          <w:lang w:val="en-US"/>
        </w:rPr>
        <w:t xml:space="preserve"> (</w:t>
      </w:r>
      <w:r w:rsidR="008A4326">
        <w:rPr>
          <w:rFonts w:ascii="Calibri" w:hAnsi="Calibri" w:cs="Calibri"/>
          <w:lang w:val="en-US"/>
        </w:rPr>
        <w:t>XI</w:t>
      </w:r>
      <w:r w:rsidR="003E3C57">
        <w:rPr>
          <w:rFonts w:ascii="Calibri" w:hAnsi="Calibri" w:cs="Calibri"/>
          <w:lang w:val="en-US"/>
        </w:rPr>
        <w:t>)</w:t>
      </w:r>
      <w:r w:rsidR="0032456E">
        <w:rPr>
          <w:rFonts w:ascii="Calibri" w:hAnsi="Calibri" w:cs="Calibri"/>
          <w:lang w:val="en-US"/>
        </w:rPr>
        <w:t xml:space="preserve">. </w:t>
      </w:r>
    </w:p>
    <w:p w14:paraId="1C2FC216" w14:textId="77777777" w:rsidR="00D4074D" w:rsidRPr="00436E78" w:rsidRDefault="00D4074D" w:rsidP="00436E78">
      <w:pPr>
        <w:autoSpaceDE w:val="0"/>
        <w:autoSpaceDN w:val="0"/>
        <w:adjustRightInd w:val="0"/>
        <w:spacing w:after="30" w:line="276" w:lineRule="auto"/>
        <w:jc w:val="both"/>
        <w:rPr>
          <w:rFonts w:ascii="Calibri" w:hAnsi="Calibri" w:cs="Calibri"/>
          <w:lang w:val="en-GB" w:eastAsia="de-DE"/>
        </w:rPr>
      </w:pPr>
    </w:p>
    <w:p w14:paraId="6F3585AE" w14:textId="77777777" w:rsidR="00D4074D" w:rsidRPr="000D5C84" w:rsidRDefault="00D4074D" w:rsidP="000D5C84">
      <w:pPr>
        <w:pStyle w:val="ListParagraph"/>
        <w:numPr>
          <w:ilvl w:val="0"/>
          <w:numId w:val="1"/>
        </w:numPr>
        <w:autoSpaceDE w:val="0"/>
        <w:autoSpaceDN w:val="0"/>
        <w:adjustRightInd w:val="0"/>
        <w:spacing w:after="30" w:line="276" w:lineRule="auto"/>
        <w:jc w:val="both"/>
        <w:rPr>
          <w:rFonts w:ascii="Calibri" w:hAnsi="Calibri" w:cs="Calibri"/>
          <w:b/>
          <w:bCs/>
          <w:lang w:val="en-GB" w:eastAsia="de-DE"/>
        </w:rPr>
      </w:pPr>
      <w:r w:rsidRPr="000D5C84">
        <w:rPr>
          <w:rFonts w:ascii="Calibri" w:hAnsi="Calibri" w:cs="Calibri"/>
          <w:b/>
          <w:bCs/>
          <w:lang w:val="en-GB" w:eastAsia="de-DE"/>
        </w:rPr>
        <w:t>Does a trend report refer only to one device or</w:t>
      </w:r>
      <w:r w:rsidR="00E21FDB">
        <w:rPr>
          <w:rFonts w:ascii="Calibri" w:hAnsi="Calibri" w:cs="Calibri"/>
          <w:b/>
          <w:bCs/>
          <w:lang w:val="en-GB" w:eastAsia="de-DE"/>
        </w:rPr>
        <w:t xml:space="preserve"> potentially</w:t>
      </w:r>
      <w:r w:rsidRPr="000D5C84">
        <w:rPr>
          <w:rFonts w:ascii="Calibri" w:hAnsi="Calibri" w:cs="Calibri"/>
          <w:b/>
          <w:bCs/>
          <w:lang w:val="en-GB" w:eastAsia="de-DE"/>
        </w:rPr>
        <w:t xml:space="preserve"> also to a group of devices?</w:t>
      </w:r>
    </w:p>
    <w:p w14:paraId="73564D2F" w14:textId="5FA7243F" w:rsidR="00DD0B42" w:rsidRDefault="00D4074D" w:rsidP="00436E78">
      <w:pPr>
        <w:autoSpaceDE w:val="0"/>
        <w:autoSpaceDN w:val="0"/>
        <w:adjustRightInd w:val="0"/>
        <w:spacing w:after="30" w:line="276" w:lineRule="auto"/>
        <w:jc w:val="both"/>
        <w:rPr>
          <w:rFonts w:ascii="Calibri" w:hAnsi="Calibri" w:cs="Calibri"/>
          <w:lang w:val="en-GB" w:eastAsia="de-DE"/>
        </w:rPr>
      </w:pPr>
      <w:r w:rsidRPr="00436E78">
        <w:rPr>
          <w:rFonts w:ascii="Calibri" w:hAnsi="Calibri" w:cs="Calibri"/>
          <w:lang w:val="en-GB" w:eastAsia="de-DE"/>
        </w:rPr>
        <w:t xml:space="preserve">As indicated in the </w:t>
      </w:r>
      <w:r w:rsidR="00DB1B17">
        <w:rPr>
          <w:rFonts w:ascii="Calibri" w:hAnsi="Calibri" w:cs="Calibri"/>
          <w:lang w:val="en-GB" w:eastAsia="de-DE"/>
        </w:rPr>
        <w:t>A</w:t>
      </w:r>
      <w:r w:rsidRPr="00436E78">
        <w:rPr>
          <w:rFonts w:ascii="Calibri" w:hAnsi="Calibri" w:cs="Calibri"/>
          <w:lang w:val="en-GB" w:eastAsia="de-DE"/>
        </w:rPr>
        <w:t>rticle 88</w:t>
      </w:r>
      <w:r w:rsidR="00DB1B17">
        <w:rPr>
          <w:rFonts w:ascii="Calibri" w:hAnsi="Calibri" w:cs="Calibri"/>
          <w:lang w:val="en-GB" w:eastAsia="de-DE"/>
        </w:rPr>
        <w:t xml:space="preserve"> </w:t>
      </w:r>
      <w:r w:rsidRPr="00436E78">
        <w:rPr>
          <w:rFonts w:ascii="Calibri" w:hAnsi="Calibri" w:cs="Calibri"/>
          <w:lang w:val="en-GB" w:eastAsia="de-DE"/>
        </w:rPr>
        <w:t>(1)</w:t>
      </w:r>
      <w:r w:rsidR="00DB1B17">
        <w:rPr>
          <w:rFonts w:ascii="Calibri" w:hAnsi="Calibri" w:cs="Calibri"/>
          <w:lang w:val="en-GB" w:eastAsia="de-DE"/>
        </w:rPr>
        <w:t xml:space="preserve"> of the MDR</w:t>
      </w:r>
      <w:r w:rsidR="001855C5">
        <w:rPr>
          <w:rFonts w:ascii="Calibri" w:hAnsi="Calibri" w:cs="Calibri"/>
          <w:lang w:val="en-GB" w:eastAsia="de-DE"/>
        </w:rPr>
        <w:t>,</w:t>
      </w:r>
      <w:r w:rsidR="00DB1B17">
        <w:rPr>
          <w:rFonts w:ascii="Calibri" w:hAnsi="Calibri" w:cs="Calibri"/>
          <w:lang w:val="en-GB" w:eastAsia="de-DE"/>
        </w:rPr>
        <w:t xml:space="preserve"> </w:t>
      </w:r>
      <w:r w:rsidR="00DD0B42" w:rsidRPr="00436E78">
        <w:rPr>
          <w:rFonts w:ascii="Calibri" w:hAnsi="Calibri" w:cs="Calibri"/>
          <w:lang w:val="en-GB" w:eastAsia="de-DE"/>
        </w:rPr>
        <w:t xml:space="preserve">a trend report could be performed for a </w:t>
      </w:r>
      <w:r w:rsidR="00DD0B42" w:rsidRPr="00DB1B17">
        <w:rPr>
          <w:rFonts w:ascii="Calibri" w:hAnsi="Calibri" w:cs="Calibri"/>
          <w:u w:val="single"/>
          <w:lang w:val="en-GB" w:eastAsia="de-DE"/>
        </w:rPr>
        <w:t>single device</w:t>
      </w:r>
      <w:r w:rsidR="00DD0B42" w:rsidRPr="00436E78">
        <w:rPr>
          <w:rFonts w:ascii="Calibri" w:hAnsi="Calibri" w:cs="Calibri"/>
          <w:lang w:val="en-GB" w:eastAsia="de-DE"/>
        </w:rPr>
        <w:t xml:space="preserve"> as </w:t>
      </w:r>
      <w:r w:rsidR="00E21FDB">
        <w:rPr>
          <w:rFonts w:ascii="Calibri" w:hAnsi="Calibri" w:cs="Calibri"/>
          <w:lang w:val="en-GB" w:eastAsia="de-DE"/>
        </w:rPr>
        <w:t>well as</w:t>
      </w:r>
      <w:r w:rsidR="00DD0B42" w:rsidRPr="00436E78">
        <w:rPr>
          <w:rFonts w:ascii="Calibri" w:hAnsi="Calibri" w:cs="Calibri"/>
          <w:lang w:val="en-GB" w:eastAsia="de-DE"/>
        </w:rPr>
        <w:t xml:space="preserve"> a </w:t>
      </w:r>
      <w:r w:rsidR="00DD0B42" w:rsidRPr="00DB1B17">
        <w:rPr>
          <w:rFonts w:ascii="Calibri" w:hAnsi="Calibri" w:cs="Calibri"/>
          <w:u w:val="single"/>
          <w:lang w:val="en-GB" w:eastAsia="de-DE"/>
        </w:rPr>
        <w:t>category</w:t>
      </w:r>
      <w:r w:rsidR="00DD0B42" w:rsidRPr="00436E78">
        <w:rPr>
          <w:rFonts w:ascii="Calibri" w:hAnsi="Calibri" w:cs="Calibri"/>
          <w:lang w:val="en-GB" w:eastAsia="de-DE"/>
        </w:rPr>
        <w:t xml:space="preserve"> or </w:t>
      </w:r>
      <w:r w:rsidR="00DD0B42" w:rsidRPr="00DB1B17">
        <w:rPr>
          <w:rFonts w:ascii="Calibri" w:hAnsi="Calibri" w:cs="Calibri"/>
          <w:u w:val="single"/>
          <w:lang w:val="en-GB" w:eastAsia="de-DE"/>
        </w:rPr>
        <w:t>group of devices</w:t>
      </w:r>
      <w:r w:rsidR="00845664">
        <w:rPr>
          <w:rFonts w:ascii="Calibri" w:hAnsi="Calibri" w:cs="Calibri"/>
          <w:u w:val="single"/>
          <w:lang w:val="en-GB" w:eastAsia="de-DE"/>
        </w:rPr>
        <w:t xml:space="preserve"> if they are impacted by the same incident</w:t>
      </w:r>
      <w:r w:rsidR="00E21FDB">
        <w:rPr>
          <w:rFonts w:ascii="Calibri" w:hAnsi="Calibri" w:cs="Calibri"/>
          <w:u w:val="single"/>
          <w:lang w:val="en-GB" w:eastAsia="de-DE"/>
        </w:rPr>
        <w:t>s</w:t>
      </w:r>
      <w:r w:rsidR="00845664">
        <w:rPr>
          <w:rFonts w:ascii="Calibri" w:hAnsi="Calibri" w:cs="Calibri"/>
          <w:u w:val="single"/>
          <w:lang w:val="en-GB" w:eastAsia="de-DE"/>
        </w:rPr>
        <w:t xml:space="preserve">/ </w:t>
      </w:r>
      <w:r w:rsidR="00845664" w:rsidRPr="00845664">
        <w:rPr>
          <w:rFonts w:ascii="Calibri" w:hAnsi="Calibri" w:cs="Calibri"/>
          <w:u w:val="single"/>
          <w:lang w:val="en-GB" w:eastAsia="de-DE"/>
        </w:rPr>
        <w:t>undesirable side-effects/</w:t>
      </w:r>
      <w:r w:rsidR="00845664">
        <w:rPr>
          <w:rFonts w:ascii="Calibri" w:hAnsi="Calibri" w:cs="Calibri"/>
          <w:u w:val="single"/>
          <w:lang w:val="en-GB" w:eastAsia="de-DE"/>
        </w:rPr>
        <w:t xml:space="preserve">or </w:t>
      </w:r>
      <w:r w:rsidR="00845664" w:rsidRPr="00845664">
        <w:rPr>
          <w:rFonts w:ascii="Calibri" w:hAnsi="Calibri" w:cs="Calibri"/>
          <w:u w:val="single"/>
          <w:lang w:val="en-GB" w:eastAsia="de-DE"/>
        </w:rPr>
        <w:t>expected erroneous</w:t>
      </w:r>
      <w:r w:rsidR="00DD0B42" w:rsidRPr="00436E78">
        <w:rPr>
          <w:rFonts w:ascii="Calibri" w:hAnsi="Calibri" w:cs="Calibri"/>
          <w:lang w:val="en-GB" w:eastAsia="de-DE"/>
        </w:rPr>
        <w:t xml:space="preserve">. </w:t>
      </w:r>
    </w:p>
    <w:p w14:paraId="2A266B9D" w14:textId="77777777" w:rsidR="00566D2B" w:rsidRPr="00436E78" w:rsidRDefault="00566D2B" w:rsidP="00436E78">
      <w:pPr>
        <w:autoSpaceDE w:val="0"/>
        <w:autoSpaceDN w:val="0"/>
        <w:adjustRightInd w:val="0"/>
        <w:spacing w:after="30" w:line="276" w:lineRule="auto"/>
        <w:jc w:val="both"/>
        <w:rPr>
          <w:rFonts w:ascii="Calibri" w:hAnsi="Calibri" w:cs="Calibri"/>
          <w:lang w:val="en-GB" w:eastAsia="de-DE"/>
        </w:rPr>
      </w:pPr>
    </w:p>
    <w:p w14:paraId="50DBF058" w14:textId="77777777" w:rsidR="009F146D" w:rsidRDefault="00DD0B42" w:rsidP="00C94BB0">
      <w:pPr>
        <w:autoSpaceDE w:val="0"/>
        <w:autoSpaceDN w:val="0"/>
        <w:adjustRightInd w:val="0"/>
        <w:spacing w:after="30" w:line="276" w:lineRule="auto"/>
        <w:jc w:val="both"/>
        <w:rPr>
          <w:rFonts w:ascii="Calibri" w:hAnsi="Calibri" w:cs="Calibri"/>
          <w:lang w:val="en-GB" w:eastAsia="de-DE"/>
        </w:rPr>
      </w:pPr>
      <w:r w:rsidRPr="00436E78">
        <w:rPr>
          <w:rFonts w:ascii="Calibri" w:hAnsi="Calibri" w:cs="Calibri"/>
          <w:lang w:val="en-GB" w:eastAsia="de-DE"/>
        </w:rPr>
        <w:t xml:space="preserve">For this reason, in the </w:t>
      </w:r>
      <w:r w:rsidR="00DB1B17">
        <w:rPr>
          <w:rFonts w:ascii="Calibri" w:hAnsi="Calibri" w:cs="Calibri"/>
          <w:lang w:val="en-GB" w:eastAsia="de-DE"/>
        </w:rPr>
        <w:t xml:space="preserve">Section 2 of the </w:t>
      </w:r>
      <w:r w:rsidRPr="00436E78">
        <w:rPr>
          <w:rFonts w:ascii="Calibri" w:hAnsi="Calibri" w:cs="Calibri"/>
          <w:lang w:val="en-GB" w:eastAsia="de-DE"/>
        </w:rPr>
        <w:t>Trend Report Form the manufacturer can select the device scope</w:t>
      </w:r>
      <w:r w:rsidR="00DB1B17">
        <w:rPr>
          <w:rFonts w:ascii="Calibri" w:hAnsi="Calibri" w:cs="Calibri"/>
          <w:lang w:val="en-GB" w:eastAsia="de-DE"/>
        </w:rPr>
        <w:t xml:space="preserve"> type</w:t>
      </w:r>
      <w:r w:rsidRPr="00436E78">
        <w:rPr>
          <w:rFonts w:ascii="Calibri" w:hAnsi="Calibri" w:cs="Calibri"/>
          <w:lang w:val="en-GB" w:eastAsia="de-DE"/>
        </w:rPr>
        <w:t xml:space="preserve"> choosing between the </w:t>
      </w:r>
      <w:r w:rsidR="00DB1B17">
        <w:rPr>
          <w:rFonts w:ascii="Calibri" w:hAnsi="Calibri" w:cs="Calibri"/>
          <w:lang w:val="en-GB" w:eastAsia="de-DE"/>
        </w:rPr>
        <w:t xml:space="preserve">medical device </w:t>
      </w:r>
      <w:r w:rsidR="00DD5989">
        <w:rPr>
          <w:rFonts w:ascii="Calibri" w:hAnsi="Calibri" w:cs="Calibri"/>
          <w:lang w:val="en-GB" w:eastAsia="de-DE"/>
        </w:rPr>
        <w:t xml:space="preserve">high level </w:t>
      </w:r>
      <w:r w:rsidRPr="00436E78">
        <w:rPr>
          <w:rFonts w:ascii="Calibri" w:hAnsi="Calibri" w:cs="Calibri"/>
          <w:lang w:val="en-GB" w:eastAsia="de-DE"/>
        </w:rPr>
        <w:t>EMDN</w:t>
      </w:r>
      <w:r w:rsidR="00DD5989">
        <w:rPr>
          <w:rFonts w:ascii="Calibri" w:hAnsi="Calibri" w:cs="Calibri"/>
          <w:lang w:val="en-GB" w:eastAsia="de-DE"/>
        </w:rPr>
        <w:t xml:space="preserve"> code i.e. group of medical devices</w:t>
      </w:r>
      <w:r w:rsidRPr="00436E78">
        <w:rPr>
          <w:rFonts w:ascii="Calibri" w:hAnsi="Calibri" w:cs="Calibri"/>
          <w:lang w:val="en-GB" w:eastAsia="de-DE"/>
        </w:rPr>
        <w:t>, Basic UDI-DI/Eudamed DI, UDI-DI/Eudamed ID and UDI-PI</w:t>
      </w:r>
      <w:r w:rsidR="00DB1B17">
        <w:rPr>
          <w:rFonts w:ascii="Calibri" w:hAnsi="Calibri" w:cs="Calibri"/>
          <w:lang w:val="en-GB" w:eastAsia="de-DE"/>
        </w:rPr>
        <w:t>/Eudamed ID (lot/batch number)</w:t>
      </w:r>
      <w:r w:rsidRPr="00436E78">
        <w:rPr>
          <w:rFonts w:ascii="Calibri" w:hAnsi="Calibri" w:cs="Calibri"/>
          <w:lang w:val="en-GB" w:eastAsia="de-DE"/>
        </w:rPr>
        <w:t xml:space="preserve">. </w:t>
      </w:r>
      <w:r w:rsidR="00DD5989">
        <w:rPr>
          <w:rFonts w:ascii="Calibri" w:hAnsi="Calibri" w:cs="Calibri"/>
          <w:lang w:val="en-GB" w:eastAsia="de-DE"/>
        </w:rPr>
        <w:t xml:space="preserve">The old devices could be reported only by the level of device name. </w:t>
      </w:r>
    </w:p>
    <w:p w14:paraId="20A04BF1" w14:textId="77DCA84F" w:rsidR="00DD0B42" w:rsidRDefault="00DD0B42" w:rsidP="00C94BB0">
      <w:pPr>
        <w:autoSpaceDE w:val="0"/>
        <w:autoSpaceDN w:val="0"/>
        <w:adjustRightInd w:val="0"/>
        <w:spacing w:after="30" w:line="276" w:lineRule="auto"/>
        <w:jc w:val="both"/>
        <w:rPr>
          <w:rFonts w:ascii="Calibri" w:hAnsi="Calibri" w:cs="Calibri"/>
          <w:lang w:val="en-GB" w:eastAsia="de-DE"/>
        </w:rPr>
      </w:pPr>
      <w:r w:rsidRPr="00436E78">
        <w:rPr>
          <w:rFonts w:ascii="Calibri" w:hAnsi="Calibri" w:cs="Calibri"/>
          <w:lang w:val="en-GB" w:eastAsia="de-DE"/>
        </w:rPr>
        <w:t>Consider that</w:t>
      </w:r>
      <w:r w:rsidR="0029404D" w:rsidRPr="00436E78">
        <w:rPr>
          <w:rFonts w:ascii="Calibri" w:hAnsi="Calibri" w:cs="Calibri"/>
          <w:lang w:val="en-GB" w:eastAsia="de-DE"/>
        </w:rPr>
        <w:t xml:space="preserve"> </w:t>
      </w:r>
      <w:r w:rsidR="00DB1B17">
        <w:rPr>
          <w:rFonts w:ascii="Calibri" w:hAnsi="Calibri" w:cs="Calibri"/>
          <w:lang w:val="en-GB" w:eastAsia="de-DE"/>
        </w:rPr>
        <w:t xml:space="preserve">only one choice is possible </w:t>
      </w:r>
      <w:r w:rsidR="009A476D">
        <w:rPr>
          <w:rFonts w:ascii="Calibri" w:hAnsi="Calibri" w:cs="Calibri"/>
          <w:lang w:val="en-GB" w:eastAsia="de-DE"/>
        </w:rPr>
        <w:t xml:space="preserve">in the device scope type. </w:t>
      </w:r>
    </w:p>
    <w:p w14:paraId="408E2C93" w14:textId="77777777" w:rsidR="00845664" w:rsidRPr="00436E78" w:rsidRDefault="00845664" w:rsidP="00C94BB0">
      <w:pPr>
        <w:autoSpaceDE w:val="0"/>
        <w:autoSpaceDN w:val="0"/>
        <w:adjustRightInd w:val="0"/>
        <w:spacing w:after="30" w:line="276" w:lineRule="auto"/>
        <w:jc w:val="both"/>
        <w:rPr>
          <w:rFonts w:ascii="Calibri" w:hAnsi="Calibri" w:cs="Calibri"/>
          <w:lang w:val="en-GB" w:eastAsia="de-DE"/>
        </w:rPr>
      </w:pPr>
    </w:p>
    <w:p w14:paraId="2950DCF2" w14:textId="77777777" w:rsidR="007F7F8F" w:rsidRPr="00436E78" w:rsidRDefault="007F7F8F" w:rsidP="00C94BB0">
      <w:pPr>
        <w:autoSpaceDE w:val="0"/>
        <w:autoSpaceDN w:val="0"/>
        <w:adjustRightInd w:val="0"/>
        <w:spacing w:after="30" w:line="276" w:lineRule="auto"/>
        <w:jc w:val="both"/>
        <w:rPr>
          <w:rFonts w:ascii="Calibri" w:hAnsi="Calibri" w:cs="Calibri"/>
          <w:lang w:val="en-GB" w:eastAsia="de-DE"/>
        </w:rPr>
      </w:pPr>
    </w:p>
    <w:p w14:paraId="1E38E5B7" w14:textId="77777777" w:rsidR="007F7F8F" w:rsidRPr="000D5C84" w:rsidRDefault="007F7F8F" w:rsidP="000D5C84">
      <w:pPr>
        <w:pStyle w:val="ListParagraph"/>
        <w:numPr>
          <w:ilvl w:val="0"/>
          <w:numId w:val="1"/>
        </w:numPr>
        <w:spacing w:line="276" w:lineRule="auto"/>
        <w:jc w:val="both"/>
        <w:rPr>
          <w:rFonts w:ascii="Calibri" w:eastAsia="Times New Roman" w:hAnsi="Calibri" w:cs="Calibri"/>
          <w:b/>
          <w:bCs/>
          <w:lang w:val="en-US" w:eastAsia="it-IT"/>
        </w:rPr>
      </w:pPr>
      <w:r w:rsidRPr="000D5C84">
        <w:rPr>
          <w:rFonts w:ascii="Calibri" w:eastAsia="Times New Roman" w:hAnsi="Calibri" w:cs="Calibri"/>
          <w:b/>
          <w:bCs/>
          <w:color w:val="000000"/>
          <w:shd w:val="clear" w:color="auto" w:fill="FDFCFA"/>
          <w:lang w:val="en-US" w:eastAsia="it-IT"/>
        </w:rPr>
        <w:t xml:space="preserve">Could the device scope and the scope of the trend be changed during the trend report process and the trend report life cycle? </w:t>
      </w:r>
    </w:p>
    <w:p w14:paraId="07D160FF" w14:textId="77777777" w:rsidR="000D5C84" w:rsidRPr="00E80F92" w:rsidRDefault="000D5C84" w:rsidP="000D5C84">
      <w:pPr>
        <w:pStyle w:val="ListParagraph"/>
        <w:spacing w:line="276" w:lineRule="auto"/>
        <w:jc w:val="both"/>
        <w:rPr>
          <w:rFonts w:ascii="Calibri" w:eastAsia="Times New Roman" w:hAnsi="Calibri" w:cs="Calibri"/>
          <w:b/>
          <w:bCs/>
          <w:lang w:val="en-US" w:eastAsia="it-IT"/>
        </w:rPr>
      </w:pPr>
    </w:p>
    <w:p w14:paraId="0682BD01" w14:textId="77777777" w:rsidR="00307887" w:rsidRPr="00436E78" w:rsidRDefault="00A026FF" w:rsidP="00C94BB0">
      <w:pPr>
        <w:spacing w:line="276" w:lineRule="auto"/>
        <w:jc w:val="both"/>
        <w:rPr>
          <w:rFonts w:ascii="Calibri" w:eastAsia="Times New Roman" w:hAnsi="Calibri" w:cs="Calibri"/>
          <w:color w:val="000000"/>
          <w:shd w:val="clear" w:color="auto" w:fill="FDFCFA"/>
          <w:lang w:val="en-US" w:eastAsia="it-IT"/>
        </w:rPr>
      </w:pPr>
      <w:r w:rsidRPr="00436E78">
        <w:rPr>
          <w:rFonts w:ascii="Calibri" w:eastAsia="Times New Roman" w:hAnsi="Calibri" w:cs="Calibri"/>
          <w:color w:val="000000"/>
          <w:shd w:val="clear" w:color="auto" w:fill="FDFCFA"/>
          <w:lang w:val="en-US" w:eastAsia="it-IT"/>
        </w:rPr>
        <w:t xml:space="preserve">When a trend report is performed and a device scope is defined it has to be </w:t>
      </w:r>
      <w:r w:rsidR="00F1229C">
        <w:rPr>
          <w:rFonts w:ascii="Calibri" w:eastAsia="Times New Roman" w:hAnsi="Calibri" w:cs="Calibri"/>
          <w:color w:val="000000"/>
          <w:shd w:val="clear" w:color="auto" w:fill="FDFCFA"/>
          <w:lang w:val="en-US" w:eastAsia="it-IT"/>
        </w:rPr>
        <w:t>kept</w:t>
      </w:r>
      <w:r w:rsidRPr="00436E78">
        <w:rPr>
          <w:rFonts w:ascii="Calibri" w:eastAsia="Times New Roman" w:hAnsi="Calibri" w:cs="Calibri"/>
          <w:color w:val="000000"/>
          <w:shd w:val="clear" w:color="auto" w:fill="FDFCFA"/>
          <w:lang w:val="en-US" w:eastAsia="it-IT"/>
        </w:rPr>
        <w:t xml:space="preserve"> the same during the trend report process and trend report life cycle. This </w:t>
      </w:r>
      <w:r w:rsidR="003C5824">
        <w:rPr>
          <w:rFonts w:ascii="Calibri" w:eastAsia="Times New Roman" w:hAnsi="Calibri" w:cs="Calibri"/>
          <w:color w:val="000000"/>
          <w:shd w:val="clear" w:color="auto" w:fill="FDFCFA"/>
          <w:lang w:val="en-US" w:eastAsia="it-IT"/>
        </w:rPr>
        <w:t xml:space="preserve">is </w:t>
      </w:r>
      <w:r w:rsidRPr="00436E78">
        <w:rPr>
          <w:rFonts w:ascii="Calibri" w:eastAsia="Times New Roman" w:hAnsi="Calibri" w:cs="Calibri"/>
          <w:color w:val="000000"/>
          <w:shd w:val="clear" w:color="auto" w:fill="FDFCFA"/>
          <w:lang w:val="en-US" w:eastAsia="it-IT"/>
        </w:rPr>
        <w:t>because a trend report is based on statistical data collected by the manufacturer</w:t>
      </w:r>
      <w:r w:rsidR="00816163">
        <w:rPr>
          <w:rFonts w:ascii="Calibri" w:eastAsia="Times New Roman" w:hAnsi="Calibri" w:cs="Calibri"/>
          <w:color w:val="000000"/>
          <w:shd w:val="clear" w:color="auto" w:fill="FDFCFA"/>
          <w:lang w:val="en-US" w:eastAsia="it-IT"/>
        </w:rPr>
        <w:t xml:space="preserve"> wit</w:t>
      </w:r>
      <w:r w:rsidR="00FE64D4">
        <w:rPr>
          <w:rFonts w:ascii="Calibri" w:eastAsia="Times New Roman" w:hAnsi="Calibri" w:cs="Calibri"/>
          <w:color w:val="000000"/>
          <w:shd w:val="clear" w:color="auto" w:fill="FDFCFA"/>
          <w:lang w:val="en-US" w:eastAsia="it-IT"/>
        </w:rPr>
        <w:t>h</w:t>
      </w:r>
      <w:r w:rsidR="00816163">
        <w:rPr>
          <w:rFonts w:ascii="Calibri" w:eastAsia="Times New Roman" w:hAnsi="Calibri" w:cs="Calibri"/>
          <w:color w:val="000000"/>
          <w:shd w:val="clear" w:color="auto" w:fill="FDFCFA"/>
          <w:lang w:val="en-US" w:eastAsia="it-IT"/>
        </w:rPr>
        <w:t xml:space="preserve"> a specific methodology</w:t>
      </w:r>
      <w:r w:rsidR="00307887" w:rsidRPr="00436E78">
        <w:rPr>
          <w:rFonts w:ascii="Calibri" w:eastAsia="Times New Roman" w:hAnsi="Calibri" w:cs="Calibri"/>
          <w:color w:val="000000"/>
          <w:shd w:val="clear" w:color="auto" w:fill="FDFCFA"/>
          <w:lang w:val="en-US" w:eastAsia="it-IT"/>
        </w:rPr>
        <w:t xml:space="preserve"> and </w:t>
      </w:r>
      <w:r w:rsidR="003C5824">
        <w:rPr>
          <w:rFonts w:ascii="Calibri" w:eastAsia="Times New Roman" w:hAnsi="Calibri" w:cs="Calibri"/>
          <w:color w:val="000000"/>
          <w:shd w:val="clear" w:color="auto" w:fill="FDFCFA"/>
          <w:lang w:val="en-US" w:eastAsia="it-IT"/>
        </w:rPr>
        <w:t xml:space="preserve">they </w:t>
      </w:r>
      <w:r w:rsidR="00307887" w:rsidRPr="00436E78">
        <w:rPr>
          <w:rFonts w:ascii="Calibri" w:eastAsia="Times New Roman" w:hAnsi="Calibri" w:cs="Calibri"/>
          <w:color w:val="000000"/>
          <w:shd w:val="clear" w:color="auto" w:fill="FDFCFA"/>
          <w:lang w:val="en-US" w:eastAsia="it-IT"/>
        </w:rPr>
        <w:t>have to be referred to a specific device scope in order to avoid any confusion</w:t>
      </w:r>
      <w:r w:rsidR="00816163">
        <w:rPr>
          <w:rFonts w:ascii="Calibri" w:eastAsia="Times New Roman" w:hAnsi="Calibri" w:cs="Calibri"/>
          <w:color w:val="000000"/>
          <w:shd w:val="clear" w:color="auto" w:fill="FDFCFA"/>
          <w:lang w:val="en-US" w:eastAsia="it-IT"/>
        </w:rPr>
        <w:t xml:space="preserve"> and</w:t>
      </w:r>
      <w:r w:rsidR="00CB345A">
        <w:rPr>
          <w:rFonts w:ascii="Calibri" w:eastAsia="Times New Roman" w:hAnsi="Calibri" w:cs="Calibri"/>
          <w:color w:val="000000"/>
          <w:shd w:val="clear" w:color="auto" w:fill="FDFCFA"/>
          <w:lang w:val="en-US" w:eastAsia="it-IT"/>
        </w:rPr>
        <w:t xml:space="preserve"> to</w:t>
      </w:r>
      <w:r w:rsidR="00816163">
        <w:rPr>
          <w:rFonts w:ascii="Calibri" w:eastAsia="Times New Roman" w:hAnsi="Calibri" w:cs="Calibri"/>
          <w:color w:val="000000"/>
          <w:shd w:val="clear" w:color="auto" w:fill="FDFCFA"/>
          <w:lang w:val="en-US" w:eastAsia="it-IT"/>
        </w:rPr>
        <w:t xml:space="preserve"> allow to the </w:t>
      </w:r>
      <w:r w:rsidR="00CB345A">
        <w:rPr>
          <w:rFonts w:ascii="Calibri" w:eastAsia="Times New Roman" w:hAnsi="Calibri" w:cs="Calibri"/>
          <w:color w:val="000000"/>
          <w:shd w:val="clear" w:color="auto" w:fill="FDFCFA"/>
          <w:lang w:val="en-US" w:eastAsia="it-IT"/>
        </w:rPr>
        <w:t xml:space="preserve">Evaluating </w:t>
      </w:r>
      <w:r w:rsidR="00816163">
        <w:rPr>
          <w:rFonts w:ascii="Calibri" w:eastAsia="Times New Roman" w:hAnsi="Calibri" w:cs="Calibri"/>
          <w:color w:val="000000"/>
          <w:shd w:val="clear" w:color="auto" w:fill="FDFCFA"/>
          <w:lang w:val="en-US" w:eastAsia="it-IT"/>
        </w:rPr>
        <w:t xml:space="preserve">Competent Authority to </w:t>
      </w:r>
      <w:r w:rsidR="00816163" w:rsidRPr="00816163">
        <w:rPr>
          <w:rFonts w:ascii="Calibri" w:eastAsia="Times New Roman" w:hAnsi="Calibri" w:cs="Calibri"/>
          <w:color w:val="000000"/>
          <w:shd w:val="clear" w:color="auto" w:fill="FDFCFA"/>
          <w:lang w:val="en-US" w:eastAsia="it-IT"/>
        </w:rPr>
        <w:t xml:space="preserve">carry out the appropriate assessments on the </w:t>
      </w:r>
      <w:r w:rsidR="00816163">
        <w:rPr>
          <w:rFonts w:ascii="Calibri" w:eastAsia="Times New Roman" w:hAnsi="Calibri" w:cs="Calibri"/>
          <w:color w:val="000000"/>
          <w:shd w:val="clear" w:color="auto" w:fill="FDFCFA"/>
          <w:lang w:val="en-US" w:eastAsia="it-IT"/>
        </w:rPr>
        <w:t>data</w:t>
      </w:r>
      <w:r w:rsidR="00816163" w:rsidRPr="00816163">
        <w:rPr>
          <w:rFonts w:ascii="Calibri" w:eastAsia="Times New Roman" w:hAnsi="Calibri" w:cs="Calibri"/>
          <w:color w:val="000000"/>
          <w:shd w:val="clear" w:color="auto" w:fill="FDFCFA"/>
          <w:lang w:val="en-US" w:eastAsia="it-IT"/>
        </w:rPr>
        <w:t xml:space="preserve"> provided</w:t>
      </w:r>
      <w:r w:rsidR="00307887" w:rsidRPr="00436E78">
        <w:rPr>
          <w:rFonts w:ascii="Calibri" w:eastAsia="Times New Roman" w:hAnsi="Calibri" w:cs="Calibri"/>
          <w:color w:val="000000"/>
          <w:shd w:val="clear" w:color="auto" w:fill="FDFCFA"/>
          <w:lang w:val="en-US" w:eastAsia="it-IT"/>
        </w:rPr>
        <w:t xml:space="preserve">. </w:t>
      </w:r>
    </w:p>
    <w:p w14:paraId="609982D6" w14:textId="77777777" w:rsidR="00674048" w:rsidRPr="00436E78" w:rsidRDefault="00674048" w:rsidP="00C94BB0">
      <w:pPr>
        <w:spacing w:line="276" w:lineRule="auto"/>
        <w:jc w:val="both"/>
        <w:rPr>
          <w:rFonts w:ascii="Calibri" w:eastAsia="Times New Roman" w:hAnsi="Calibri" w:cs="Calibri"/>
          <w:color w:val="000000"/>
          <w:shd w:val="clear" w:color="auto" w:fill="FDFCFA"/>
          <w:lang w:val="en-US" w:eastAsia="it-IT"/>
        </w:rPr>
      </w:pPr>
    </w:p>
    <w:p w14:paraId="7C3D43C6" w14:textId="1AE5C147" w:rsidR="00112A0C" w:rsidRDefault="007078BD" w:rsidP="00C94BB0">
      <w:pPr>
        <w:spacing w:line="276" w:lineRule="auto"/>
        <w:jc w:val="both"/>
        <w:rPr>
          <w:rFonts w:ascii="Calibri" w:eastAsia="Times New Roman" w:hAnsi="Calibri" w:cs="Calibri"/>
          <w:color w:val="000000"/>
          <w:shd w:val="clear" w:color="auto" w:fill="FDFCFA"/>
          <w:lang w:val="en-US" w:eastAsia="it-IT"/>
        </w:rPr>
      </w:pPr>
      <w:bookmarkStart w:id="1" w:name="_Hlk92887374"/>
      <w:r w:rsidRPr="00436E78">
        <w:rPr>
          <w:rFonts w:ascii="Calibri" w:eastAsia="Times New Roman" w:hAnsi="Calibri" w:cs="Calibri"/>
          <w:color w:val="000000"/>
          <w:shd w:val="clear" w:color="auto" w:fill="FDFCFA"/>
          <w:lang w:val="en-US" w:eastAsia="it-IT"/>
        </w:rPr>
        <w:t xml:space="preserve">If a new device scope </w:t>
      </w:r>
      <w:r w:rsidR="00571C56">
        <w:rPr>
          <w:rFonts w:ascii="Calibri" w:eastAsia="Times New Roman" w:hAnsi="Calibri" w:cs="Calibri"/>
          <w:color w:val="000000"/>
          <w:shd w:val="clear" w:color="auto" w:fill="FDFCFA"/>
          <w:lang w:val="en-US" w:eastAsia="it-IT"/>
        </w:rPr>
        <w:t>is identified</w:t>
      </w:r>
      <w:r w:rsidRPr="00436E78">
        <w:rPr>
          <w:rFonts w:ascii="Calibri" w:eastAsia="Times New Roman" w:hAnsi="Calibri" w:cs="Calibri"/>
          <w:color w:val="000000"/>
          <w:shd w:val="clear" w:color="auto" w:fill="FDFCFA"/>
          <w:lang w:val="en-US" w:eastAsia="it-IT"/>
        </w:rPr>
        <w:t xml:space="preserve"> for the same device</w:t>
      </w:r>
      <w:r w:rsidR="00816163">
        <w:rPr>
          <w:rFonts w:ascii="Calibri" w:eastAsia="Times New Roman" w:hAnsi="Calibri" w:cs="Calibri"/>
          <w:color w:val="000000"/>
          <w:shd w:val="clear" w:color="auto" w:fill="FDFCFA"/>
          <w:lang w:val="en-US" w:eastAsia="it-IT"/>
        </w:rPr>
        <w:t>/category/group of devices,</w:t>
      </w:r>
      <w:r w:rsidRPr="00436E78">
        <w:rPr>
          <w:rFonts w:ascii="Calibri" w:eastAsia="Times New Roman" w:hAnsi="Calibri" w:cs="Calibri"/>
          <w:color w:val="000000"/>
          <w:shd w:val="clear" w:color="auto" w:fill="FDFCFA"/>
          <w:lang w:val="en-US" w:eastAsia="it-IT"/>
        </w:rPr>
        <w:t xml:space="preserve"> it is necessary to create a new trend report</w:t>
      </w:r>
      <w:r w:rsidR="00816163">
        <w:rPr>
          <w:rFonts w:ascii="Calibri" w:eastAsia="Times New Roman" w:hAnsi="Calibri" w:cs="Calibri"/>
          <w:color w:val="000000"/>
          <w:shd w:val="clear" w:color="auto" w:fill="FDFCFA"/>
          <w:lang w:val="en-US" w:eastAsia="it-IT"/>
        </w:rPr>
        <w:t xml:space="preserve"> with its own process and life cycle</w:t>
      </w:r>
      <w:r w:rsidRPr="00436E78">
        <w:rPr>
          <w:rFonts w:ascii="Calibri" w:eastAsia="Times New Roman" w:hAnsi="Calibri" w:cs="Calibri"/>
          <w:color w:val="000000"/>
          <w:shd w:val="clear" w:color="auto" w:fill="FDFCFA"/>
          <w:lang w:val="en-US" w:eastAsia="it-IT"/>
        </w:rPr>
        <w:t xml:space="preserve">. </w:t>
      </w:r>
      <w:r w:rsidR="00430B70">
        <w:rPr>
          <w:rFonts w:ascii="Calibri" w:eastAsia="Times New Roman" w:hAnsi="Calibri" w:cs="Calibri"/>
          <w:color w:val="000000"/>
          <w:shd w:val="clear" w:color="auto" w:fill="FDFCFA"/>
          <w:lang w:val="en-US" w:eastAsia="it-IT"/>
        </w:rPr>
        <w:t xml:space="preserve">If during the life cycle of the trend report, after further investigation of the manufacturer the device scope changes, it could be included in the trend report follow up </w:t>
      </w:r>
      <w:r w:rsidR="00430B70" w:rsidRPr="00802D85">
        <w:rPr>
          <w:rFonts w:ascii="Calibri" w:eastAsia="Times New Roman" w:hAnsi="Calibri" w:cs="Calibri"/>
          <w:color w:val="000000"/>
          <w:u w:val="single"/>
          <w:shd w:val="clear" w:color="auto" w:fill="FDFCFA"/>
          <w:lang w:val="en-US" w:eastAsia="it-IT"/>
        </w:rPr>
        <w:t>ONLY</w:t>
      </w:r>
      <w:r w:rsidR="00430B70">
        <w:rPr>
          <w:rFonts w:ascii="Calibri" w:eastAsia="Times New Roman" w:hAnsi="Calibri" w:cs="Calibri"/>
          <w:color w:val="000000"/>
          <w:shd w:val="clear" w:color="auto" w:fill="FDFCFA"/>
          <w:lang w:val="en-US" w:eastAsia="it-IT"/>
        </w:rPr>
        <w:t xml:space="preserve"> if the assessment, under which the trend report is based on remain unchanged (for example a new batch of device is identified).</w:t>
      </w:r>
    </w:p>
    <w:p w14:paraId="555E02AE" w14:textId="77777777" w:rsidR="007D2026" w:rsidRDefault="007D2026" w:rsidP="009C06A0">
      <w:pPr>
        <w:spacing w:line="276" w:lineRule="auto"/>
        <w:jc w:val="both"/>
        <w:rPr>
          <w:rFonts w:ascii="Segoe UI" w:hAnsi="Segoe UI" w:cs="Segoe UI"/>
          <w:color w:val="333333"/>
          <w:sz w:val="18"/>
          <w:szCs w:val="18"/>
          <w:shd w:val="clear" w:color="auto" w:fill="FFFFFF"/>
          <w:lang w:val="en-US"/>
        </w:rPr>
      </w:pPr>
    </w:p>
    <w:bookmarkEnd w:id="1"/>
    <w:p w14:paraId="1299C1E1" w14:textId="6475CDA5" w:rsidR="00D31663" w:rsidRPr="00636201" w:rsidRDefault="00D31663" w:rsidP="000D5C84">
      <w:pPr>
        <w:pStyle w:val="ListParagraph"/>
        <w:numPr>
          <w:ilvl w:val="0"/>
          <w:numId w:val="1"/>
        </w:numPr>
        <w:spacing w:line="276" w:lineRule="auto"/>
        <w:jc w:val="both"/>
        <w:rPr>
          <w:rFonts w:ascii="Calibri" w:eastAsia="Times New Roman" w:hAnsi="Calibri" w:cs="Calibri"/>
          <w:color w:val="000000"/>
          <w:shd w:val="clear" w:color="auto" w:fill="FDFCFA"/>
          <w:lang w:val="en-US" w:eastAsia="it-IT"/>
        </w:rPr>
      </w:pPr>
      <w:r w:rsidRPr="000D5C84">
        <w:rPr>
          <w:rFonts w:ascii="Calibri" w:eastAsia="Times New Roman" w:hAnsi="Calibri" w:cs="Calibri"/>
          <w:b/>
          <w:bCs/>
          <w:color w:val="000000"/>
          <w:shd w:val="clear" w:color="auto" w:fill="FDFCFA"/>
          <w:lang w:val="en-US" w:eastAsia="it-IT"/>
        </w:rPr>
        <w:t xml:space="preserve">If a device has different problems, how should they be reported? </w:t>
      </w:r>
    </w:p>
    <w:p w14:paraId="165F12DA" w14:textId="77777777" w:rsidR="00636201" w:rsidRPr="000D5C84" w:rsidRDefault="00636201" w:rsidP="00636201">
      <w:pPr>
        <w:pStyle w:val="ListParagraph"/>
        <w:spacing w:line="276" w:lineRule="auto"/>
        <w:ind w:left="643"/>
        <w:jc w:val="both"/>
        <w:rPr>
          <w:rFonts w:ascii="Calibri" w:eastAsia="Times New Roman" w:hAnsi="Calibri" w:cs="Calibri"/>
          <w:color w:val="000000"/>
          <w:shd w:val="clear" w:color="auto" w:fill="FDFCFA"/>
          <w:lang w:val="en-US" w:eastAsia="it-IT"/>
        </w:rPr>
      </w:pPr>
    </w:p>
    <w:p w14:paraId="2FAF8119" w14:textId="21F85D7A" w:rsidR="00C52704" w:rsidRDefault="00993ECE" w:rsidP="00D31663">
      <w:pPr>
        <w:spacing w:line="276" w:lineRule="auto"/>
        <w:jc w:val="both"/>
        <w:rPr>
          <w:rFonts w:ascii="Calibri" w:eastAsia="Times New Roman" w:hAnsi="Calibri" w:cs="Calibri"/>
          <w:color w:val="000000"/>
          <w:shd w:val="clear" w:color="auto" w:fill="FDFCFA"/>
          <w:lang w:val="en-US" w:eastAsia="it-IT"/>
        </w:rPr>
      </w:pPr>
      <w:r>
        <w:rPr>
          <w:rFonts w:ascii="Calibri" w:eastAsia="Times New Roman" w:hAnsi="Calibri" w:cs="Calibri"/>
          <w:color w:val="000000"/>
          <w:shd w:val="clear" w:color="auto" w:fill="FDFCFA"/>
          <w:lang w:val="en-US" w:eastAsia="it-IT"/>
        </w:rPr>
        <w:t>If a device has different problems</w:t>
      </w:r>
      <w:r w:rsidR="00E21FDB">
        <w:rPr>
          <w:rFonts w:ascii="Calibri" w:eastAsia="Times New Roman" w:hAnsi="Calibri" w:cs="Calibri"/>
          <w:color w:val="000000"/>
          <w:shd w:val="clear" w:color="auto" w:fill="FDFCFA"/>
          <w:lang w:val="en-US" w:eastAsia="it-IT"/>
        </w:rPr>
        <w:t xml:space="preserve"> that meet </w:t>
      </w:r>
      <w:r w:rsidR="00570E90">
        <w:rPr>
          <w:rFonts w:ascii="Calibri" w:eastAsia="Times New Roman" w:hAnsi="Calibri" w:cs="Calibri"/>
          <w:color w:val="000000"/>
          <w:shd w:val="clear" w:color="auto" w:fill="FDFCFA"/>
          <w:lang w:val="en-US" w:eastAsia="it-IT"/>
        </w:rPr>
        <w:t>A</w:t>
      </w:r>
      <w:r w:rsidR="00E21FDB">
        <w:rPr>
          <w:rFonts w:ascii="Calibri" w:eastAsia="Times New Roman" w:hAnsi="Calibri" w:cs="Calibri"/>
          <w:color w:val="000000"/>
          <w:shd w:val="clear" w:color="auto" w:fill="FDFCFA"/>
          <w:lang w:val="en-US" w:eastAsia="it-IT"/>
        </w:rPr>
        <w:t>rticle 88</w:t>
      </w:r>
      <w:r w:rsidR="004571FA">
        <w:rPr>
          <w:rFonts w:ascii="Calibri" w:eastAsia="Times New Roman" w:hAnsi="Calibri" w:cs="Calibri"/>
          <w:color w:val="000000"/>
          <w:shd w:val="clear" w:color="auto" w:fill="FDFCFA"/>
          <w:lang w:val="en-US" w:eastAsia="it-IT"/>
        </w:rPr>
        <w:t>/83</w:t>
      </w:r>
      <w:r w:rsidR="00E21FDB">
        <w:rPr>
          <w:rFonts w:ascii="Calibri" w:eastAsia="Times New Roman" w:hAnsi="Calibri" w:cs="Calibri"/>
          <w:color w:val="000000"/>
          <w:shd w:val="clear" w:color="auto" w:fill="FDFCFA"/>
          <w:lang w:val="en-US" w:eastAsia="it-IT"/>
        </w:rPr>
        <w:t xml:space="preserve"> requirements</w:t>
      </w:r>
      <w:r w:rsidR="009D5462">
        <w:rPr>
          <w:rFonts w:ascii="Calibri" w:eastAsia="Times New Roman" w:hAnsi="Calibri" w:cs="Calibri"/>
          <w:color w:val="000000"/>
          <w:shd w:val="clear" w:color="auto" w:fill="FDFCFA"/>
          <w:lang w:val="en-US" w:eastAsia="it-IT"/>
        </w:rPr>
        <w:t>,</w:t>
      </w:r>
      <w:r>
        <w:rPr>
          <w:rFonts w:ascii="Calibri" w:eastAsia="Times New Roman" w:hAnsi="Calibri" w:cs="Calibri"/>
          <w:color w:val="000000"/>
          <w:shd w:val="clear" w:color="auto" w:fill="FDFCFA"/>
          <w:lang w:val="en-US" w:eastAsia="it-IT"/>
        </w:rPr>
        <w:t xml:space="preserve"> each problem should be reported in a single trend report.</w:t>
      </w:r>
    </w:p>
    <w:p w14:paraId="7AF863EF" w14:textId="77777777" w:rsidR="00E80F92" w:rsidRPr="00C94BB0" w:rsidRDefault="00E80F92" w:rsidP="00C52704">
      <w:pPr>
        <w:spacing w:line="276" w:lineRule="auto"/>
        <w:jc w:val="both"/>
        <w:rPr>
          <w:lang w:val="en-US"/>
        </w:rPr>
      </w:pPr>
    </w:p>
    <w:p w14:paraId="261ECF72" w14:textId="77777777" w:rsidR="00373EAA" w:rsidRPr="000D5C84" w:rsidRDefault="00373EAA" w:rsidP="000D5C84">
      <w:pPr>
        <w:pStyle w:val="ListParagraph"/>
        <w:numPr>
          <w:ilvl w:val="0"/>
          <w:numId w:val="1"/>
        </w:numPr>
        <w:spacing w:after="160" w:line="256" w:lineRule="auto"/>
        <w:jc w:val="both"/>
        <w:rPr>
          <w:rFonts w:ascii="Calibri" w:hAnsi="Calibri" w:cs="Calibri"/>
          <w:b/>
          <w:lang w:val="en-US"/>
        </w:rPr>
      </w:pPr>
      <w:r w:rsidRPr="000D5C84">
        <w:rPr>
          <w:rFonts w:ascii="Calibri" w:hAnsi="Calibri" w:cs="Calibri"/>
          <w:b/>
          <w:lang w:val="en-US"/>
        </w:rPr>
        <w:t>With reference to Article 88</w:t>
      </w:r>
      <w:r w:rsidR="00CA6818">
        <w:rPr>
          <w:rFonts w:ascii="Calibri" w:hAnsi="Calibri" w:cs="Calibri"/>
          <w:b/>
          <w:lang w:val="en-US"/>
        </w:rPr>
        <w:t>/83</w:t>
      </w:r>
      <w:r w:rsidRPr="000D5C84">
        <w:rPr>
          <w:rFonts w:ascii="Calibri" w:hAnsi="Calibri" w:cs="Calibri"/>
          <w:b/>
          <w:lang w:val="en-US"/>
        </w:rPr>
        <w:t xml:space="preserve"> of the MDR</w:t>
      </w:r>
      <w:r w:rsidR="00CA6818">
        <w:rPr>
          <w:rFonts w:ascii="Calibri" w:hAnsi="Calibri" w:cs="Calibri"/>
          <w:b/>
          <w:lang w:val="en-US"/>
        </w:rPr>
        <w:t>/IVDR</w:t>
      </w:r>
      <w:r w:rsidRPr="000D5C84">
        <w:rPr>
          <w:rFonts w:ascii="Calibri" w:hAnsi="Calibri" w:cs="Calibri"/>
          <w:b/>
          <w:lang w:val="en-US"/>
        </w:rPr>
        <w:t xml:space="preserve"> and the criteria for trend reporting, what is meant by a ‘significant impact on the benefit-risk analysis’?</w:t>
      </w:r>
    </w:p>
    <w:p w14:paraId="07091991" w14:textId="77777777" w:rsidR="00373EAA" w:rsidRPr="00436E78" w:rsidRDefault="00373EAA" w:rsidP="00436E78">
      <w:pPr>
        <w:pStyle w:val="ListParagraph"/>
        <w:spacing w:line="256" w:lineRule="auto"/>
        <w:ind w:left="644"/>
        <w:jc w:val="both"/>
        <w:rPr>
          <w:rFonts w:ascii="Calibri" w:hAnsi="Calibri" w:cs="Calibri"/>
          <w:lang w:val="en-US"/>
        </w:rPr>
      </w:pPr>
    </w:p>
    <w:p w14:paraId="0326784A" w14:textId="77777777" w:rsidR="009C3EF8" w:rsidRPr="002D2A06" w:rsidRDefault="00373EAA" w:rsidP="002D2A06">
      <w:pPr>
        <w:spacing w:line="276" w:lineRule="auto"/>
        <w:jc w:val="both"/>
        <w:rPr>
          <w:rFonts w:ascii="Calibri" w:eastAsia="Times New Roman" w:hAnsi="Calibri" w:cs="Calibri"/>
          <w:b/>
          <w:lang w:val="en-GB"/>
        </w:rPr>
      </w:pPr>
      <w:r w:rsidRPr="003E4DC0">
        <w:rPr>
          <w:rFonts w:ascii="Calibri" w:hAnsi="Calibri" w:cs="Calibri"/>
          <w:lang w:val="en-US"/>
        </w:rPr>
        <w:t xml:space="preserve">A ‘significant impact on the benefit-risk analysis’ is whenever the increase in the frequency or severity of incidents, that are </w:t>
      </w:r>
      <w:r w:rsidRPr="003E4DC0">
        <w:rPr>
          <w:rFonts w:ascii="Calibri" w:hAnsi="Calibri" w:cs="Calibri"/>
          <w:b/>
          <w:lang w:val="en-US"/>
        </w:rPr>
        <w:t>not</w:t>
      </w:r>
      <w:r w:rsidRPr="003E4DC0">
        <w:rPr>
          <w:rFonts w:ascii="Calibri" w:hAnsi="Calibri" w:cs="Calibri"/>
          <w:lang w:val="en-US"/>
        </w:rPr>
        <w:t xml:space="preserve"> categorized as serious incidents or that </w:t>
      </w:r>
      <w:r w:rsidRPr="003E4DC0">
        <w:rPr>
          <w:rFonts w:ascii="Calibri" w:hAnsi="Calibri" w:cs="Calibri"/>
          <w:b/>
          <w:lang w:val="en-US"/>
        </w:rPr>
        <w:t>are</w:t>
      </w:r>
      <w:r w:rsidRPr="003E4DC0">
        <w:rPr>
          <w:rFonts w:ascii="Calibri" w:hAnsi="Calibri" w:cs="Calibri"/>
          <w:lang w:val="en-US"/>
        </w:rPr>
        <w:t xml:space="preserve"> expected undesirable side effects, results in a change of the risk evaluation</w:t>
      </w:r>
      <w:r w:rsidR="009C3EF8">
        <w:rPr>
          <w:rFonts w:ascii="Calibri" w:hAnsi="Calibri" w:cs="Calibri"/>
          <w:lang w:val="en-US"/>
        </w:rPr>
        <w:t xml:space="preserve"> (</w:t>
      </w:r>
      <w:r w:rsidR="00FA4282">
        <w:rPr>
          <w:rFonts w:ascii="Calibri" w:hAnsi="Calibri" w:cs="Calibri"/>
          <w:lang w:val="en-US"/>
        </w:rPr>
        <w:t xml:space="preserve">EN </w:t>
      </w:r>
      <w:r w:rsidR="009C3EF8">
        <w:rPr>
          <w:rFonts w:ascii="Calibri" w:hAnsi="Calibri" w:cs="Calibri"/>
          <w:lang w:val="en-US"/>
        </w:rPr>
        <w:t>ISO</w:t>
      </w:r>
      <w:r w:rsidR="009C3EF8" w:rsidRPr="003E4DC0">
        <w:rPr>
          <w:rFonts w:ascii="Calibri" w:hAnsi="Calibri" w:cs="Calibri"/>
          <w:lang w:val="en-US"/>
        </w:rPr>
        <w:t xml:space="preserve"> 14971</w:t>
      </w:r>
      <w:r w:rsidR="009C3EF8" w:rsidRPr="00436E78">
        <w:rPr>
          <w:rStyle w:val="FootnoteReference"/>
          <w:rFonts w:ascii="Calibri" w:hAnsi="Calibri" w:cs="Calibri"/>
        </w:rPr>
        <w:footnoteReference w:id="3"/>
      </w:r>
      <w:r w:rsidR="009C3EF8">
        <w:rPr>
          <w:rFonts w:ascii="Calibri" w:hAnsi="Calibri" w:cs="Calibri"/>
          <w:lang w:val="en-US"/>
        </w:rPr>
        <w:t>)</w:t>
      </w:r>
      <w:r w:rsidRPr="003E4DC0">
        <w:rPr>
          <w:rFonts w:ascii="Calibri" w:hAnsi="Calibri" w:cs="Calibri"/>
          <w:lang w:val="en-US"/>
        </w:rPr>
        <w:t xml:space="preserve">. </w:t>
      </w:r>
      <w:r w:rsidR="009C3EF8" w:rsidRPr="009C3EF8">
        <w:rPr>
          <w:rFonts w:ascii="Calibri" w:hAnsi="Calibri" w:cs="Calibri"/>
          <w:lang w:val="en-US"/>
        </w:rPr>
        <w:t xml:space="preserve">A significant increase of the severity could be measured as possible consequence of the </w:t>
      </w:r>
      <w:r w:rsidR="008A5E2E">
        <w:rPr>
          <w:rFonts w:ascii="Calibri" w:hAnsi="Calibri" w:cs="Calibri"/>
          <w:lang w:val="en-US"/>
        </w:rPr>
        <w:t>incident</w:t>
      </w:r>
      <w:r w:rsidR="008A5E2E" w:rsidRPr="009C3EF8">
        <w:rPr>
          <w:rFonts w:ascii="Calibri" w:hAnsi="Calibri" w:cs="Calibri"/>
          <w:lang w:val="en-US"/>
        </w:rPr>
        <w:t xml:space="preserve"> </w:t>
      </w:r>
      <w:r w:rsidR="009C3EF8" w:rsidRPr="009C3EF8">
        <w:rPr>
          <w:rFonts w:ascii="Calibri" w:hAnsi="Calibri" w:cs="Calibri"/>
          <w:lang w:val="en-US"/>
        </w:rPr>
        <w:t>and / or increase of the probability of occurrence of harm</w:t>
      </w:r>
      <w:r w:rsidR="009C3EF8" w:rsidRPr="009C3EF8">
        <w:rPr>
          <w:rStyle w:val="FootnoteReference"/>
          <w:rFonts w:ascii="Calibri" w:hAnsi="Calibri" w:cs="Calibri"/>
          <w:lang w:val="en-US"/>
        </w:rPr>
        <w:footnoteReference w:id="4"/>
      </w:r>
      <w:r w:rsidR="009C3EF8" w:rsidRPr="009C3EF8">
        <w:rPr>
          <w:rFonts w:ascii="Calibri" w:hAnsi="Calibri" w:cs="Calibri"/>
          <w:vertAlign w:val="superscript"/>
          <w:lang w:val="en-US"/>
        </w:rPr>
        <w:t xml:space="preserve"> </w:t>
      </w:r>
      <w:r w:rsidR="009C3EF8" w:rsidRPr="009C3EF8">
        <w:rPr>
          <w:rFonts w:ascii="Calibri" w:hAnsi="Calibri" w:cs="Calibri"/>
          <w:lang w:val="en-US"/>
        </w:rPr>
        <w:t>in such a way that could lead to unacceptable Residual Risk</w:t>
      </w:r>
      <w:r w:rsidR="009C3EF8" w:rsidRPr="009C3EF8">
        <w:rPr>
          <w:rStyle w:val="FootnoteReference"/>
          <w:rFonts w:ascii="Calibri" w:hAnsi="Calibri" w:cs="Calibri"/>
          <w:lang w:val="en-US"/>
        </w:rPr>
        <w:footnoteReference w:id="5"/>
      </w:r>
      <w:r w:rsidR="009C3EF8" w:rsidRPr="009C3EF8">
        <w:rPr>
          <w:rFonts w:ascii="Calibri" w:hAnsi="Calibri" w:cs="Calibri"/>
          <w:lang w:val="en-US"/>
        </w:rPr>
        <w:t xml:space="preserve"> and significant impact on the benefit-risk analysis</w:t>
      </w:r>
      <w:r w:rsidR="009C3EF8">
        <w:rPr>
          <w:rFonts w:ascii="Calibri" w:hAnsi="Calibri" w:cs="Calibri"/>
          <w:lang w:val="en-US"/>
        </w:rPr>
        <w:t>.</w:t>
      </w:r>
      <w:r w:rsidR="00BE0BFE">
        <w:rPr>
          <w:rFonts w:ascii="Calibri" w:hAnsi="Calibri" w:cs="Calibri"/>
          <w:lang w:val="en-US"/>
        </w:rPr>
        <w:t xml:space="preserve"> </w:t>
      </w:r>
      <w:r w:rsidR="00BE0BFE" w:rsidRPr="00FF634A">
        <w:rPr>
          <w:rFonts w:ascii="Calibri" w:eastAsia="Times New Roman" w:hAnsi="Calibri" w:cs="Calibri"/>
          <w:lang w:val="en-US"/>
        </w:rPr>
        <w:t>An example of this can be, a risk zone change</w:t>
      </w:r>
      <w:r w:rsidR="00BE0BFE">
        <w:rPr>
          <w:rFonts w:ascii="Calibri" w:eastAsia="Times New Roman" w:hAnsi="Calibri" w:cs="Calibri"/>
          <w:lang w:val="en-US"/>
        </w:rPr>
        <w:t>s</w:t>
      </w:r>
      <w:r w:rsidR="00BE0BFE" w:rsidRPr="00FF634A">
        <w:rPr>
          <w:rFonts w:ascii="Calibri" w:eastAsia="Times New Roman" w:hAnsi="Calibri" w:cs="Calibri"/>
          <w:lang w:val="en-US"/>
        </w:rPr>
        <w:t xml:space="preserve"> from low to medium, or and increase that is from medium to high, within the risk matrix as suggested in accordance with ISO 1497</w:t>
      </w:r>
      <w:r w:rsidR="00BE0BFE">
        <w:rPr>
          <w:rFonts w:ascii="Calibri" w:eastAsia="Times New Roman" w:hAnsi="Calibri" w:cs="Calibri"/>
          <w:lang w:val="en-US"/>
        </w:rPr>
        <w:t>1</w:t>
      </w:r>
      <w:r w:rsidR="00BE0BFE" w:rsidRPr="00FF634A">
        <w:rPr>
          <w:rFonts w:ascii="Calibri" w:hAnsi="Calibri" w:cs="Calibri"/>
          <w:lang w:val="en-GB"/>
        </w:rPr>
        <w:t xml:space="preserve">. </w:t>
      </w:r>
    </w:p>
    <w:p w14:paraId="75E17397" w14:textId="77777777" w:rsidR="009C3EF8" w:rsidRPr="009C3EF8" w:rsidRDefault="009C3EF8" w:rsidP="009C3EF8">
      <w:pPr>
        <w:pStyle w:val="NormalWeb"/>
        <w:shd w:val="clear" w:color="auto" w:fill="FFFFFF"/>
        <w:spacing w:before="0" w:beforeAutospacing="0" w:after="150" w:afterAutospacing="0" w:line="276" w:lineRule="auto"/>
        <w:jc w:val="both"/>
        <w:rPr>
          <w:rFonts w:ascii="Calibri" w:hAnsi="Calibri" w:cs="Calibri"/>
          <w:lang w:val="en-US" w:eastAsia="en-US"/>
        </w:rPr>
      </w:pPr>
      <w:r w:rsidRPr="009C3EF8">
        <w:rPr>
          <w:rFonts w:ascii="Calibri" w:hAnsi="Calibri" w:cs="Calibri"/>
          <w:lang w:val="en-US" w:eastAsia="en-US"/>
        </w:rPr>
        <w:t>In line with Article 88</w:t>
      </w:r>
      <w:r w:rsidR="00526EDD">
        <w:rPr>
          <w:rFonts w:ascii="Calibri" w:hAnsi="Calibri" w:cs="Calibri"/>
          <w:lang w:val="en-US" w:eastAsia="en-US"/>
        </w:rPr>
        <w:t>/83</w:t>
      </w:r>
      <w:r w:rsidRPr="009C3EF8">
        <w:rPr>
          <w:rFonts w:ascii="Calibri" w:hAnsi="Calibri" w:cs="Calibri"/>
          <w:lang w:val="en-US" w:eastAsia="en-US"/>
        </w:rPr>
        <w:t xml:space="preserve"> of MDR</w:t>
      </w:r>
      <w:r w:rsidR="00526EDD">
        <w:rPr>
          <w:rFonts w:ascii="Calibri" w:hAnsi="Calibri" w:cs="Calibri"/>
          <w:lang w:val="en-US" w:eastAsia="en-US"/>
        </w:rPr>
        <w:t>/IVDR</w:t>
      </w:r>
      <w:r w:rsidRPr="009C3EF8">
        <w:rPr>
          <w:rFonts w:ascii="Calibri" w:hAnsi="Calibri" w:cs="Calibri"/>
          <w:lang w:val="en-US" w:eastAsia="en-US"/>
        </w:rPr>
        <w:t xml:space="preserve"> and in reference to </w:t>
      </w:r>
      <w:r w:rsidR="00FE3690">
        <w:rPr>
          <w:rFonts w:ascii="Calibri" w:hAnsi="Calibri" w:cs="Calibri"/>
          <w:lang w:val="en-US" w:eastAsia="en-US"/>
        </w:rPr>
        <w:t>section</w:t>
      </w:r>
      <w:r w:rsidR="00A42D8D">
        <w:rPr>
          <w:rFonts w:ascii="Calibri" w:hAnsi="Calibri" w:cs="Calibri"/>
          <w:lang w:val="en-US" w:eastAsia="en-US"/>
        </w:rPr>
        <w:t>s</w:t>
      </w:r>
      <w:r w:rsidR="00FE3690">
        <w:rPr>
          <w:rFonts w:ascii="Calibri" w:hAnsi="Calibri" w:cs="Calibri"/>
          <w:lang w:val="en-US" w:eastAsia="en-US"/>
        </w:rPr>
        <w:t xml:space="preserve"> </w:t>
      </w:r>
      <w:r w:rsidRPr="009C3EF8">
        <w:rPr>
          <w:rFonts w:ascii="Calibri" w:hAnsi="Calibri" w:cs="Calibri"/>
          <w:lang w:val="en-US" w:eastAsia="en-US"/>
        </w:rPr>
        <w:t>1 and 5 of Annex I / Chapter I, the final decision to report is complemented by health hazard assessment in which the residual risk is weighed against the intended benefits.</w:t>
      </w:r>
    </w:p>
    <w:p w14:paraId="651C5759" w14:textId="77777777" w:rsidR="009C4093" w:rsidRDefault="009C4093" w:rsidP="00FF634A">
      <w:pPr>
        <w:spacing w:line="256" w:lineRule="auto"/>
        <w:jc w:val="both"/>
        <w:rPr>
          <w:rFonts w:ascii="Calibri" w:hAnsi="Calibri" w:cs="Calibri"/>
          <w:i/>
          <w:iCs/>
          <w:lang w:val="en-US"/>
        </w:rPr>
      </w:pPr>
    </w:p>
    <w:p w14:paraId="0B4FED0B" w14:textId="77777777" w:rsidR="009C4093" w:rsidRPr="005B0C48" w:rsidRDefault="001C4C3D" w:rsidP="00F37F21">
      <w:pPr>
        <w:pStyle w:val="NormalWeb"/>
        <w:numPr>
          <w:ilvl w:val="0"/>
          <w:numId w:val="1"/>
        </w:numPr>
        <w:shd w:val="clear" w:color="auto" w:fill="FFFFFF"/>
        <w:spacing w:before="0" w:beforeAutospacing="0" w:after="150" w:afterAutospacing="0" w:line="276" w:lineRule="auto"/>
        <w:jc w:val="both"/>
        <w:rPr>
          <w:rFonts w:ascii="Calibri" w:hAnsi="Calibri" w:cs="Calibri"/>
          <w:b/>
          <w:bCs/>
          <w:lang w:val="en-US" w:eastAsia="en-US"/>
        </w:rPr>
      </w:pPr>
      <w:r>
        <w:rPr>
          <w:rFonts w:ascii="Calibri" w:hAnsi="Calibri" w:cs="Calibri"/>
          <w:b/>
          <w:bCs/>
          <w:lang w:val="en-US" w:eastAsia="en-US"/>
        </w:rPr>
        <w:t xml:space="preserve"> </w:t>
      </w:r>
      <w:r w:rsidR="009C4093" w:rsidRPr="005B0C48">
        <w:rPr>
          <w:rFonts w:ascii="Calibri" w:hAnsi="Calibri" w:cs="Calibri"/>
          <w:b/>
          <w:bCs/>
          <w:lang w:val="en-US" w:eastAsia="en-US"/>
        </w:rPr>
        <w:t>What is the “</w:t>
      </w:r>
      <w:r w:rsidR="009C4093">
        <w:rPr>
          <w:rFonts w:ascii="Calibri" w:hAnsi="Calibri" w:cs="Calibri"/>
          <w:b/>
          <w:bCs/>
          <w:lang w:val="en-US" w:eastAsia="en-US"/>
        </w:rPr>
        <w:t>threshold</w:t>
      </w:r>
      <w:r w:rsidR="009C4093" w:rsidRPr="005B0C48">
        <w:rPr>
          <w:rFonts w:ascii="Calibri" w:hAnsi="Calibri" w:cs="Calibri"/>
          <w:b/>
          <w:bCs/>
          <w:lang w:val="en-US" w:eastAsia="en-US"/>
        </w:rPr>
        <w:t>” mentioned in the section 3 (b)</w:t>
      </w:r>
      <w:r w:rsidR="00BE0BFE">
        <w:rPr>
          <w:rFonts w:ascii="Calibri" w:hAnsi="Calibri" w:cs="Calibri"/>
          <w:b/>
          <w:bCs/>
          <w:lang w:val="en-US" w:eastAsia="en-US"/>
        </w:rPr>
        <w:t xml:space="preserve"> of the Trend Report Form</w:t>
      </w:r>
      <w:r w:rsidR="009C4093" w:rsidRPr="005B0C48">
        <w:rPr>
          <w:rFonts w:ascii="Calibri" w:hAnsi="Calibri" w:cs="Calibri"/>
          <w:b/>
          <w:bCs/>
          <w:lang w:val="en-US" w:eastAsia="en-US"/>
        </w:rPr>
        <w:t>?</w:t>
      </w:r>
    </w:p>
    <w:p w14:paraId="14456E34" w14:textId="0B4154F8" w:rsidR="009C4093" w:rsidRDefault="009C4093" w:rsidP="009C4093">
      <w:pPr>
        <w:pStyle w:val="NormalWeb"/>
        <w:shd w:val="clear" w:color="auto" w:fill="FFFFFF"/>
        <w:spacing w:before="0" w:beforeAutospacing="0" w:after="150" w:afterAutospacing="0" w:line="276" w:lineRule="auto"/>
        <w:jc w:val="both"/>
        <w:rPr>
          <w:rFonts w:ascii="Calibri" w:hAnsi="Calibri" w:cs="Calibri"/>
          <w:lang w:val="en-US" w:eastAsia="en-US"/>
        </w:rPr>
      </w:pPr>
      <w:r>
        <w:rPr>
          <w:rFonts w:ascii="Calibri" w:hAnsi="Calibri" w:cs="Calibri"/>
          <w:lang w:val="en-US" w:eastAsia="en-US"/>
        </w:rPr>
        <w:lastRenderedPageBreak/>
        <w:t xml:space="preserve">The established thresholds </w:t>
      </w:r>
      <w:r w:rsidR="00845664">
        <w:rPr>
          <w:rFonts w:ascii="Calibri" w:hAnsi="Calibri" w:cs="Calibri"/>
          <w:lang w:val="en-US" w:eastAsia="en-US"/>
        </w:rPr>
        <w:t xml:space="preserve">value for reporting </w:t>
      </w:r>
      <w:r>
        <w:rPr>
          <w:rFonts w:ascii="Calibri" w:hAnsi="Calibri" w:cs="Calibri"/>
          <w:lang w:val="en-US" w:eastAsia="en-US"/>
        </w:rPr>
        <w:t>refer</w:t>
      </w:r>
      <w:r w:rsidR="00C8645A">
        <w:rPr>
          <w:rFonts w:ascii="Calibri" w:hAnsi="Calibri" w:cs="Calibri"/>
          <w:lang w:val="en-US" w:eastAsia="en-US"/>
        </w:rPr>
        <w:t>s</w:t>
      </w:r>
      <w:r>
        <w:rPr>
          <w:rFonts w:ascii="Calibri" w:hAnsi="Calibri" w:cs="Calibri"/>
          <w:lang w:val="en-US" w:eastAsia="en-US"/>
        </w:rPr>
        <w:t xml:space="preserve"> to the threshold </w:t>
      </w:r>
      <w:r w:rsidR="00845664">
        <w:rPr>
          <w:rFonts w:ascii="Calibri" w:hAnsi="Calibri" w:cs="Calibri"/>
          <w:lang w:val="en-US" w:eastAsia="en-US"/>
        </w:rPr>
        <w:t xml:space="preserve">defined </w:t>
      </w:r>
      <w:r>
        <w:rPr>
          <w:rFonts w:ascii="Calibri" w:hAnsi="Calibri" w:cs="Calibri"/>
          <w:lang w:val="en-US" w:eastAsia="en-US"/>
        </w:rPr>
        <w:t>by the manufacturer in its risk assessment</w:t>
      </w:r>
      <w:r w:rsidR="00845664" w:rsidRPr="00011108">
        <w:rPr>
          <w:lang w:val="en-US"/>
        </w:rPr>
        <w:t xml:space="preserve"> </w:t>
      </w:r>
      <w:r w:rsidR="00845664" w:rsidRPr="00845664">
        <w:rPr>
          <w:rFonts w:ascii="Calibri" w:hAnsi="Calibri" w:cs="Calibri"/>
          <w:lang w:val="en-US" w:eastAsia="en-US"/>
        </w:rPr>
        <w:t>in a way to avoid over or under-reporting.</w:t>
      </w:r>
      <w:r>
        <w:rPr>
          <w:rFonts w:ascii="Calibri" w:hAnsi="Calibri" w:cs="Calibri"/>
          <w:lang w:val="en-US" w:eastAsia="en-US"/>
        </w:rPr>
        <w:t xml:space="preserve"> In this section the manufacturer should describe how he has </w:t>
      </w:r>
      <w:r w:rsidR="00C8645A">
        <w:rPr>
          <w:rFonts w:ascii="Calibri" w:hAnsi="Calibri" w:cs="Calibri"/>
          <w:lang w:val="en-US" w:eastAsia="en-US"/>
        </w:rPr>
        <w:t xml:space="preserve">determined </w:t>
      </w:r>
      <w:r>
        <w:rPr>
          <w:rFonts w:ascii="Calibri" w:hAnsi="Calibri" w:cs="Calibri"/>
          <w:lang w:val="en-US" w:eastAsia="en-US"/>
        </w:rPr>
        <w:t xml:space="preserve">potential risk and which signal </w:t>
      </w:r>
      <w:r w:rsidR="00C8645A">
        <w:rPr>
          <w:rFonts w:ascii="Calibri" w:hAnsi="Calibri" w:cs="Calibri"/>
          <w:lang w:val="en-US" w:eastAsia="en-US"/>
        </w:rPr>
        <w:t xml:space="preserve">was </w:t>
      </w:r>
      <w:r>
        <w:rPr>
          <w:rFonts w:ascii="Calibri" w:hAnsi="Calibri" w:cs="Calibri"/>
          <w:lang w:val="en-US" w:eastAsia="en-US"/>
        </w:rPr>
        <w:t xml:space="preserve">detected. </w:t>
      </w:r>
    </w:p>
    <w:p w14:paraId="46A18500" w14:textId="64656BE8" w:rsidR="00BE0BFE" w:rsidRPr="00FF634A" w:rsidRDefault="00C8645A" w:rsidP="00BE0BFE">
      <w:pPr>
        <w:spacing w:line="276" w:lineRule="auto"/>
        <w:jc w:val="both"/>
        <w:rPr>
          <w:rFonts w:ascii="Calibri" w:eastAsia="Times New Roman" w:hAnsi="Calibri" w:cs="Calibri"/>
          <w:lang w:val="en-US"/>
        </w:rPr>
      </w:pPr>
      <w:r>
        <w:rPr>
          <w:rFonts w:ascii="Calibri" w:eastAsia="Times New Roman" w:hAnsi="Calibri" w:cs="Calibri"/>
          <w:lang w:val="en-US"/>
        </w:rPr>
        <w:t>Thresholds</w:t>
      </w:r>
      <w:r w:rsidR="00BE0BFE" w:rsidRPr="00FF634A">
        <w:rPr>
          <w:rFonts w:ascii="Calibri" w:eastAsia="Times New Roman" w:hAnsi="Calibri" w:cs="Calibri"/>
          <w:lang w:val="en-US"/>
        </w:rPr>
        <w:t xml:space="preserve"> of risk for trend reporting should be defined at the beginning of the designing and manufacturing process in accordance with the risk-benefit analysis and reference to them should be reported in trend report. </w:t>
      </w:r>
    </w:p>
    <w:p w14:paraId="3D782F1C" w14:textId="77777777" w:rsidR="00BE0BFE" w:rsidRPr="00FF634A" w:rsidRDefault="00BE0BFE" w:rsidP="00BE0BFE">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In particular,</w:t>
      </w:r>
    </w:p>
    <w:p w14:paraId="46B42468" w14:textId="77777777" w:rsidR="00BE0BFE" w:rsidRPr="00FF634A" w:rsidRDefault="00BE0BFE" w:rsidP="00BE0BFE">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Risk can be considered as the results of two components:</w:t>
      </w:r>
    </w:p>
    <w:p w14:paraId="07E57E74" w14:textId="77777777" w:rsidR="00BE0BFE" w:rsidRPr="00FF634A" w:rsidRDefault="00BE0BFE" w:rsidP="00792D58">
      <w:pPr>
        <w:pStyle w:val="NormalWeb"/>
        <w:numPr>
          <w:ilvl w:val="1"/>
          <w:numId w:val="6"/>
        </w:numPr>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probability of damage occurring;</w:t>
      </w:r>
    </w:p>
    <w:p w14:paraId="0A30E55C" w14:textId="77777777" w:rsidR="00BE0BFE" w:rsidRPr="00FF634A" w:rsidRDefault="00BE0BFE" w:rsidP="00792D58">
      <w:pPr>
        <w:pStyle w:val="NormalWeb"/>
        <w:numPr>
          <w:ilvl w:val="1"/>
          <w:numId w:val="6"/>
        </w:numPr>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consequences of the damage, meaning gravity of the damage.</w:t>
      </w:r>
    </w:p>
    <w:p w14:paraId="10DBBD43" w14:textId="77777777" w:rsidR="00BE0BFE" w:rsidRPr="00FF634A" w:rsidRDefault="00BE0BFE" w:rsidP="00BE0BFE">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Benefit is defined as the benefit of a medical device</w:t>
      </w:r>
      <w:r w:rsidR="00C8645A">
        <w:rPr>
          <w:rFonts w:ascii="Calibri" w:hAnsi="Calibri" w:cs="Calibri"/>
          <w:lang w:val="en-US"/>
        </w:rPr>
        <w:t xml:space="preserve"> which</w:t>
      </w:r>
      <w:r w:rsidRPr="00FF634A">
        <w:rPr>
          <w:rFonts w:ascii="Calibri" w:hAnsi="Calibri" w:cs="Calibri"/>
          <w:lang w:val="en-US"/>
        </w:rPr>
        <w:t xml:space="preserve"> is related to the likelihood and extent of the health improvement expected from its use.</w:t>
      </w:r>
    </w:p>
    <w:p w14:paraId="58F867B7" w14:textId="77777777" w:rsidR="00BE0BFE" w:rsidRPr="00FF634A" w:rsidRDefault="00BE0BFE" w:rsidP="00BE0BFE">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Risk can be considered as the results of three components:</w:t>
      </w:r>
    </w:p>
    <w:p w14:paraId="4CAFB00C" w14:textId="77777777" w:rsidR="00BE0BFE" w:rsidRPr="00FF634A" w:rsidRDefault="00BE0BFE" w:rsidP="00792D58">
      <w:pPr>
        <w:pStyle w:val="NormalWeb"/>
        <w:numPr>
          <w:ilvl w:val="1"/>
          <w:numId w:val="6"/>
        </w:numPr>
        <w:shd w:val="clear" w:color="auto" w:fill="FFFFFF"/>
        <w:spacing w:after="150" w:line="276" w:lineRule="auto"/>
        <w:jc w:val="both"/>
        <w:rPr>
          <w:rFonts w:ascii="Calibri" w:hAnsi="Calibri" w:cs="Calibri"/>
          <w:lang w:val="en-US"/>
        </w:rPr>
      </w:pPr>
      <w:r w:rsidRPr="00FF634A">
        <w:rPr>
          <w:rFonts w:ascii="Calibri" w:hAnsi="Calibri" w:cs="Calibri"/>
          <w:lang w:val="en-US"/>
        </w:rPr>
        <w:t>the expected performance during its clinical use;</w:t>
      </w:r>
    </w:p>
    <w:p w14:paraId="0B018AAA" w14:textId="77777777" w:rsidR="00BE0BFE" w:rsidRPr="00FF634A" w:rsidRDefault="00BE0BFE" w:rsidP="00792D58">
      <w:pPr>
        <w:pStyle w:val="NormalWeb"/>
        <w:numPr>
          <w:ilvl w:val="1"/>
          <w:numId w:val="6"/>
        </w:numPr>
        <w:shd w:val="clear" w:color="auto" w:fill="FFFFFF"/>
        <w:spacing w:after="150" w:line="276" w:lineRule="auto"/>
        <w:jc w:val="both"/>
        <w:rPr>
          <w:rFonts w:ascii="Calibri" w:hAnsi="Calibri" w:cs="Calibri"/>
          <w:lang w:val="en-US"/>
        </w:rPr>
      </w:pPr>
      <w:r w:rsidRPr="00FF634A">
        <w:rPr>
          <w:rFonts w:ascii="Calibri" w:hAnsi="Calibri" w:cs="Calibri"/>
          <w:lang w:val="en-US"/>
        </w:rPr>
        <w:t>the clinical outcome expected from this service;</w:t>
      </w:r>
    </w:p>
    <w:p w14:paraId="5531481D" w14:textId="77777777" w:rsidR="00BE0BFE" w:rsidRPr="00FF634A" w:rsidRDefault="00BE0BFE" w:rsidP="00792D58">
      <w:pPr>
        <w:pStyle w:val="NormalWeb"/>
        <w:numPr>
          <w:ilvl w:val="1"/>
          <w:numId w:val="6"/>
        </w:numPr>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factors relevant to the risks and benefits of other treatment options.</w:t>
      </w:r>
    </w:p>
    <w:p w14:paraId="5EA86EC1" w14:textId="1A5A076C" w:rsidR="00BE0BFE" w:rsidRPr="00FF634A" w:rsidRDefault="00BE0BFE" w:rsidP="00BE0BFE">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 xml:space="preserve">As the standard ISO 14791 do not define exactly the “acceptable risk” the evaluation is </w:t>
      </w:r>
      <w:r w:rsidR="00C8645A">
        <w:rPr>
          <w:rFonts w:ascii="Calibri" w:hAnsi="Calibri" w:cs="Calibri"/>
          <w:lang w:val="en-US"/>
        </w:rPr>
        <w:t>required</w:t>
      </w:r>
      <w:r w:rsidR="00C8645A" w:rsidRPr="00FF634A">
        <w:rPr>
          <w:rFonts w:ascii="Calibri" w:hAnsi="Calibri" w:cs="Calibri"/>
          <w:lang w:val="en-US"/>
        </w:rPr>
        <w:t xml:space="preserve"> </w:t>
      </w:r>
      <w:r w:rsidR="00C8645A">
        <w:rPr>
          <w:rFonts w:ascii="Calibri" w:hAnsi="Calibri" w:cs="Calibri"/>
          <w:lang w:val="en-US"/>
        </w:rPr>
        <w:t>by</w:t>
      </w:r>
      <w:r w:rsidRPr="00FF634A">
        <w:rPr>
          <w:rFonts w:ascii="Calibri" w:hAnsi="Calibri" w:cs="Calibri"/>
          <w:lang w:val="en-US"/>
        </w:rPr>
        <w:t xml:space="preserve"> the manufacturer who should have a suitable system in place for proactive scrutiny. </w:t>
      </w:r>
    </w:p>
    <w:p w14:paraId="7EADC35E" w14:textId="77777777" w:rsidR="00BE0BFE" w:rsidRDefault="00BE0BFE" w:rsidP="00BE0BFE">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 xml:space="preserve">Some qualitative methods can be identified in agreement with the </w:t>
      </w:r>
      <w:r>
        <w:rPr>
          <w:rFonts w:ascii="Calibri" w:hAnsi="Calibri" w:cs="Calibri"/>
          <w:lang w:val="en-US"/>
        </w:rPr>
        <w:t xml:space="preserve">EN </w:t>
      </w:r>
      <w:r w:rsidRPr="00FF634A">
        <w:rPr>
          <w:rFonts w:ascii="Calibri" w:hAnsi="Calibri" w:cs="Calibri"/>
          <w:lang w:val="en-US"/>
        </w:rPr>
        <w:t xml:space="preserve">ISO 14971. </w:t>
      </w:r>
    </w:p>
    <w:p w14:paraId="4FF09780" w14:textId="44B5A21D" w:rsidR="00636201" w:rsidRDefault="005E2D8A" w:rsidP="009C4093">
      <w:pPr>
        <w:pStyle w:val="NormalWeb"/>
        <w:shd w:val="clear" w:color="auto" w:fill="FFFFFF"/>
        <w:spacing w:before="0" w:beforeAutospacing="0" w:after="150" w:afterAutospacing="0" w:line="276" w:lineRule="auto"/>
        <w:jc w:val="both"/>
        <w:rPr>
          <w:rFonts w:ascii="Calibri" w:hAnsi="Calibri" w:cs="Calibri"/>
          <w:iCs/>
          <w:lang w:val="en-US" w:eastAsia="en-US"/>
        </w:rPr>
      </w:pPr>
      <w:r w:rsidRPr="002D2A06">
        <w:rPr>
          <w:rFonts w:ascii="Calibri" w:hAnsi="Calibri" w:cs="Calibri"/>
          <w:iCs/>
          <w:lang w:val="en-US"/>
        </w:rPr>
        <w:t xml:space="preserve">Examples of matrix for qualitative and semi-qualitative risk assessment can be identified consulting the EN </w:t>
      </w:r>
      <w:r w:rsidRPr="00570E90">
        <w:rPr>
          <w:rFonts w:ascii="Calibri" w:hAnsi="Calibri" w:cs="Calibri"/>
          <w:iCs/>
          <w:lang w:val="en-US" w:eastAsia="en-US"/>
        </w:rPr>
        <w:t>ISO 14971.</w:t>
      </w:r>
    </w:p>
    <w:p w14:paraId="0718FB85" w14:textId="77777777" w:rsidR="00636201" w:rsidRPr="00636201" w:rsidRDefault="00636201" w:rsidP="009C4093">
      <w:pPr>
        <w:pStyle w:val="NormalWeb"/>
        <w:shd w:val="clear" w:color="auto" w:fill="FFFFFF"/>
        <w:spacing w:before="0" w:beforeAutospacing="0" w:after="150" w:afterAutospacing="0" w:line="276" w:lineRule="auto"/>
        <w:jc w:val="both"/>
        <w:rPr>
          <w:rFonts w:ascii="Calibri" w:hAnsi="Calibri" w:cs="Calibri"/>
          <w:iCs/>
          <w:lang w:val="en-US" w:eastAsia="en-US"/>
        </w:rPr>
      </w:pPr>
    </w:p>
    <w:p w14:paraId="344736B4" w14:textId="77777777" w:rsidR="00F37F21" w:rsidRPr="00570E90" w:rsidRDefault="004B7D0B" w:rsidP="00F37F21">
      <w:pPr>
        <w:pStyle w:val="ListParagraph"/>
        <w:numPr>
          <w:ilvl w:val="0"/>
          <w:numId w:val="1"/>
        </w:numPr>
        <w:spacing w:line="256" w:lineRule="auto"/>
        <w:jc w:val="both"/>
        <w:rPr>
          <w:rFonts w:ascii="Calibri" w:hAnsi="Calibri" w:cs="Calibri"/>
          <w:b/>
          <w:bCs/>
          <w:iCs/>
          <w:lang w:val="en-US"/>
        </w:rPr>
      </w:pPr>
      <w:r w:rsidRPr="00570E90">
        <w:rPr>
          <w:rFonts w:ascii="Calibri" w:hAnsi="Calibri" w:cs="Calibri"/>
          <w:b/>
          <w:bCs/>
          <w:iCs/>
          <w:lang w:val="en-US"/>
        </w:rPr>
        <w:t>Which Trend Report Form has to be used before and after Eudamed becomes fully functional?</w:t>
      </w:r>
    </w:p>
    <w:p w14:paraId="2A67447B" w14:textId="77777777" w:rsidR="00570E90" w:rsidRDefault="00570E90" w:rsidP="004B7D0B">
      <w:pPr>
        <w:pStyle w:val="ListParagraph"/>
        <w:spacing w:line="276" w:lineRule="auto"/>
        <w:ind w:left="643"/>
        <w:jc w:val="both"/>
        <w:rPr>
          <w:rFonts w:ascii="Calibri" w:eastAsia="Times New Roman" w:hAnsi="Calibri" w:cs="Calibri"/>
          <w:lang w:val="en-US"/>
        </w:rPr>
      </w:pPr>
    </w:p>
    <w:p w14:paraId="2B0A6B63" w14:textId="12152E05" w:rsidR="004B7D0B" w:rsidRDefault="00C8645A" w:rsidP="00570E90">
      <w:pPr>
        <w:spacing w:line="276" w:lineRule="auto"/>
        <w:jc w:val="both"/>
        <w:rPr>
          <w:rFonts w:ascii="Calibri" w:hAnsi="Calibri" w:cs="Calibri"/>
          <w:lang w:val="en-US"/>
        </w:rPr>
      </w:pPr>
      <w:r w:rsidRPr="00570E90">
        <w:rPr>
          <w:rFonts w:ascii="Calibri" w:eastAsia="Times New Roman" w:hAnsi="Calibri" w:cs="Calibri"/>
          <w:lang w:val="en-US"/>
        </w:rPr>
        <w:t>T</w:t>
      </w:r>
      <w:r w:rsidR="004B7D0B" w:rsidRPr="00570E90">
        <w:rPr>
          <w:rFonts w:ascii="Calibri" w:eastAsia="Times New Roman" w:hAnsi="Calibri" w:cs="Calibri"/>
          <w:lang w:val="en-US"/>
        </w:rPr>
        <w:t xml:space="preserve">rend reporting via the electronic system (EUDAMED) referred to in Article 92 of the MDR and Article 87 of the IVDR using the Trend Report Form will </w:t>
      </w:r>
      <w:r w:rsidR="004B7D0B" w:rsidRPr="00570E90">
        <w:rPr>
          <w:rFonts w:ascii="Calibri" w:hAnsi="Calibri" w:cs="Calibri"/>
          <w:lang w:val="en-US"/>
        </w:rPr>
        <w:t xml:space="preserve">be applicable only when Eudamed becomes fully functional. </w:t>
      </w:r>
    </w:p>
    <w:p w14:paraId="629B3483" w14:textId="77777777" w:rsidR="00E97A42" w:rsidRPr="00570E90" w:rsidRDefault="00E97A42" w:rsidP="00570E90">
      <w:pPr>
        <w:spacing w:line="276" w:lineRule="auto"/>
        <w:jc w:val="both"/>
        <w:rPr>
          <w:rFonts w:ascii="Calibri" w:hAnsi="Calibri" w:cs="Calibri"/>
          <w:lang w:val="en-US"/>
        </w:rPr>
      </w:pPr>
    </w:p>
    <w:p w14:paraId="032D52DE" w14:textId="41FF1AB3" w:rsidR="00570E90" w:rsidRPr="00441511" w:rsidRDefault="00570E90" w:rsidP="00570E90">
      <w:pPr>
        <w:spacing w:line="276" w:lineRule="auto"/>
        <w:jc w:val="both"/>
        <w:rPr>
          <w:rFonts w:ascii="Calibri" w:hAnsi="Calibri" w:cs="Calibri"/>
          <w:lang w:val="en-US"/>
        </w:rPr>
      </w:pPr>
      <w:r>
        <w:rPr>
          <w:rFonts w:ascii="Calibri" w:hAnsi="Calibri" w:cs="Calibri"/>
          <w:lang w:val="en-US"/>
        </w:rPr>
        <w:t>As per art. 92 (6) MDR and art. 87 (6) IVDR t</w:t>
      </w:r>
      <w:r w:rsidRPr="00532006">
        <w:rPr>
          <w:rFonts w:ascii="Calibri" w:hAnsi="Calibri" w:cs="Calibri"/>
          <w:lang w:val="en-US"/>
        </w:rPr>
        <w:t>he trend reports shall be automatically transmitted upon receipt via the electronic system to the competent authorities of the Member States in which the incidents occurred.</w:t>
      </w:r>
      <w:r w:rsidR="00441511">
        <w:rPr>
          <w:rFonts w:ascii="Calibri" w:hAnsi="Calibri" w:cs="Calibri"/>
          <w:lang w:val="en-US"/>
        </w:rPr>
        <w:t xml:space="preserve"> </w:t>
      </w:r>
      <w:r w:rsidR="00441511" w:rsidRPr="00441511">
        <w:rPr>
          <w:rFonts w:ascii="Calibri" w:hAnsi="Calibri" w:cs="Calibri"/>
          <w:lang w:val="en-US"/>
        </w:rPr>
        <w:t>It is advisable to submit the</w:t>
      </w:r>
      <w:r w:rsidR="00441511" w:rsidRPr="00441511">
        <w:rPr>
          <w:rFonts w:ascii="Calibri" w:hAnsi="Calibri" w:cs="Calibri"/>
          <w:lang w:val="en-IE"/>
        </w:rPr>
        <w:t xml:space="preserve"> trend report also to the National Competent Authority (NCA) where the manufacturer or its authorized representative has his registered place of business</w:t>
      </w:r>
      <w:r w:rsidR="008F4728">
        <w:rPr>
          <w:rFonts w:ascii="Calibri" w:hAnsi="Calibri" w:cs="Calibri"/>
          <w:lang w:val="en-IE"/>
        </w:rPr>
        <w:t>.</w:t>
      </w:r>
    </w:p>
    <w:p w14:paraId="5B65B5A8" w14:textId="77777777" w:rsidR="00570E90" w:rsidRPr="00570E90" w:rsidRDefault="00570E90" w:rsidP="004B7D0B">
      <w:pPr>
        <w:pStyle w:val="ListParagraph"/>
        <w:spacing w:line="276" w:lineRule="auto"/>
        <w:ind w:left="643"/>
        <w:jc w:val="both"/>
        <w:rPr>
          <w:rFonts w:ascii="Calibri" w:hAnsi="Calibri" w:cs="Calibri"/>
          <w:lang w:val="en-US"/>
        </w:rPr>
      </w:pPr>
    </w:p>
    <w:p w14:paraId="5F30BFBA" w14:textId="32FFF767" w:rsidR="00CB08C0" w:rsidRPr="00570E90" w:rsidRDefault="004B7D0B" w:rsidP="00570E90">
      <w:pPr>
        <w:spacing w:line="276" w:lineRule="auto"/>
        <w:jc w:val="both"/>
        <w:rPr>
          <w:rFonts w:ascii="Calibri" w:eastAsia="Times New Roman" w:hAnsi="Calibri" w:cs="Calibri"/>
          <w:color w:val="FF0000"/>
          <w:lang w:val="en-US"/>
        </w:rPr>
      </w:pPr>
      <w:r w:rsidRPr="00570E90">
        <w:rPr>
          <w:rFonts w:ascii="Calibri" w:hAnsi="Calibri" w:cs="Calibri"/>
          <w:lang w:val="en-US"/>
        </w:rPr>
        <w:lastRenderedPageBreak/>
        <w:t xml:space="preserve">In the </w:t>
      </w:r>
      <w:r w:rsidR="00D9232D" w:rsidRPr="00570E90">
        <w:rPr>
          <w:rFonts w:ascii="Calibri" w:hAnsi="Calibri" w:cs="Calibri"/>
          <w:lang w:val="en-US"/>
        </w:rPr>
        <w:t>meantime,</w:t>
      </w:r>
      <w:r w:rsidR="00935009">
        <w:rPr>
          <w:rFonts w:ascii="Calibri" w:hAnsi="Calibri" w:cs="Calibri"/>
          <w:lang w:val="en-US"/>
        </w:rPr>
        <w:t xml:space="preserve"> the Eudamed is fully functional</w:t>
      </w:r>
      <w:r w:rsidRPr="00570E90">
        <w:rPr>
          <w:rFonts w:ascii="Calibri" w:hAnsi="Calibri" w:cs="Calibri"/>
          <w:lang w:val="en-US"/>
        </w:rPr>
        <w:t xml:space="preserve"> the MDR</w:t>
      </w:r>
      <w:r w:rsidR="003B7AA0">
        <w:rPr>
          <w:rFonts w:ascii="Calibri" w:hAnsi="Calibri" w:cs="Calibri"/>
          <w:lang w:val="en-US"/>
        </w:rPr>
        <w:t>/IVDR</w:t>
      </w:r>
      <w:r w:rsidRPr="00570E90">
        <w:rPr>
          <w:rFonts w:ascii="Calibri" w:hAnsi="Calibri" w:cs="Calibri"/>
          <w:lang w:val="en-US"/>
        </w:rPr>
        <w:t xml:space="preserve"> Trend report requirements are applicable</w:t>
      </w:r>
      <w:r w:rsidR="00935009">
        <w:rPr>
          <w:rFonts w:ascii="Calibri" w:hAnsi="Calibri" w:cs="Calibri"/>
          <w:lang w:val="en-US"/>
        </w:rPr>
        <w:t xml:space="preserve"> and the </w:t>
      </w:r>
      <w:r w:rsidRPr="00570E90">
        <w:rPr>
          <w:rFonts w:ascii="Calibri" w:hAnsi="Calibri" w:cs="Calibri"/>
          <w:lang w:val="en-US"/>
        </w:rPr>
        <w:t xml:space="preserve">alternative administrative technical solutions have to be adopted as per </w:t>
      </w:r>
      <w:r w:rsidR="00F232FD" w:rsidRPr="00570E90">
        <w:rPr>
          <w:rFonts w:ascii="Calibri" w:hAnsi="Calibri" w:cs="Calibri"/>
          <w:lang w:val="en-US"/>
        </w:rPr>
        <w:t xml:space="preserve">guidance </w:t>
      </w:r>
      <w:r w:rsidRPr="00570E90">
        <w:rPr>
          <w:rFonts w:ascii="Calibri" w:hAnsi="Calibri" w:cs="Calibri"/>
          <w:lang w:val="en-US"/>
        </w:rPr>
        <w:t>MDCG 2021-1</w:t>
      </w:r>
      <w:r w:rsidR="00D61BEA" w:rsidRPr="00570E90">
        <w:rPr>
          <w:rStyle w:val="FootnoteReference"/>
          <w:rFonts w:ascii="Calibri" w:hAnsi="Calibri" w:cs="Calibri"/>
          <w:lang w:val="en-US"/>
        </w:rPr>
        <w:footnoteReference w:id="6"/>
      </w:r>
      <w:r w:rsidRPr="00570E90">
        <w:rPr>
          <w:rFonts w:ascii="Calibri" w:eastAsia="Times New Roman" w:hAnsi="Calibri" w:cs="Calibri"/>
          <w:lang w:val="en-US"/>
        </w:rPr>
        <w:t xml:space="preserve">. </w:t>
      </w:r>
      <w:r w:rsidR="00D53C2A" w:rsidRPr="00570E90">
        <w:rPr>
          <w:lang w:val="en-US"/>
        </w:rPr>
        <w:t>The current Trend report form should be used</w:t>
      </w:r>
      <w:r w:rsidR="00D61BEA" w:rsidRPr="00570E90">
        <w:rPr>
          <w:lang w:val="en-US"/>
        </w:rPr>
        <w:t xml:space="preserve"> and </w:t>
      </w:r>
      <w:r w:rsidR="00CB08C0" w:rsidRPr="00570E90">
        <w:rPr>
          <w:lang w:val="en-US"/>
        </w:rPr>
        <w:t>it</w:t>
      </w:r>
      <w:r w:rsidR="00D61BEA" w:rsidRPr="00570E90">
        <w:rPr>
          <w:lang w:val="en-US"/>
        </w:rPr>
        <w:t xml:space="preserve"> should be sent to the national </w:t>
      </w:r>
      <w:r w:rsidR="00CB08C0" w:rsidRPr="00570E90">
        <w:rPr>
          <w:lang w:val="en-US"/>
        </w:rPr>
        <w:t xml:space="preserve">vigilance </w:t>
      </w:r>
      <w:r w:rsidR="00D61BEA" w:rsidRPr="00570E90">
        <w:rPr>
          <w:lang w:val="en-US"/>
        </w:rPr>
        <w:t>systems of member states</w:t>
      </w:r>
      <w:r w:rsidR="00CB08C0" w:rsidRPr="00570E90">
        <w:rPr>
          <w:lang w:val="en-US"/>
        </w:rPr>
        <w:t>.</w:t>
      </w:r>
    </w:p>
    <w:p w14:paraId="6C3819EF" w14:textId="77777777" w:rsidR="004B7D0B" w:rsidRDefault="004B7D0B" w:rsidP="004B7D0B">
      <w:pPr>
        <w:pStyle w:val="ListParagraph"/>
        <w:spacing w:line="256" w:lineRule="auto"/>
        <w:ind w:left="643"/>
        <w:jc w:val="both"/>
        <w:rPr>
          <w:rFonts w:ascii="Calibri" w:hAnsi="Calibri" w:cs="Calibri"/>
          <w:b/>
          <w:bCs/>
          <w:iCs/>
          <w:lang w:val="en-US"/>
        </w:rPr>
      </w:pPr>
    </w:p>
    <w:p w14:paraId="3F47DE16" w14:textId="1009960B" w:rsidR="004B7D0B" w:rsidRDefault="004B7D0B" w:rsidP="004B7D0B">
      <w:pPr>
        <w:pStyle w:val="ListParagraph"/>
        <w:numPr>
          <w:ilvl w:val="0"/>
          <w:numId w:val="1"/>
        </w:numPr>
        <w:spacing w:line="256" w:lineRule="auto"/>
        <w:jc w:val="both"/>
        <w:rPr>
          <w:rFonts w:ascii="Calibri" w:hAnsi="Calibri" w:cs="Calibri"/>
          <w:b/>
          <w:bCs/>
          <w:iCs/>
          <w:lang w:val="en-US"/>
        </w:rPr>
      </w:pPr>
      <w:r w:rsidRPr="00075B32">
        <w:rPr>
          <w:rFonts w:ascii="Calibri" w:hAnsi="Calibri" w:cs="Calibri"/>
          <w:b/>
          <w:bCs/>
          <w:iCs/>
          <w:lang w:val="en-US"/>
        </w:rPr>
        <w:t>Which are the documents related to the Trend Report</w:t>
      </w:r>
      <w:r w:rsidR="00D9601E">
        <w:rPr>
          <w:rFonts w:ascii="Calibri" w:hAnsi="Calibri" w:cs="Calibri"/>
          <w:b/>
          <w:bCs/>
          <w:iCs/>
          <w:lang w:val="en-US"/>
        </w:rPr>
        <w:t xml:space="preserve"> when the Eudamed is fully functional</w:t>
      </w:r>
      <w:r w:rsidRPr="00075B32">
        <w:rPr>
          <w:rFonts w:ascii="Calibri" w:hAnsi="Calibri" w:cs="Calibri"/>
          <w:b/>
          <w:bCs/>
          <w:iCs/>
          <w:lang w:val="en-US"/>
        </w:rPr>
        <w:t xml:space="preserve">? </w:t>
      </w:r>
    </w:p>
    <w:p w14:paraId="322F3EF2" w14:textId="77777777" w:rsidR="00636201" w:rsidRPr="00636201" w:rsidRDefault="00636201" w:rsidP="00636201">
      <w:pPr>
        <w:spacing w:line="256" w:lineRule="auto"/>
        <w:ind w:left="283"/>
        <w:jc w:val="both"/>
        <w:rPr>
          <w:rFonts w:ascii="Calibri" w:hAnsi="Calibri" w:cs="Calibri"/>
          <w:b/>
          <w:bCs/>
          <w:iCs/>
          <w:lang w:val="en-US"/>
        </w:rPr>
      </w:pPr>
    </w:p>
    <w:p w14:paraId="431FBA00" w14:textId="77777777" w:rsidR="00F37F21" w:rsidRDefault="00F37F21" w:rsidP="00636201">
      <w:pPr>
        <w:pStyle w:val="NormalWeb"/>
        <w:shd w:val="clear" w:color="auto" w:fill="FFFFFF"/>
        <w:spacing w:before="0" w:beforeAutospacing="0" w:after="150" w:afterAutospacing="0" w:line="330" w:lineRule="atLeast"/>
        <w:jc w:val="both"/>
        <w:rPr>
          <w:rFonts w:ascii="Calibri" w:hAnsi="Calibri" w:cs="Calibri"/>
          <w:lang w:val="en-US" w:eastAsia="en-US"/>
        </w:rPr>
      </w:pPr>
      <w:r>
        <w:rPr>
          <w:rFonts w:ascii="Calibri" w:hAnsi="Calibri" w:cs="Calibri"/>
          <w:lang w:val="en-US" w:eastAsia="en-US"/>
        </w:rPr>
        <w:t>When the manufacturer issues a Trend Report, they have to take into account 2 documents:</w:t>
      </w:r>
    </w:p>
    <w:p w14:paraId="332F5AD5" w14:textId="20866DD5" w:rsidR="00F37F21" w:rsidRDefault="00F37F21" w:rsidP="00792D58">
      <w:pPr>
        <w:pStyle w:val="NormalWeb"/>
        <w:numPr>
          <w:ilvl w:val="0"/>
          <w:numId w:val="18"/>
        </w:numPr>
        <w:shd w:val="clear" w:color="auto" w:fill="FFFFFF"/>
        <w:spacing w:before="0" w:beforeAutospacing="0" w:after="150" w:afterAutospacing="0" w:line="330" w:lineRule="atLeast"/>
        <w:jc w:val="both"/>
        <w:rPr>
          <w:rFonts w:ascii="Calibri" w:hAnsi="Calibri" w:cs="Calibri"/>
          <w:lang w:val="en-US" w:eastAsia="en-US"/>
        </w:rPr>
      </w:pPr>
      <w:r w:rsidRPr="00687EBF">
        <w:rPr>
          <w:rFonts w:ascii="Calibri" w:hAnsi="Calibri" w:cs="Calibri"/>
          <w:b/>
          <w:bCs/>
          <w:lang w:val="en-US" w:eastAsia="en-US"/>
        </w:rPr>
        <w:t>Eudamed Trend Report Form.</w:t>
      </w:r>
      <w:r>
        <w:rPr>
          <w:rFonts w:ascii="Calibri" w:hAnsi="Calibri" w:cs="Calibri"/>
          <w:lang w:val="en-US" w:eastAsia="en-US"/>
        </w:rPr>
        <w:t xml:space="preserve"> This document submitted directly in Eudamed</w:t>
      </w:r>
      <w:r w:rsidR="003B7AA0">
        <w:rPr>
          <w:rFonts w:ascii="Calibri" w:hAnsi="Calibri" w:cs="Calibri"/>
          <w:lang w:val="en-US" w:eastAsia="en-US"/>
        </w:rPr>
        <w:t xml:space="preserve"> including the following information: </w:t>
      </w:r>
      <w:r>
        <w:rPr>
          <w:rFonts w:ascii="Calibri" w:hAnsi="Calibri" w:cs="Calibri"/>
          <w:lang w:val="en-US" w:eastAsia="en-US"/>
        </w:rPr>
        <w:t>Member States where the incidents occurred, the administrative information, description of the devices and the detected trend (background, established threshold, methodology, observation period, root cause analysis, a</w:t>
      </w:r>
      <w:r w:rsidRPr="00075B32">
        <w:rPr>
          <w:rFonts w:ascii="Calibri" w:hAnsi="Calibri" w:cs="Calibri"/>
          <w:lang w:val="en-US" w:eastAsia="en-US"/>
        </w:rPr>
        <w:t>ctions to be taken or already implemented to the reduce the risks for the users/patient</w:t>
      </w:r>
      <w:r w:rsidR="0055359E">
        <w:rPr>
          <w:rFonts w:ascii="Calibri" w:hAnsi="Calibri" w:cs="Calibri"/>
          <w:lang w:val="en-US" w:eastAsia="en-US"/>
        </w:rPr>
        <w:t>s</w:t>
      </w:r>
      <w:r>
        <w:rPr>
          <w:rFonts w:ascii="Calibri" w:hAnsi="Calibri" w:cs="Calibri"/>
          <w:lang w:val="en-US" w:eastAsia="en-US"/>
        </w:rPr>
        <w:t xml:space="preserve">). </w:t>
      </w:r>
    </w:p>
    <w:p w14:paraId="3ABC6623" w14:textId="77777777" w:rsidR="00F37F21" w:rsidRDefault="00F37F21" w:rsidP="00792D58">
      <w:pPr>
        <w:pStyle w:val="NormalWeb"/>
        <w:numPr>
          <w:ilvl w:val="0"/>
          <w:numId w:val="18"/>
        </w:numPr>
        <w:shd w:val="clear" w:color="auto" w:fill="FFFFFF"/>
        <w:spacing w:before="0" w:beforeAutospacing="0" w:after="150" w:afterAutospacing="0" w:line="330" w:lineRule="atLeast"/>
        <w:jc w:val="both"/>
        <w:rPr>
          <w:rFonts w:ascii="Calibri" w:hAnsi="Calibri" w:cs="Calibri"/>
          <w:lang w:val="en-US" w:eastAsia="en-US"/>
        </w:rPr>
      </w:pPr>
      <w:r w:rsidRPr="00D9232D">
        <w:rPr>
          <w:rFonts w:ascii="Calibri" w:hAnsi="Calibri" w:cs="Calibri"/>
          <w:b/>
          <w:bCs/>
          <w:lang w:val="en-US" w:eastAsia="en-US"/>
        </w:rPr>
        <w:t>Trend Report document</w:t>
      </w:r>
      <w:r w:rsidRPr="00D9232D">
        <w:rPr>
          <w:rFonts w:ascii="Calibri" w:hAnsi="Calibri" w:cs="Calibri"/>
          <w:lang w:val="en-US" w:eastAsia="en-US"/>
        </w:rPr>
        <w:t>.</w:t>
      </w:r>
      <w:r>
        <w:rPr>
          <w:rFonts w:ascii="Calibri" w:hAnsi="Calibri" w:cs="Calibri"/>
          <w:lang w:val="en-US" w:eastAsia="en-US"/>
        </w:rPr>
        <w:t xml:space="preserve"> Additional document should be added as required. This document is a </w:t>
      </w:r>
      <w:r w:rsidR="00D9601E">
        <w:rPr>
          <w:rFonts w:ascii="Calibri" w:hAnsi="Calibri" w:cs="Calibri"/>
          <w:lang w:val="en-US" w:eastAsia="en-US"/>
        </w:rPr>
        <w:t xml:space="preserve">pdf </w:t>
      </w:r>
      <w:r>
        <w:rPr>
          <w:rFonts w:ascii="Calibri" w:hAnsi="Calibri" w:cs="Calibri"/>
          <w:lang w:val="en-US" w:eastAsia="en-US"/>
        </w:rPr>
        <w:t xml:space="preserve">file attached to the Eudamed Trend Report Form and includes more detailed information about the affected devices, the method and description of the detected trend and its investigations and conclusions. </w:t>
      </w:r>
    </w:p>
    <w:p w14:paraId="68A70E80" w14:textId="0D223D6E" w:rsidR="00F37F21" w:rsidRDefault="00F37F21" w:rsidP="00802D85">
      <w:pPr>
        <w:pStyle w:val="NormalWeb"/>
        <w:shd w:val="clear" w:color="auto" w:fill="FFFFFF"/>
        <w:spacing w:before="0" w:beforeAutospacing="0" w:after="150" w:afterAutospacing="0" w:line="330" w:lineRule="atLeast"/>
        <w:jc w:val="both"/>
        <w:rPr>
          <w:rFonts w:ascii="Calibri" w:hAnsi="Calibri" w:cs="Calibri"/>
          <w:lang w:val="en-US" w:eastAsia="en-US"/>
        </w:rPr>
      </w:pPr>
      <w:r>
        <w:rPr>
          <w:rFonts w:ascii="Calibri" w:hAnsi="Calibri" w:cs="Calibri"/>
          <w:lang w:val="en-US" w:eastAsia="en-US"/>
        </w:rPr>
        <w:t xml:space="preserve">As mentioned above, the Eudamed Trend Report Form (and its related helptext) will be applicable only when Eudamed becomes fully functional. </w:t>
      </w:r>
    </w:p>
    <w:p w14:paraId="49CE7F61" w14:textId="77777777" w:rsidR="00A9345F" w:rsidRDefault="00A9345F" w:rsidP="00390EA3">
      <w:pPr>
        <w:pStyle w:val="NormalWeb"/>
        <w:shd w:val="clear" w:color="auto" w:fill="FFFFFF"/>
        <w:spacing w:before="0" w:beforeAutospacing="0" w:after="150" w:afterAutospacing="0" w:line="276" w:lineRule="auto"/>
        <w:jc w:val="both"/>
        <w:rPr>
          <w:rFonts w:ascii="Calibri" w:hAnsi="Calibri" w:cs="Calibri"/>
          <w:b/>
          <w:bCs/>
          <w:lang w:val="en-US" w:eastAsia="en-US"/>
        </w:rPr>
      </w:pPr>
    </w:p>
    <w:p w14:paraId="11F98196" w14:textId="77777777" w:rsidR="00A9345F" w:rsidRPr="00A9345F" w:rsidRDefault="00A9345F" w:rsidP="00A9345F">
      <w:pPr>
        <w:pStyle w:val="NormalWeb"/>
        <w:numPr>
          <w:ilvl w:val="0"/>
          <w:numId w:val="1"/>
        </w:numPr>
        <w:shd w:val="clear" w:color="auto" w:fill="FFFFFF"/>
        <w:spacing w:before="0" w:beforeAutospacing="0" w:after="150" w:afterAutospacing="0" w:line="276" w:lineRule="auto"/>
        <w:jc w:val="both"/>
        <w:rPr>
          <w:rFonts w:ascii="Calibri" w:hAnsi="Calibri" w:cs="Calibri"/>
          <w:b/>
          <w:bCs/>
          <w:lang w:val="en-US" w:eastAsia="en-US"/>
        </w:rPr>
      </w:pPr>
      <w:r w:rsidRPr="00CA404B">
        <w:rPr>
          <w:rFonts w:ascii="Calibri" w:hAnsi="Calibri" w:cs="Calibri"/>
          <w:b/>
          <w:bCs/>
          <w:lang w:val="en-US" w:eastAsia="en-US"/>
        </w:rPr>
        <w:t xml:space="preserve">Can a Trend Report lead to the definition of a corrective action/preventive action? </w:t>
      </w:r>
    </w:p>
    <w:p w14:paraId="2BED06B3" w14:textId="77777777" w:rsidR="00017A91" w:rsidRPr="000032F5" w:rsidRDefault="00017A91" w:rsidP="000032F5">
      <w:pPr>
        <w:pStyle w:val="NormalWeb"/>
        <w:shd w:val="clear" w:color="auto" w:fill="FFFFFF"/>
        <w:spacing w:before="0" w:beforeAutospacing="0" w:after="150" w:afterAutospacing="0" w:line="276" w:lineRule="auto"/>
        <w:jc w:val="both"/>
        <w:rPr>
          <w:rFonts w:ascii="Calibri" w:hAnsi="Calibri" w:cs="Calibri"/>
          <w:lang w:val="en-US" w:eastAsia="en-US"/>
        </w:rPr>
      </w:pPr>
      <w:r w:rsidRPr="000032F5">
        <w:rPr>
          <w:rFonts w:ascii="Calibri" w:hAnsi="Calibri" w:cs="Calibri"/>
          <w:lang w:val="en-US" w:eastAsia="en-US"/>
        </w:rPr>
        <w:t>During the assessment of the data of the trend report, the manufacturer can issue a corrective action</w:t>
      </w:r>
      <w:r w:rsidR="00D36217">
        <w:rPr>
          <w:rFonts w:ascii="Calibri" w:hAnsi="Calibri" w:cs="Calibri"/>
          <w:lang w:val="en-US" w:eastAsia="en-US"/>
        </w:rPr>
        <w:t xml:space="preserve"> including field safety corrective action</w:t>
      </w:r>
      <w:r w:rsidRPr="000032F5">
        <w:rPr>
          <w:rFonts w:ascii="Calibri" w:hAnsi="Calibri" w:cs="Calibri"/>
          <w:lang w:val="en-US" w:eastAsia="en-US"/>
        </w:rPr>
        <w:t xml:space="preserve">/preventive action </w:t>
      </w:r>
      <w:r w:rsidR="000032F5" w:rsidRPr="000032F5">
        <w:rPr>
          <w:rFonts w:ascii="Calibri" w:hAnsi="Calibri" w:cs="Calibri"/>
          <w:lang w:val="en-US" w:eastAsia="en-US"/>
        </w:rPr>
        <w:t>to prevent or reduce risk</w:t>
      </w:r>
      <w:r w:rsidR="00D36217">
        <w:rPr>
          <w:rFonts w:ascii="Calibri" w:hAnsi="Calibri" w:cs="Calibri"/>
          <w:lang w:val="en-US" w:eastAsia="en-US"/>
        </w:rPr>
        <w:t xml:space="preserve"> for patient or user of the device</w:t>
      </w:r>
      <w:r w:rsidR="000032F5" w:rsidRPr="000032F5">
        <w:rPr>
          <w:rFonts w:ascii="Calibri" w:hAnsi="Calibri" w:cs="Calibri"/>
          <w:lang w:val="en-US" w:eastAsia="en-US"/>
        </w:rPr>
        <w:t>. In this context the manufacturer should notify a Final trend report and initiate</w:t>
      </w:r>
      <w:r w:rsidR="008212F4">
        <w:rPr>
          <w:rFonts w:ascii="Calibri" w:hAnsi="Calibri" w:cs="Calibri"/>
          <w:lang w:val="en-US" w:eastAsia="en-US"/>
        </w:rPr>
        <w:t xml:space="preserve"> an appropriate action (</w:t>
      </w:r>
      <w:r w:rsidR="00323AE7">
        <w:rPr>
          <w:rFonts w:ascii="Calibri" w:hAnsi="Calibri" w:cs="Calibri"/>
          <w:lang w:val="en-US" w:eastAsia="en-US"/>
        </w:rPr>
        <w:t>e</w:t>
      </w:r>
      <w:r w:rsidR="008212F4">
        <w:rPr>
          <w:rFonts w:ascii="Calibri" w:hAnsi="Calibri" w:cs="Calibri"/>
          <w:lang w:val="en-US" w:eastAsia="en-US"/>
        </w:rPr>
        <w:t>.g.</w:t>
      </w:r>
      <w:r w:rsidR="000032F5" w:rsidRPr="000032F5">
        <w:rPr>
          <w:rFonts w:ascii="Calibri" w:hAnsi="Calibri" w:cs="Calibri"/>
          <w:lang w:val="en-US" w:eastAsia="en-US"/>
        </w:rPr>
        <w:t xml:space="preserve"> FSCA</w:t>
      </w:r>
      <w:r w:rsidR="008212F4">
        <w:rPr>
          <w:rFonts w:ascii="Calibri" w:hAnsi="Calibri" w:cs="Calibri"/>
          <w:lang w:val="en-US" w:eastAsia="en-US"/>
        </w:rPr>
        <w:t>,</w:t>
      </w:r>
      <w:r w:rsidR="00B83A05">
        <w:rPr>
          <w:rFonts w:ascii="Calibri" w:hAnsi="Calibri" w:cs="Calibri"/>
          <w:lang w:val="en-US" w:eastAsia="en-US"/>
        </w:rPr>
        <w:t xml:space="preserve"> </w:t>
      </w:r>
      <w:r w:rsidR="000032F5" w:rsidRPr="000032F5">
        <w:rPr>
          <w:rFonts w:ascii="Calibri" w:hAnsi="Calibri" w:cs="Calibri"/>
          <w:lang w:val="en-US" w:eastAsia="en-US"/>
        </w:rPr>
        <w:t>CAPA</w:t>
      </w:r>
      <w:r w:rsidR="008212F4">
        <w:rPr>
          <w:rFonts w:ascii="Calibri" w:hAnsi="Calibri" w:cs="Calibri"/>
          <w:lang w:val="en-US" w:eastAsia="en-US"/>
        </w:rPr>
        <w:t>, update of labeling, training)</w:t>
      </w:r>
      <w:r w:rsidR="00CA404B">
        <w:rPr>
          <w:rFonts w:ascii="Calibri" w:hAnsi="Calibri" w:cs="Calibri"/>
          <w:lang w:val="en-US" w:eastAsia="en-US"/>
        </w:rPr>
        <w:t>.</w:t>
      </w:r>
    </w:p>
    <w:p w14:paraId="3F26C523" w14:textId="26FED087" w:rsidR="000032F5" w:rsidRDefault="008212F4" w:rsidP="000032F5">
      <w:pPr>
        <w:pStyle w:val="NormalWeb"/>
        <w:shd w:val="clear" w:color="auto" w:fill="FFFFFF"/>
        <w:spacing w:before="0" w:beforeAutospacing="0" w:after="150" w:afterAutospacing="0" w:line="276" w:lineRule="auto"/>
        <w:jc w:val="both"/>
        <w:rPr>
          <w:rFonts w:ascii="Calibri" w:hAnsi="Calibri" w:cs="Calibri"/>
          <w:lang w:val="en-US" w:eastAsia="en-US"/>
        </w:rPr>
      </w:pPr>
      <w:r>
        <w:rPr>
          <w:rFonts w:ascii="Calibri" w:hAnsi="Calibri" w:cs="Calibri"/>
          <w:lang w:val="en-US" w:eastAsia="en-US"/>
        </w:rPr>
        <w:t>If</w:t>
      </w:r>
      <w:r w:rsidRPr="000032F5">
        <w:rPr>
          <w:rFonts w:ascii="Calibri" w:hAnsi="Calibri" w:cs="Calibri"/>
          <w:lang w:val="en-US" w:eastAsia="en-US"/>
        </w:rPr>
        <w:t xml:space="preserve"> </w:t>
      </w:r>
      <w:r w:rsidR="000032F5" w:rsidRPr="000032F5">
        <w:rPr>
          <w:rFonts w:ascii="Calibri" w:hAnsi="Calibri" w:cs="Calibri"/>
          <w:lang w:val="en-US" w:eastAsia="en-US"/>
        </w:rPr>
        <w:t xml:space="preserve">the </w:t>
      </w:r>
      <w:r w:rsidR="00486FCA">
        <w:rPr>
          <w:rFonts w:ascii="Calibri" w:hAnsi="Calibri" w:cs="Calibri"/>
          <w:lang w:val="en-US" w:eastAsia="en-US"/>
        </w:rPr>
        <w:t>e</w:t>
      </w:r>
      <w:r w:rsidR="000032F5" w:rsidRPr="000032F5">
        <w:rPr>
          <w:rFonts w:ascii="Calibri" w:hAnsi="Calibri" w:cs="Calibri"/>
          <w:lang w:val="en-US" w:eastAsia="en-US"/>
        </w:rPr>
        <w:t xml:space="preserve">valuating CA </w:t>
      </w:r>
      <w:r>
        <w:rPr>
          <w:rFonts w:ascii="Calibri" w:hAnsi="Calibri" w:cs="Calibri"/>
          <w:lang w:val="en-US" w:eastAsia="en-US"/>
        </w:rPr>
        <w:t xml:space="preserve">is not satisfied </w:t>
      </w:r>
      <w:r w:rsidR="00E01C59">
        <w:rPr>
          <w:rFonts w:ascii="Calibri" w:hAnsi="Calibri" w:cs="Calibri"/>
          <w:lang w:val="en-US" w:eastAsia="en-US"/>
        </w:rPr>
        <w:t>with</w:t>
      </w:r>
      <w:r>
        <w:rPr>
          <w:rFonts w:ascii="Calibri" w:hAnsi="Calibri" w:cs="Calibri"/>
          <w:lang w:val="en-US" w:eastAsia="en-US"/>
        </w:rPr>
        <w:t xml:space="preserve"> the action taken</w:t>
      </w:r>
      <w:r w:rsidR="00486FCA">
        <w:rPr>
          <w:rFonts w:ascii="Calibri" w:hAnsi="Calibri" w:cs="Calibri"/>
          <w:lang w:val="en-US" w:eastAsia="en-US"/>
        </w:rPr>
        <w:t xml:space="preserve"> by the manufacturer</w:t>
      </w:r>
      <w:r w:rsidR="00F7693B">
        <w:rPr>
          <w:rFonts w:ascii="Calibri" w:hAnsi="Calibri" w:cs="Calibri"/>
          <w:lang w:val="en-US" w:eastAsia="en-US"/>
        </w:rPr>
        <w:t>, they</w:t>
      </w:r>
      <w:r>
        <w:rPr>
          <w:rFonts w:ascii="Calibri" w:hAnsi="Calibri" w:cs="Calibri"/>
          <w:lang w:val="en-US" w:eastAsia="en-US"/>
        </w:rPr>
        <w:t xml:space="preserve"> </w:t>
      </w:r>
      <w:r w:rsidR="00486FCA">
        <w:rPr>
          <w:rFonts w:ascii="Calibri" w:hAnsi="Calibri" w:cs="Calibri"/>
          <w:lang w:val="en-US" w:eastAsia="en-US"/>
        </w:rPr>
        <w:t>could</w:t>
      </w:r>
      <w:r w:rsidR="00486FCA" w:rsidRPr="000032F5">
        <w:rPr>
          <w:rFonts w:ascii="Calibri" w:hAnsi="Calibri" w:cs="Calibri"/>
          <w:lang w:val="en-US" w:eastAsia="en-US"/>
        </w:rPr>
        <w:t xml:space="preserve"> </w:t>
      </w:r>
      <w:r w:rsidR="000032F5" w:rsidRPr="000032F5">
        <w:rPr>
          <w:rFonts w:ascii="Calibri" w:hAnsi="Calibri" w:cs="Calibri"/>
          <w:lang w:val="en-US" w:eastAsia="en-US"/>
        </w:rPr>
        <w:t xml:space="preserve">require </w:t>
      </w:r>
      <w:r>
        <w:rPr>
          <w:rFonts w:ascii="Calibri" w:hAnsi="Calibri" w:cs="Calibri"/>
          <w:lang w:val="en-US" w:eastAsia="en-US"/>
        </w:rPr>
        <w:t xml:space="preserve">additional </w:t>
      </w:r>
      <w:r w:rsidR="000032F5" w:rsidRPr="000032F5">
        <w:rPr>
          <w:rFonts w:ascii="Calibri" w:hAnsi="Calibri" w:cs="Calibri"/>
          <w:lang w:val="en-US" w:eastAsia="en-US"/>
        </w:rPr>
        <w:t>corrective action</w:t>
      </w:r>
      <w:r>
        <w:rPr>
          <w:rFonts w:ascii="Calibri" w:hAnsi="Calibri" w:cs="Calibri"/>
          <w:lang w:val="en-US" w:eastAsia="en-US"/>
        </w:rPr>
        <w:t>s as appropriate</w:t>
      </w:r>
      <w:r w:rsidR="006F677F">
        <w:rPr>
          <w:rFonts w:ascii="Calibri" w:hAnsi="Calibri" w:cs="Calibri"/>
          <w:lang w:val="en-US" w:eastAsia="en-US"/>
        </w:rPr>
        <w:t xml:space="preserve"> as specified in </w:t>
      </w:r>
      <w:r w:rsidR="0065551F">
        <w:rPr>
          <w:rFonts w:ascii="Calibri" w:hAnsi="Calibri" w:cs="Calibri"/>
          <w:lang w:val="en-US" w:eastAsia="en-US"/>
        </w:rPr>
        <w:t xml:space="preserve">Article </w:t>
      </w:r>
      <w:r w:rsidR="006F677F">
        <w:rPr>
          <w:rFonts w:ascii="Calibri" w:hAnsi="Calibri" w:cs="Calibri"/>
          <w:lang w:val="en-US" w:eastAsia="en-US"/>
        </w:rPr>
        <w:t>88 (2)/ 83 (2) of MDR/IVDR</w:t>
      </w:r>
      <w:r>
        <w:rPr>
          <w:rFonts w:ascii="Calibri" w:hAnsi="Calibri" w:cs="Calibri"/>
          <w:lang w:val="en-US" w:eastAsia="en-US"/>
        </w:rPr>
        <w:t>.</w:t>
      </w:r>
      <w:r w:rsidR="000032F5" w:rsidRPr="000032F5">
        <w:rPr>
          <w:rFonts w:ascii="Calibri" w:hAnsi="Calibri" w:cs="Calibri"/>
          <w:lang w:val="en-US" w:eastAsia="en-US"/>
        </w:rPr>
        <w:t xml:space="preserve"> </w:t>
      </w:r>
    </w:p>
    <w:p w14:paraId="4D65ADD3" w14:textId="77777777" w:rsidR="00BB4058" w:rsidRDefault="00BB4058" w:rsidP="000032F5">
      <w:pPr>
        <w:pStyle w:val="NormalWeb"/>
        <w:shd w:val="clear" w:color="auto" w:fill="FFFFFF"/>
        <w:spacing w:before="0" w:beforeAutospacing="0" w:after="150" w:afterAutospacing="0" w:line="276" w:lineRule="auto"/>
        <w:jc w:val="both"/>
        <w:rPr>
          <w:rFonts w:ascii="Calibri" w:hAnsi="Calibri" w:cs="Calibri"/>
          <w:lang w:val="en-US" w:eastAsia="en-US"/>
        </w:rPr>
      </w:pPr>
    </w:p>
    <w:p w14:paraId="50CA56E3" w14:textId="77777777" w:rsidR="003D54CE" w:rsidRPr="00636201" w:rsidRDefault="003D54CE" w:rsidP="00BB4058">
      <w:pPr>
        <w:pStyle w:val="NormalWeb"/>
        <w:numPr>
          <w:ilvl w:val="0"/>
          <w:numId w:val="1"/>
        </w:numPr>
        <w:shd w:val="clear" w:color="auto" w:fill="FFFFFF"/>
        <w:spacing w:before="0" w:beforeAutospacing="0" w:after="150" w:afterAutospacing="0" w:line="276" w:lineRule="auto"/>
        <w:jc w:val="both"/>
        <w:rPr>
          <w:rFonts w:ascii="Calibri" w:hAnsi="Calibri" w:cs="Calibri"/>
          <w:b/>
          <w:bCs/>
          <w:lang w:val="en-US" w:eastAsia="en-US"/>
        </w:rPr>
      </w:pPr>
      <w:r w:rsidRPr="00636201">
        <w:rPr>
          <w:rFonts w:ascii="Calibri" w:hAnsi="Calibri" w:cs="Calibri"/>
          <w:b/>
          <w:bCs/>
          <w:lang w:val="en-US" w:eastAsia="en-US"/>
        </w:rPr>
        <w:t>Which kind of request Competent Authority can make after the assessment of a trend report?</w:t>
      </w:r>
    </w:p>
    <w:p w14:paraId="7D741721" w14:textId="4D3AFE50" w:rsidR="003D54CE" w:rsidRPr="00636201" w:rsidRDefault="003D54CE" w:rsidP="003D54CE">
      <w:pPr>
        <w:spacing w:line="276" w:lineRule="auto"/>
        <w:jc w:val="both"/>
        <w:rPr>
          <w:rFonts w:ascii="Calibri" w:eastAsia="Times New Roman" w:hAnsi="Calibri" w:cs="Calibri"/>
          <w:lang w:val="en-US"/>
        </w:rPr>
      </w:pPr>
      <w:r w:rsidRPr="00636201">
        <w:rPr>
          <w:rFonts w:ascii="Calibri" w:eastAsia="Times New Roman" w:hAnsi="Calibri" w:cs="Calibri"/>
          <w:lang w:val="en-US"/>
        </w:rPr>
        <w:t>The competent authorities</w:t>
      </w:r>
      <w:r w:rsidR="00C01500" w:rsidRPr="00636201">
        <w:rPr>
          <w:rFonts w:ascii="Calibri" w:eastAsia="Times New Roman" w:hAnsi="Calibri" w:cs="Calibri"/>
          <w:lang w:val="en-US"/>
        </w:rPr>
        <w:t>, as specified in Article 88 (2),</w:t>
      </w:r>
      <w:r w:rsidRPr="00636201">
        <w:rPr>
          <w:rFonts w:ascii="Calibri" w:eastAsia="Times New Roman" w:hAnsi="Calibri" w:cs="Calibri"/>
          <w:lang w:val="en-US"/>
        </w:rPr>
        <w:t xml:space="preserve"> may conduct their own assessments on the trend reports and require the manufacturer to adopt appropriate measures in accordance with </w:t>
      </w:r>
      <w:r w:rsidR="00FC09D7" w:rsidRPr="00636201">
        <w:rPr>
          <w:rFonts w:ascii="Calibri" w:eastAsia="Times New Roman" w:hAnsi="Calibri" w:cs="Calibri"/>
          <w:lang w:val="en-US"/>
        </w:rPr>
        <w:t>the MDR/IVDR</w:t>
      </w:r>
      <w:r w:rsidRPr="00636201">
        <w:rPr>
          <w:rFonts w:ascii="Calibri" w:eastAsia="Times New Roman" w:hAnsi="Calibri" w:cs="Calibri"/>
          <w:lang w:val="en-US"/>
        </w:rPr>
        <w:t xml:space="preserve"> in order to ensure the protection of public health and patient safety</w:t>
      </w:r>
      <w:r w:rsidR="00C01500" w:rsidRPr="00636201">
        <w:rPr>
          <w:rFonts w:ascii="Calibri" w:eastAsia="Times New Roman" w:hAnsi="Calibri" w:cs="Calibri"/>
          <w:lang w:val="en-US"/>
        </w:rPr>
        <w:t>.</w:t>
      </w:r>
    </w:p>
    <w:p w14:paraId="69A856EE" w14:textId="77777777" w:rsidR="00C01500" w:rsidRPr="00636201" w:rsidRDefault="00DA0716" w:rsidP="00C01500">
      <w:pPr>
        <w:spacing w:line="276" w:lineRule="auto"/>
        <w:jc w:val="both"/>
        <w:rPr>
          <w:rFonts w:ascii="Calibri" w:eastAsia="Times New Roman" w:hAnsi="Calibri" w:cs="Calibri"/>
          <w:lang w:val="en-US"/>
        </w:rPr>
      </w:pPr>
      <w:r w:rsidRPr="00636201">
        <w:rPr>
          <w:rFonts w:ascii="Calibri" w:eastAsia="Times New Roman" w:hAnsi="Calibri" w:cs="Calibri"/>
          <w:lang w:val="en-US"/>
        </w:rPr>
        <w:t>When a trend report is received the CA assesses it.</w:t>
      </w:r>
      <w:r w:rsidR="00C01500" w:rsidRPr="00636201">
        <w:rPr>
          <w:rFonts w:ascii="Calibri" w:eastAsia="Times New Roman" w:hAnsi="Calibri" w:cs="Calibri"/>
          <w:lang w:val="en-US"/>
        </w:rPr>
        <w:t xml:space="preserve"> This assessment in some cases could lead to a request of re-evaluation by the manufacturer.</w:t>
      </w:r>
    </w:p>
    <w:p w14:paraId="7A1BD1BB" w14:textId="77777777" w:rsidR="00C01500" w:rsidRPr="00636201" w:rsidRDefault="00C01500" w:rsidP="00C01500">
      <w:pPr>
        <w:spacing w:line="276" w:lineRule="auto"/>
        <w:jc w:val="both"/>
        <w:rPr>
          <w:rFonts w:ascii="Calibri" w:eastAsia="Times New Roman" w:hAnsi="Calibri" w:cs="Calibri"/>
          <w:lang w:val="en-US"/>
        </w:rPr>
      </w:pPr>
      <w:r w:rsidRPr="00636201">
        <w:rPr>
          <w:rFonts w:ascii="Calibri" w:eastAsia="Times New Roman" w:hAnsi="Calibri" w:cs="Calibri"/>
          <w:lang w:val="en-US"/>
        </w:rPr>
        <w:lastRenderedPageBreak/>
        <w:t xml:space="preserve">the appropriate measures that a CA could request to a manufacturer can be of various types </w:t>
      </w:r>
      <w:r w:rsidR="008E2FF9" w:rsidRPr="00636201">
        <w:rPr>
          <w:rFonts w:ascii="Calibri" w:eastAsia="Times New Roman" w:hAnsi="Calibri" w:cs="Calibri"/>
          <w:lang w:val="en-US"/>
        </w:rPr>
        <w:t>as long as</w:t>
      </w:r>
      <w:r w:rsidRPr="00636201">
        <w:rPr>
          <w:rFonts w:ascii="Calibri" w:eastAsia="Times New Roman" w:hAnsi="Calibri" w:cs="Calibri"/>
          <w:lang w:val="en-US"/>
        </w:rPr>
        <w:t xml:space="preserve"> all those included in the </w:t>
      </w:r>
      <w:r w:rsidR="008E2FF9" w:rsidRPr="00636201">
        <w:rPr>
          <w:rFonts w:ascii="Calibri" w:eastAsia="Times New Roman" w:hAnsi="Calibri" w:cs="Calibri"/>
          <w:lang w:val="en-US"/>
        </w:rPr>
        <w:t>R</w:t>
      </w:r>
      <w:r w:rsidRPr="00636201">
        <w:rPr>
          <w:rFonts w:ascii="Calibri" w:eastAsia="Times New Roman" w:hAnsi="Calibri" w:cs="Calibri"/>
          <w:lang w:val="en-US"/>
        </w:rPr>
        <w:t>egulation itself</w:t>
      </w:r>
      <w:r w:rsidR="008E2FF9" w:rsidRPr="00636201">
        <w:rPr>
          <w:rFonts w:ascii="Calibri" w:eastAsia="Times New Roman" w:hAnsi="Calibri" w:cs="Calibri"/>
          <w:lang w:val="en-US"/>
        </w:rPr>
        <w:t>.</w:t>
      </w:r>
      <w:r w:rsidRPr="00636201">
        <w:rPr>
          <w:rFonts w:ascii="Calibri" w:eastAsia="Times New Roman" w:hAnsi="Calibri" w:cs="Calibri"/>
          <w:lang w:val="en-US"/>
        </w:rPr>
        <w:t xml:space="preserve">  </w:t>
      </w:r>
      <w:r w:rsidR="008E2FF9" w:rsidRPr="00636201">
        <w:rPr>
          <w:rFonts w:ascii="Calibri" w:eastAsia="Times New Roman" w:hAnsi="Calibri" w:cs="Calibri"/>
          <w:lang w:val="en-US"/>
        </w:rPr>
        <w:t>F</w:t>
      </w:r>
      <w:r w:rsidRPr="00636201">
        <w:rPr>
          <w:rFonts w:ascii="Calibri" w:eastAsia="Times New Roman" w:hAnsi="Calibri" w:cs="Calibri"/>
          <w:lang w:val="en-US"/>
        </w:rPr>
        <w:t>or example</w:t>
      </w:r>
      <w:r w:rsidR="008E2FF9" w:rsidRPr="00636201">
        <w:rPr>
          <w:rFonts w:ascii="Calibri" w:eastAsia="Times New Roman" w:hAnsi="Calibri" w:cs="Calibri"/>
          <w:lang w:val="en-US"/>
        </w:rPr>
        <w:t>, it can be asked</w:t>
      </w:r>
      <w:r w:rsidRPr="00636201">
        <w:rPr>
          <w:rFonts w:ascii="Calibri" w:eastAsia="Times New Roman" w:hAnsi="Calibri" w:cs="Calibri"/>
          <w:lang w:val="en-US"/>
        </w:rPr>
        <w:t xml:space="preserve"> to issue a corrective/preventive action </w:t>
      </w:r>
      <w:r w:rsidR="008E2FF9" w:rsidRPr="00636201">
        <w:rPr>
          <w:rFonts w:ascii="Calibri" w:eastAsia="Times New Roman" w:hAnsi="Calibri" w:cs="Calibri"/>
          <w:lang w:val="en-US"/>
        </w:rPr>
        <w:t>or</w:t>
      </w:r>
      <w:r w:rsidRPr="00636201">
        <w:rPr>
          <w:rFonts w:ascii="Calibri" w:eastAsia="Times New Roman" w:hAnsi="Calibri" w:cs="Calibri"/>
          <w:lang w:val="en-US"/>
        </w:rPr>
        <w:t xml:space="preserve"> any other kind of measure in order to ensure the protection of public health and patient safety.</w:t>
      </w:r>
    </w:p>
    <w:p w14:paraId="1849FB02" w14:textId="77777777" w:rsidR="00792D58" w:rsidRDefault="00792D58" w:rsidP="000032F5">
      <w:pPr>
        <w:pStyle w:val="NormalWeb"/>
        <w:shd w:val="clear" w:color="auto" w:fill="FFFFFF"/>
        <w:spacing w:before="0" w:beforeAutospacing="0" w:after="150" w:afterAutospacing="0" w:line="276" w:lineRule="auto"/>
        <w:jc w:val="both"/>
        <w:rPr>
          <w:rFonts w:ascii="Calibri" w:hAnsi="Calibri" w:cs="Calibri"/>
          <w:lang w:val="en-US" w:eastAsia="en-US"/>
        </w:rPr>
      </w:pPr>
    </w:p>
    <w:p w14:paraId="692F29CE" w14:textId="00162D19" w:rsidR="004A04D3" w:rsidRPr="005F22C3" w:rsidRDefault="004A04D3" w:rsidP="004A04D3">
      <w:pPr>
        <w:pStyle w:val="NormalWeb"/>
        <w:numPr>
          <w:ilvl w:val="0"/>
          <w:numId w:val="1"/>
        </w:numPr>
        <w:shd w:val="clear" w:color="auto" w:fill="FFFFFF"/>
        <w:spacing w:before="0" w:beforeAutospacing="0" w:after="150" w:afterAutospacing="0" w:line="276" w:lineRule="auto"/>
        <w:jc w:val="both"/>
        <w:rPr>
          <w:rFonts w:ascii="Calibri" w:hAnsi="Calibri" w:cs="Calibri"/>
          <w:b/>
          <w:bCs/>
          <w:lang w:val="en-US" w:eastAsia="en-US"/>
        </w:rPr>
      </w:pPr>
      <w:r w:rsidRPr="005F22C3">
        <w:rPr>
          <w:rFonts w:ascii="Calibri" w:hAnsi="Calibri" w:cs="Calibri"/>
          <w:b/>
          <w:bCs/>
          <w:lang w:val="en-US" w:eastAsia="en-US"/>
        </w:rPr>
        <w:t xml:space="preserve">How </w:t>
      </w:r>
      <w:r w:rsidR="00FC09D7">
        <w:rPr>
          <w:rFonts w:ascii="Calibri" w:hAnsi="Calibri" w:cs="Calibri"/>
          <w:b/>
          <w:bCs/>
          <w:lang w:val="en-US" w:eastAsia="en-US"/>
        </w:rPr>
        <w:t>can</w:t>
      </w:r>
      <w:r w:rsidR="00FC09D7" w:rsidRPr="005F22C3">
        <w:rPr>
          <w:rFonts w:ascii="Calibri" w:hAnsi="Calibri" w:cs="Calibri"/>
          <w:b/>
          <w:bCs/>
          <w:lang w:val="en-US" w:eastAsia="en-US"/>
        </w:rPr>
        <w:t xml:space="preserve"> </w:t>
      </w:r>
      <w:r w:rsidRPr="005F22C3">
        <w:rPr>
          <w:rFonts w:ascii="Calibri" w:hAnsi="Calibri" w:cs="Calibri"/>
          <w:b/>
          <w:bCs/>
          <w:lang w:val="en-US" w:eastAsia="en-US"/>
        </w:rPr>
        <w:t>the manufacturer manage the Custom</w:t>
      </w:r>
      <w:r w:rsidR="00792D58">
        <w:rPr>
          <w:rFonts w:ascii="Calibri" w:hAnsi="Calibri" w:cs="Calibri"/>
          <w:b/>
          <w:bCs/>
          <w:lang w:val="en-US" w:eastAsia="en-US"/>
        </w:rPr>
        <w:t>-</w:t>
      </w:r>
      <w:r w:rsidRPr="005F22C3">
        <w:rPr>
          <w:rFonts w:ascii="Calibri" w:hAnsi="Calibri" w:cs="Calibri"/>
          <w:b/>
          <w:bCs/>
          <w:lang w:val="en-US" w:eastAsia="en-US"/>
        </w:rPr>
        <w:t>Made Device CMD in the scope of Trend Report?</w:t>
      </w:r>
    </w:p>
    <w:p w14:paraId="5163B8E0" w14:textId="77777777" w:rsidR="00A25273" w:rsidRPr="005F22C3" w:rsidRDefault="005F22C3" w:rsidP="00AD1CF7">
      <w:pPr>
        <w:pStyle w:val="NormalWeb"/>
        <w:shd w:val="clear" w:color="auto" w:fill="FFFFFF"/>
        <w:spacing w:before="0" w:beforeAutospacing="0" w:after="150" w:afterAutospacing="0" w:line="276" w:lineRule="auto"/>
        <w:jc w:val="both"/>
        <w:rPr>
          <w:rFonts w:ascii="Calibri" w:hAnsi="Calibri" w:cs="Calibri"/>
          <w:lang w:val="en-US" w:eastAsia="en-US"/>
        </w:rPr>
      </w:pPr>
      <w:r w:rsidRPr="005F22C3">
        <w:rPr>
          <w:rFonts w:ascii="Calibri" w:hAnsi="Calibri" w:cs="Calibri"/>
          <w:lang w:val="en-US" w:eastAsia="en-US"/>
        </w:rPr>
        <w:t>The s</w:t>
      </w:r>
      <w:r w:rsidR="00A25273" w:rsidRPr="005F22C3">
        <w:rPr>
          <w:rFonts w:ascii="Calibri" w:hAnsi="Calibri" w:cs="Calibri"/>
          <w:lang w:val="en-US" w:eastAsia="en-US"/>
        </w:rPr>
        <w:t>ame process</w:t>
      </w:r>
      <w:r w:rsidRPr="005F22C3">
        <w:rPr>
          <w:rFonts w:ascii="Calibri" w:hAnsi="Calibri" w:cs="Calibri"/>
          <w:lang w:val="en-US" w:eastAsia="en-US"/>
        </w:rPr>
        <w:t xml:space="preserve"> related to the identification of a Trend</w:t>
      </w:r>
      <w:r w:rsidR="00A25273" w:rsidRPr="005F22C3">
        <w:rPr>
          <w:rFonts w:ascii="Calibri" w:hAnsi="Calibri" w:cs="Calibri"/>
          <w:lang w:val="en-US" w:eastAsia="en-US"/>
        </w:rPr>
        <w:t xml:space="preserve"> applies also on the CMDs</w:t>
      </w:r>
      <w:r w:rsidR="00A0227F">
        <w:rPr>
          <w:rFonts w:ascii="Calibri" w:hAnsi="Calibri" w:cs="Calibri"/>
          <w:lang w:val="en-US" w:eastAsia="en-US"/>
        </w:rPr>
        <w:t>.</w:t>
      </w:r>
    </w:p>
    <w:p w14:paraId="79B83892" w14:textId="77777777" w:rsidR="00B16438" w:rsidRPr="005F22C3" w:rsidRDefault="00B16438" w:rsidP="00AD1CF7">
      <w:pPr>
        <w:pStyle w:val="NormalWeb"/>
        <w:shd w:val="clear" w:color="auto" w:fill="FFFFFF"/>
        <w:spacing w:before="0" w:beforeAutospacing="0" w:after="150" w:afterAutospacing="0" w:line="276" w:lineRule="auto"/>
        <w:jc w:val="both"/>
        <w:rPr>
          <w:rFonts w:ascii="Calibri" w:hAnsi="Calibri" w:cs="Calibri"/>
          <w:lang w:val="en-US" w:eastAsia="en-US"/>
        </w:rPr>
      </w:pPr>
      <w:r w:rsidRPr="005F22C3">
        <w:rPr>
          <w:rFonts w:ascii="Calibri" w:hAnsi="Calibri" w:cs="Calibri"/>
          <w:lang w:val="en-US" w:eastAsia="en-US"/>
        </w:rPr>
        <w:t>With the absence of stated exceptions, CMD manufacturers must meet nearly all of the MDR requirements.</w:t>
      </w:r>
    </w:p>
    <w:p w14:paraId="2B5F3905" w14:textId="77777777" w:rsidR="00AD1CF7" w:rsidRPr="005F22C3" w:rsidRDefault="00AD1CF7" w:rsidP="00AD1CF7">
      <w:pPr>
        <w:pStyle w:val="NormalWeb"/>
        <w:shd w:val="clear" w:color="auto" w:fill="FFFFFF"/>
        <w:spacing w:before="0" w:beforeAutospacing="0" w:after="150" w:afterAutospacing="0" w:line="276" w:lineRule="auto"/>
        <w:jc w:val="both"/>
        <w:rPr>
          <w:rFonts w:ascii="Calibri" w:hAnsi="Calibri" w:cs="Calibri"/>
          <w:lang w:val="en-US" w:eastAsia="en-US"/>
        </w:rPr>
      </w:pPr>
      <w:r w:rsidRPr="005F22C3">
        <w:rPr>
          <w:rFonts w:ascii="Calibri" w:hAnsi="Calibri" w:cs="Calibri"/>
          <w:lang w:val="en-US" w:eastAsia="en-US"/>
        </w:rPr>
        <w:t>As defined also in the guidance MDCG 2021-3</w:t>
      </w:r>
      <w:r w:rsidRPr="005F22C3">
        <w:rPr>
          <w:rStyle w:val="FootnoteReference"/>
          <w:rFonts w:ascii="Calibri" w:hAnsi="Calibri" w:cs="Calibri"/>
          <w:lang w:val="en-US" w:eastAsia="en-US"/>
        </w:rPr>
        <w:footnoteReference w:id="7"/>
      </w:r>
      <w:r w:rsidRPr="005F22C3">
        <w:rPr>
          <w:rFonts w:ascii="Calibri" w:hAnsi="Calibri" w:cs="Calibri"/>
          <w:lang w:val="en-US" w:eastAsia="en-US"/>
        </w:rPr>
        <w:t>, for risk management, post-market surveillance and clinical evaluation life cycle processes as defined by the MDR, CMD manufacturers should apply these obligations to groups of devices with the same intended purpose, materials used, process utilized, same principal design etc. and not to each individual CMD.</w:t>
      </w:r>
    </w:p>
    <w:p w14:paraId="7F1B3194" w14:textId="647920D2" w:rsidR="00AD1CF7" w:rsidRDefault="00AD1CF7" w:rsidP="00AD1CF7">
      <w:pPr>
        <w:pStyle w:val="NormalWeb"/>
        <w:shd w:val="clear" w:color="auto" w:fill="FFFFFF"/>
        <w:spacing w:before="0" w:beforeAutospacing="0" w:after="150" w:afterAutospacing="0" w:line="276" w:lineRule="auto"/>
        <w:jc w:val="both"/>
        <w:rPr>
          <w:rFonts w:ascii="Calibri" w:hAnsi="Calibri" w:cs="Calibri"/>
          <w:lang w:val="en-US" w:eastAsia="en-US"/>
        </w:rPr>
      </w:pPr>
      <w:r w:rsidRPr="005F22C3">
        <w:rPr>
          <w:rFonts w:ascii="Calibri" w:hAnsi="Calibri" w:cs="Calibri"/>
          <w:lang w:val="en-US" w:eastAsia="en-US"/>
        </w:rPr>
        <w:t xml:space="preserve">As a consequence, the requirements of Article 88 of the MDR </w:t>
      </w:r>
      <w:r w:rsidR="00FC09D7">
        <w:rPr>
          <w:rFonts w:ascii="Calibri" w:hAnsi="Calibri" w:cs="Calibri"/>
          <w:lang w:val="en-US" w:eastAsia="en-US"/>
        </w:rPr>
        <w:t>apply to CMD’s.</w:t>
      </w:r>
    </w:p>
    <w:p w14:paraId="514A06E1" w14:textId="77777777" w:rsidR="002D2A06" w:rsidRDefault="002D2A06" w:rsidP="00AD1CF7">
      <w:pPr>
        <w:pStyle w:val="NormalWeb"/>
        <w:shd w:val="clear" w:color="auto" w:fill="FFFFFF"/>
        <w:spacing w:before="0" w:beforeAutospacing="0" w:after="150" w:afterAutospacing="0" w:line="276" w:lineRule="auto"/>
        <w:jc w:val="both"/>
        <w:rPr>
          <w:rFonts w:ascii="Calibri" w:hAnsi="Calibri" w:cs="Calibri"/>
          <w:lang w:val="en-US" w:eastAsia="en-US"/>
        </w:rPr>
      </w:pPr>
    </w:p>
    <w:p w14:paraId="1FF6D95B" w14:textId="77777777" w:rsidR="00786FBB" w:rsidRPr="00F15923" w:rsidRDefault="004A04D3" w:rsidP="00F15923">
      <w:pPr>
        <w:pStyle w:val="ListParagraph"/>
        <w:numPr>
          <w:ilvl w:val="0"/>
          <w:numId w:val="1"/>
        </w:numPr>
        <w:spacing w:after="160" w:line="276" w:lineRule="auto"/>
        <w:jc w:val="both"/>
        <w:rPr>
          <w:rFonts w:ascii="Calibri" w:hAnsi="Calibri" w:cs="Calibri"/>
          <w:lang w:val="en-US"/>
        </w:rPr>
      </w:pPr>
      <w:r w:rsidRPr="000D5C84">
        <w:rPr>
          <w:rFonts w:ascii="Calibri" w:hAnsi="Calibri" w:cs="Calibri"/>
          <w:b/>
          <w:lang w:val="en-US"/>
        </w:rPr>
        <w:t>W</w:t>
      </w:r>
      <w:r>
        <w:rPr>
          <w:rFonts w:ascii="Calibri" w:hAnsi="Calibri" w:cs="Calibri"/>
          <w:b/>
          <w:lang w:val="en-US"/>
        </w:rPr>
        <w:t>hat</w:t>
      </w:r>
      <w:r w:rsidRPr="000D5C84">
        <w:rPr>
          <w:rFonts w:ascii="Calibri" w:hAnsi="Calibri" w:cs="Calibri"/>
          <w:b/>
          <w:lang w:val="en-US"/>
        </w:rPr>
        <w:t xml:space="preserve"> are some examples for reporting a Trend Report?</w:t>
      </w:r>
    </w:p>
    <w:p w14:paraId="5BFD35F3" w14:textId="40F5D6B0" w:rsidR="00786FBB" w:rsidRDefault="00786FBB" w:rsidP="00786FBB">
      <w:pPr>
        <w:spacing w:after="160" w:line="276" w:lineRule="auto"/>
        <w:jc w:val="both"/>
        <w:rPr>
          <w:rFonts w:ascii="Calibri" w:hAnsi="Calibri" w:cs="Calibri"/>
          <w:bCs/>
          <w:lang w:val="en-US"/>
        </w:rPr>
      </w:pPr>
      <w:r w:rsidRPr="00436E78">
        <w:rPr>
          <w:rFonts w:ascii="Calibri" w:hAnsi="Calibri" w:cs="Calibri"/>
          <w:bCs/>
          <w:lang w:val="en-US"/>
        </w:rPr>
        <w:t>In order to further clarify what shall be reported in a trend report</w:t>
      </w:r>
      <w:r>
        <w:rPr>
          <w:rFonts w:ascii="Calibri" w:hAnsi="Calibri" w:cs="Calibri"/>
          <w:bCs/>
          <w:lang w:val="en-US"/>
        </w:rPr>
        <w:t>,</w:t>
      </w:r>
      <w:r w:rsidRPr="00436E78">
        <w:rPr>
          <w:rFonts w:ascii="Calibri" w:hAnsi="Calibri" w:cs="Calibri"/>
          <w:bCs/>
          <w:lang w:val="en-US"/>
        </w:rPr>
        <w:t xml:space="preserve"> some examples are provided</w:t>
      </w:r>
      <w:r>
        <w:rPr>
          <w:rFonts w:ascii="Calibri" w:hAnsi="Calibri" w:cs="Calibri"/>
          <w:bCs/>
          <w:lang w:val="en-US"/>
        </w:rPr>
        <w:t xml:space="preserve"> below</w:t>
      </w:r>
      <w:r w:rsidRPr="00436E78">
        <w:rPr>
          <w:rFonts w:ascii="Calibri" w:hAnsi="Calibri" w:cs="Calibri"/>
          <w:bCs/>
          <w:lang w:val="en-US"/>
        </w:rPr>
        <w:t xml:space="preserve">: </w:t>
      </w:r>
    </w:p>
    <w:p w14:paraId="323A06FD" w14:textId="745842E6" w:rsidR="002E509F" w:rsidRPr="00436E78" w:rsidRDefault="002E509F" w:rsidP="00786FBB">
      <w:pPr>
        <w:spacing w:after="160" w:line="276" w:lineRule="auto"/>
        <w:jc w:val="both"/>
        <w:rPr>
          <w:rFonts w:ascii="Calibri" w:hAnsi="Calibri" w:cs="Calibri"/>
          <w:bCs/>
          <w:lang w:val="en-US"/>
        </w:rPr>
      </w:pPr>
      <w:r>
        <w:rPr>
          <w:rFonts w:ascii="Calibri" w:hAnsi="Calibri" w:cs="Calibri"/>
          <w:bCs/>
          <w:lang w:val="en-US"/>
        </w:rPr>
        <w:t>Examples for MD:</w:t>
      </w:r>
    </w:p>
    <w:p w14:paraId="1C0B8678" w14:textId="77777777" w:rsidR="00786FBB" w:rsidRPr="00436E78" w:rsidRDefault="00786FBB" w:rsidP="00786FBB">
      <w:pPr>
        <w:pStyle w:val="ListParagraph"/>
        <w:numPr>
          <w:ilvl w:val="0"/>
          <w:numId w:val="4"/>
        </w:numPr>
        <w:spacing w:after="160" w:line="276" w:lineRule="auto"/>
        <w:jc w:val="both"/>
        <w:rPr>
          <w:rFonts w:ascii="Calibri" w:hAnsi="Calibri" w:cs="Calibri"/>
          <w:bCs/>
          <w:lang w:val="en-US"/>
        </w:rPr>
      </w:pPr>
      <w:r>
        <w:rPr>
          <w:rFonts w:ascii="Calibri" w:hAnsi="Calibri" w:cs="Calibri"/>
          <w:bCs/>
          <w:lang w:val="en-US"/>
        </w:rPr>
        <w:t xml:space="preserve">A trend of expected undesirable side effects causes </w:t>
      </w:r>
      <w:r w:rsidRPr="00436E78">
        <w:rPr>
          <w:rFonts w:ascii="Calibri" w:hAnsi="Calibri" w:cs="Calibri"/>
          <w:bCs/>
          <w:lang w:val="en-US"/>
        </w:rPr>
        <w:t>a risk zone changes from low to medium, or an increase from medium to high, within the risk matrix as suggested in accordance with ISO 14971, Medical devices, Application of risk management to medical devices;</w:t>
      </w:r>
    </w:p>
    <w:p w14:paraId="01325F3F" w14:textId="77777777" w:rsidR="00786FBB" w:rsidRDefault="00786FBB" w:rsidP="00786FBB">
      <w:pPr>
        <w:pStyle w:val="ListParagraph"/>
        <w:numPr>
          <w:ilvl w:val="0"/>
          <w:numId w:val="4"/>
        </w:numPr>
        <w:spacing w:after="160" w:line="276" w:lineRule="auto"/>
        <w:jc w:val="both"/>
        <w:rPr>
          <w:rFonts w:ascii="Calibri" w:hAnsi="Calibri" w:cs="Calibri"/>
          <w:bCs/>
          <w:lang w:val="en-US"/>
        </w:rPr>
      </w:pPr>
      <w:r>
        <w:rPr>
          <w:rFonts w:ascii="Calibri" w:hAnsi="Calibri" w:cs="Calibri"/>
          <w:bCs/>
          <w:lang w:val="en-US"/>
        </w:rPr>
        <w:lastRenderedPageBreak/>
        <w:t xml:space="preserve">A </w:t>
      </w:r>
      <w:r w:rsidRPr="004107D2">
        <w:rPr>
          <w:rFonts w:ascii="Calibri" w:hAnsi="Calibri" w:cs="Calibri"/>
          <w:bCs/>
          <w:lang w:val="en-US"/>
        </w:rPr>
        <w:t xml:space="preserve">number of similar incidents, according </w:t>
      </w:r>
      <w:r w:rsidR="00AF42D3">
        <w:rPr>
          <w:rFonts w:ascii="Calibri" w:hAnsi="Calibri" w:cs="Calibri"/>
          <w:bCs/>
          <w:lang w:val="en-US"/>
        </w:rPr>
        <w:t xml:space="preserve">to </w:t>
      </w:r>
      <w:r w:rsidRPr="004107D2">
        <w:rPr>
          <w:rFonts w:ascii="Calibri" w:hAnsi="Calibri" w:cs="Calibri"/>
          <w:bCs/>
          <w:lang w:val="en-US"/>
        </w:rPr>
        <w:t>Art</w:t>
      </w:r>
      <w:r w:rsidR="00AF42D3">
        <w:rPr>
          <w:rFonts w:ascii="Calibri" w:hAnsi="Calibri" w:cs="Calibri"/>
          <w:bCs/>
          <w:lang w:val="en-US"/>
        </w:rPr>
        <w:t>icle</w:t>
      </w:r>
      <w:r w:rsidR="00AF42D3" w:rsidRPr="004107D2">
        <w:rPr>
          <w:rFonts w:ascii="Calibri" w:hAnsi="Calibri" w:cs="Calibri"/>
          <w:bCs/>
          <w:lang w:val="en-US"/>
        </w:rPr>
        <w:t xml:space="preserve"> </w:t>
      </w:r>
      <w:r w:rsidRPr="004107D2">
        <w:rPr>
          <w:rFonts w:ascii="Calibri" w:hAnsi="Calibri" w:cs="Calibri"/>
          <w:bCs/>
          <w:lang w:val="en-US"/>
        </w:rPr>
        <w:t>2 (64)</w:t>
      </w:r>
      <w:r w:rsidR="00F15923">
        <w:rPr>
          <w:rFonts w:ascii="Calibri" w:hAnsi="Calibri" w:cs="Calibri"/>
          <w:bCs/>
          <w:lang w:val="en-US"/>
        </w:rPr>
        <w:t xml:space="preserve"> MDR</w:t>
      </w:r>
      <w:r w:rsidRPr="004107D2">
        <w:rPr>
          <w:rFonts w:ascii="Calibri" w:hAnsi="Calibri" w:cs="Calibri"/>
          <w:bCs/>
          <w:lang w:val="en-US"/>
        </w:rPr>
        <w:t>,</w:t>
      </w:r>
      <w:r>
        <w:rPr>
          <w:rFonts w:ascii="Calibri" w:hAnsi="Calibri" w:cs="Calibri"/>
          <w:bCs/>
          <w:lang w:val="en-US"/>
        </w:rPr>
        <w:t xml:space="preserve"> that are not serious incidents</w:t>
      </w:r>
      <w:r w:rsidRPr="004107D2">
        <w:rPr>
          <w:rFonts w:ascii="Calibri" w:hAnsi="Calibri" w:cs="Calibri"/>
          <w:bCs/>
          <w:lang w:val="en-US"/>
        </w:rPr>
        <w:t xml:space="preserve"> reported by different healthcare facilities </w:t>
      </w:r>
      <w:r>
        <w:rPr>
          <w:rFonts w:ascii="Calibri" w:hAnsi="Calibri" w:cs="Calibri"/>
          <w:bCs/>
          <w:lang w:val="en-US"/>
        </w:rPr>
        <w:t xml:space="preserve">shows a statistical increase </w:t>
      </w:r>
      <w:r w:rsidRPr="004107D2">
        <w:rPr>
          <w:rFonts w:ascii="Calibri" w:hAnsi="Calibri" w:cs="Calibri"/>
          <w:bCs/>
          <w:lang w:val="en-US"/>
        </w:rPr>
        <w:t>with a daily or monthly frequency;</w:t>
      </w:r>
    </w:p>
    <w:p w14:paraId="047CA977" w14:textId="33C3DE17" w:rsidR="00396204" w:rsidRDefault="00396204" w:rsidP="00786FBB">
      <w:pPr>
        <w:pStyle w:val="ListParagraph"/>
        <w:numPr>
          <w:ilvl w:val="0"/>
          <w:numId w:val="4"/>
        </w:numPr>
        <w:spacing w:after="160" w:line="276" w:lineRule="auto"/>
        <w:jc w:val="both"/>
        <w:rPr>
          <w:rFonts w:ascii="Calibri" w:hAnsi="Calibri" w:cs="Calibri"/>
          <w:bCs/>
          <w:lang w:val="en-US"/>
        </w:rPr>
      </w:pPr>
      <w:r>
        <w:rPr>
          <w:rFonts w:ascii="Calibri" w:hAnsi="Calibri" w:cs="Calibri"/>
          <w:bCs/>
          <w:lang w:val="en-US"/>
        </w:rPr>
        <w:t xml:space="preserve">An increase in an incident scenario that does not meet reporting requirements of Article 87 </w:t>
      </w:r>
      <w:r w:rsidR="001E02A6" w:rsidRPr="001E02A6">
        <w:rPr>
          <w:rFonts w:ascii="Calibri" w:hAnsi="Calibri" w:cs="Calibri"/>
          <w:bCs/>
          <w:lang w:val="en-US"/>
        </w:rPr>
        <w:t xml:space="preserve">(harm severity: minor) </w:t>
      </w:r>
      <w:r>
        <w:rPr>
          <w:rFonts w:ascii="Calibri" w:hAnsi="Calibri" w:cs="Calibri"/>
          <w:bCs/>
          <w:lang w:val="en-US"/>
        </w:rPr>
        <w:t>causes a risk management threshold breach and leads to an increase in probability from “</w:t>
      </w:r>
      <w:r w:rsidR="001E02A6">
        <w:rPr>
          <w:rFonts w:ascii="Calibri" w:hAnsi="Calibri" w:cs="Calibri"/>
          <w:bCs/>
          <w:lang w:val="en-US"/>
        </w:rPr>
        <w:t>remote</w:t>
      </w:r>
      <w:r>
        <w:rPr>
          <w:rFonts w:ascii="Calibri" w:hAnsi="Calibri" w:cs="Calibri"/>
          <w:bCs/>
          <w:lang w:val="en-US"/>
        </w:rPr>
        <w:t>” to “</w:t>
      </w:r>
      <w:r w:rsidR="001E02A6">
        <w:rPr>
          <w:rFonts w:ascii="Calibri" w:hAnsi="Calibri" w:cs="Calibri"/>
          <w:bCs/>
          <w:lang w:val="en-US"/>
        </w:rPr>
        <w:t>occasional</w:t>
      </w:r>
      <w:r>
        <w:rPr>
          <w:rFonts w:ascii="Calibri" w:hAnsi="Calibri" w:cs="Calibri"/>
          <w:bCs/>
          <w:lang w:val="en-US"/>
        </w:rPr>
        <w:t xml:space="preserve">” </w:t>
      </w:r>
    </w:p>
    <w:p w14:paraId="7C2BDFC2" w14:textId="5B17F3EE" w:rsidR="002E509F" w:rsidRPr="002E509F" w:rsidRDefault="002E509F" w:rsidP="002E509F">
      <w:pPr>
        <w:spacing w:after="160" w:line="276" w:lineRule="auto"/>
        <w:ind w:left="1080"/>
        <w:jc w:val="both"/>
        <w:rPr>
          <w:rFonts w:ascii="Calibri" w:hAnsi="Calibri" w:cs="Calibri"/>
          <w:bCs/>
          <w:lang w:val="en-US"/>
        </w:rPr>
      </w:pPr>
      <w:r>
        <w:rPr>
          <w:rFonts w:ascii="Calibri" w:hAnsi="Calibri" w:cs="Calibri"/>
          <w:bCs/>
          <w:lang w:val="en-US"/>
        </w:rPr>
        <w:t>Examples for IVD:</w:t>
      </w:r>
    </w:p>
    <w:p w14:paraId="3D7DE8D6" w14:textId="77777777" w:rsidR="00845664" w:rsidRPr="002E509F" w:rsidRDefault="00845664" w:rsidP="00786FBB">
      <w:pPr>
        <w:pStyle w:val="ListParagraph"/>
        <w:numPr>
          <w:ilvl w:val="0"/>
          <w:numId w:val="4"/>
        </w:numPr>
        <w:spacing w:after="160" w:line="276" w:lineRule="auto"/>
        <w:jc w:val="both"/>
        <w:rPr>
          <w:rFonts w:ascii="Calibri" w:hAnsi="Calibri" w:cs="Calibri"/>
          <w:bCs/>
          <w:lang w:val="en-US"/>
        </w:rPr>
      </w:pPr>
      <w:r w:rsidRPr="002E509F">
        <w:rPr>
          <w:rFonts w:ascii="Calibri" w:hAnsi="Calibri" w:cs="Calibri"/>
          <w:bCs/>
          <w:lang w:val="en-US"/>
        </w:rPr>
        <w:t>Increase of false positive or false negative results</w:t>
      </w:r>
    </w:p>
    <w:p w14:paraId="225A3E55" w14:textId="77777777" w:rsidR="00A7224D" w:rsidRPr="002E509F" w:rsidRDefault="00A7224D" w:rsidP="00A7224D">
      <w:pPr>
        <w:pStyle w:val="ListParagraph"/>
        <w:numPr>
          <w:ilvl w:val="0"/>
          <w:numId w:val="4"/>
        </w:numPr>
        <w:spacing w:after="160" w:line="276" w:lineRule="auto"/>
        <w:jc w:val="both"/>
        <w:rPr>
          <w:rFonts w:ascii="Calibri" w:hAnsi="Calibri" w:cs="Calibri"/>
          <w:bCs/>
          <w:lang w:val="en-US"/>
        </w:rPr>
      </w:pPr>
      <w:r w:rsidRPr="002E509F">
        <w:rPr>
          <w:rFonts w:ascii="Calibri" w:hAnsi="Calibri" w:cs="Calibri"/>
          <w:bCs/>
          <w:lang w:val="en-US"/>
        </w:rPr>
        <w:t>misdiagnosis</w:t>
      </w:r>
    </w:p>
    <w:p w14:paraId="7B15FC45" w14:textId="77777777" w:rsidR="00A7224D" w:rsidRPr="002E509F" w:rsidRDefault="00A7224D" w:rsidP="00A7224D">
      <w:pPr>
        <w:pStyle w:val="ListParagraph"/>
        <w:numPr>
          <w:ilvl w:val="0"/>
          <w:numId w:val="4"/>
        </w:numPr>
        <w:spacing w:after="160" w:line="276" w:lineRule="auto"/>
        <w:jc w:val="both"/>
        <w:rPr>
          <w:rFonts w:ascii="Calibri" w:hAnsi="Calibri" w:cs="Calibri"/>
          <w:bCs/>
          <w:lang w:val="en-US"/>
        </w:rPr>
      </w:pPr>
      <w:r w:rsidRPr="002E509F">
        <w:rPr>
          <w:rFonts w:ascii="Calibri" w:hAnsi="Calibri" w:cs="Calibri"/>
          <w:bCs/>
          <w:lang w:val="en-US"/>
        </w:rPr>
        <w:t xml:space="preserve"> delayed diagnosis</w:t>
      </w:r>
    </w:p>
    <w:p w14:paraId="157BE884" w14:textId="77777777" w:rsidR="00A7224D" w:rsidRPr="002E509F" w:rsidRDefault="00A7224D" w:rsidP="00A7224D">
      <w:pPr>
        <w:pStyle w:val="ListParagraph"/>
        <w:numPr>
          <w:ilvl w:val="0"/>
          <w:numId w:val="4"/>
        </w:numPr>
        <w:spacing w:after="160" w:line="276" w:lineRule="auto"/>
        <w:jc w:val="both"/>
        <w:rPr>
          <w:rFonts w:ascii="Calibri" w:hAnsi="Calibri" w:cs="Calibri"/>
          <w:bCs/>
          <w:lang w:val="en-US"/>
        </w:rPr>
      </w:pPr>
      <w:r w:rsidRPr="002E509F">
        <w:rPr>
          <w:rFonts w:ascii="Calibri" w:hAnsi="Calibri" w:cs="Calibri"/>
          <w:bCs/>
          <w:lang w:val="en-US"/>
        </w:rPr>
        <w:t xml:space="preserve"> delayed treatment</w:t>
      </w:r>
    </w:p>
    <w:p w14:paraId="4D93D6C3" w14:textId="77777777" w:rsidR="00A7224D" w:rsidRPr="002E509F" w:rsidRDefault="00A7224D" w:rsidP="00A7224D">
      <w:pPr>
        <w:pStyle w:val="ListParagraph"/>
        <w:numPr>
          <w:ilvl w:val="0"/>
          <w:numId w:val="4"/>
        </w:numPr>
        <w:spacing w:after="160" w:line="276" w:lineRule="auto"/>
        <w:jc w:val="both"/>
        <w:rPr>
          <w:rFonts w:ascii="Calibri" w:hAnsi="Calibri" w:cs="Calibri"/>
          <w:bCs/>
          <w:lang w:val="en-US"/>
        </w:rPr>
      </w:pPr>
      <w:r w:rsidRPr="002E509F">
        <w:rPr>
          <w:rFonts w:ascii="Calibri" w:hAnsi="Calibri" w:cs="Calibri"/>
          <w:bCs/>
          <w:lang w:val="en-US"/>
        </w:rPr>
        <w:t xml:space="preserve"> inappropriate treatment</w:t>
      </w:r>
    </w:p>
    <w:p w14:paraId="3BA2C344" w14:textId="77777777" w:rsidR="00845664" w:rsidRPr="002E509F" w:rsidRDefault="00A7224D" w:rsidP="00A7224D">
      <w:pPr>
        <w:pStyle w:val="ListParagraph"/>
        <w:numPr>
          <w:ilvl w:val="0"/>
          <w:numId w:val="4"/>
        </w:numPr>
        <w:spacing w:after="160" w:line="276" w:lineRule="auto"/>
        <w:jc w:val="both"/>
        <w:rPr>
          <w:rFonts w:ascii="Calibri" w:hAnsi="Calibri" w:cs="Calibri"/>
          <w:bCs/>
          <w:lang w:val="en-US"/>
        </w:rPr>
      </w:pPr>
      <w:r w:rsidRPr="002E509F">
        <w:rPr>
          <w:rFonts w:ascii="Calibri" w:hAnsi="Calibri" w:cs="Calibri"/>
          <w:bCs/>
          <w:lang w:val="en-US"/>
        </w:rPr>
        <w:t xml:space="preserve"> transfusion of inappropriate materials</w:t>
      </w:r>
    </w:p>
    <w:p w14:paraId="6E29EC08" w14:textId="77777777" w:rsidR="00786FBB" w:rsidRPr="005F22C3" w:rsidRDefault="00786FBB" w:rsidP="00AD1CF7">
      <w:pPr>
        <w:pStyle w:val="NormalWeb"/>
        <w:shd w:val="clear" w:color="auto" w:fill="FFFFFF"/>
        <w:spacing w:before="0" w:beforeAutospacing="0" w:after="150" w:afterAutospacing="0" w:line="276" w:lineRule="auto"/>
        <w:jc w:val="both"/>
        <w:rPr>
          <w:rFonts w:ascii="Calibri" w:hAnsi="Calibri" w:cs="Calibri"/>
          <w:lang w:val="en-US" w:eastAsia="en-US"/>
        </w:rPr>
      </w:pPr>
    </w:p>
    <w:p w14:paraId="5950D110" w14:textId="77777777" w:rsidR="007F7F8F" w:rsidRPr="00FF634A" w:rsidRDefault="007F7F8F" w:rsidP="002D2A06">
      <w:pPr>
        <w:rPr>
          <w:rFonts w:ascii="Calibri" w:hAnsi="Calibri" w:cs="Calibri"/>
          <w:lang w:val="en-US" w:eastAsia="de-DE"/>
        </w:rPr>
      </w:pPr>
    </w:p>
    <w:p w14:paraId="0C712ADB" w14:textId="77777777" w:rsidR="00E030AB" w:rsidRPr="00FF634A" w:rsidRDefault="00E030AB" w:rsidP="00436E78">
      <w:pPr>
        <w:pStyle w:val="ListParagraph"/>
        <w:jc w:val="both"/>
        <w:rPr>
          <w:rFonts w:ascii="Calibri" w:hAnsi="Calibri" w:cs="Calibri"/>
          <w:lang w:val="en-US"/>
        </w:rPr>
      </w:pPr>
    </w:p>
    <w:sectPr w:rsidR="00E030AB" w:rsidRPr="00FF634A">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ainiola Tarja" w:date="2022-06-20T13:28:00Z" w:initials="VT">
    <w:p w14:paraId="44810ACC" w14:textId="7846FA9C" w:rsidR="00820DE4" w:rsidRDefault="00820DE4">
      <w:pPr>
        <w:pStyle w:val="CommentText"/>
      </w:pPr>
      <w:r>
        <w:rPr>
          <w:rStyle w:val="CommentReference"/>
        </w:rPr>
        <w:annotationRef/>
      </w:r>
      <w:r>
        <w:t>How to clarify that the old IVD-devices are not on the scope of the MDR Trend Report process</w:t>
      </w:r>
      <w:r w:rsidR="00E660A1">
        <w:t xml:space="preserve"> discussed within the PMSV WG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810A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810ACC" w16cid:durableId="265AF4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A2565" w14:textId="77777777" w:rsidR="0051713A" w:rsidRDefault="0051713A" w:rsidP="009B5E98">
      <w:r>
        <w:separator/>
      </w:r>
    </w:p>
  </w:endnote>
  <w:endnote w:type="continuationSeparator" w:id="0">
    <w:p w14:paraId="50B589CE" w14:textId="77777777" w:rsidR="0051713A" w:rsidRDefault="0051713A" w:rsidP="009B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A853" w14:textId="77777777" w:rsidR="00F81FB1" w:rsidRDefault="00F81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FF5B" w14:textId="77777777" w:rsidR="00F81FB1" w:rsidRDefault="00F81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3AE5" w14:textId="77777777" w:rsidR="00F81FB1" w:rsidRDefault="00F81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92725" w14:textId="77777777" w:rsidR="0051713A" w:rsidRDefault="0051713A" w:rsidP="009B5E98">
      <w:r>
        <w:separator/>
      </w:r>
    </w:p>
  </w:footnote>
  <w:footnote w:type="continuationSeparator" w:id="0">
    <w:p w14:paraId="6585C8D8" w14:textId="77777777" w:rsidR="0051713A" w:rsidRDefault="0051713A" w:rsidP="009B5E98">
      <w:r>
        <w:continuationSeparator/>
      </w:r>
    </w:p>
  </w:footnote>
  <w:footnote w:id="1">
    <w:p w14:paraId="05EE11C5" w14:textId="77777777" w:rsidR="009E0F18" w:rsidRPr="009E0F18" w:rsidRDefault="009E0F18" w:rsidP="009E0F18">
      <w:pPr>
        <w:jc w:val="both"/>
        <w:rPr>
          <w:rFonts w:ascii="Calibri" w:eastAsia="Calibri" w:hAnsi="Calibri" w:cs="Calibri"/>
          <w:color w:val="1F497D"/>
          <w:lang w:val="en-GB"/>
        </w:rPr>
      </w:pPr>
      <w:r>
        <w:rPr>
          <w:rStyle w:val="FootnoteReference"/>
        </w:rPr>
        <w:footnoteRef/>
      </w:r>
      <w:r w:rsidRPr="009E0F18">
        <w:rPr>
          <w:lang w:val="en-US"/>
        </w:rPr>
        <w:t xml:space="preserve"> </w:t>
      </w:r>
      <w:r w:rsidRPr="009E0F18">
        <w:rPr>
          <w:rFonts w:ascii="Calibri" w:eastAsia="Calibri" w:hAnsi="Calibri" w:cs="Calibri"/>
          <w:sz w:val="18"/>
          <w:szCs w:val="18"/>
          <w:lang w:val="en-GB"/>
        </w:rPr>
        <w:t>A distinction between ‘legacy’ and ‘old’ devices may remain relevant for the registration of the devices in Eudamed, i.e. how to link a serious incident report registered in the vigilance module to the registration of a device in the UDI / device module.  This issue has been addressed by MDCG guidance 2019-5.</w:t>
      </w:r>
    </w:p>
  </w:footnote>
  <w:footnote w:id="2">
    <w:p w14:paraId="192C5AE1" w14:textId="77777777" w:rsidR="003E0B6D" w:rsidRPr="00C85C1E" w:rsidRDefault="003E0B6D" w:rsidP="003E0B6D">
      <w:pPr>
        <w:pStyle w:val="FootnoteText"/>
      </w:pPr>
      <w:r>
        <w:rPr>
          <w:rStyle w:val="FootnoteReference"/>
        </w:rPr>
        <w:footnoteRef/>
      </w:r>
      <w:r>
        <w:t xml:space="preserve"> </w:t>
      </w:r>
      <w:r w:rsidRPr="00C85C1E">
        <w:rPr>
          <w:rFonts w:ascii="Calibri" w:hAnsi="Calibri" w:cs="Calibri"/>
          <w:sz w:val="18"/>
          <w:szCs w:val="18"/>
        </w:rPr>
        <w:t>referred to in Sections 1 and 5 of Annex I</w:t>
      </w:r>
      <w:r>
        <w:rPr>
          <w:rFonts w:ascii="Calibri" w:hAnsi="Calibri" w:cs="Calibri"/>
          <w:sz w:val="18"/>
          <w:szCs w:val="18"/>
        </w:rPr>
        <w:t xml:space="preserve"> MDR and IVDR</w:t>
      </w:r>
    </w:p>
  </w:footnote>
  <w:footnote w:id="3">
    <w:p w14:paraId="55A738F0" w14:textId="77777777" w:rsidR="009C3EF8" w:rsidRPr="0055359E" w:rsidRDefault="009C3EF8" w:rsidP="009C3EF8">
      <w:pPr>
        <w:pStyle w:val="FootnoteText"/>
        <w:jc w:val="both"/>
        <w:rPr>
          <w:rFonts w:ascii="Calibri" w:hAnsi="Calibri" w:cs="Calibri"/>
          <w:sz w:val="18"/>
          <w:szCs w:val="18"/>
        </w:rPr>
      </w:pPr>
      <w:r w:rsidRPr="0055359E">
        <w:rPr>
          <w:rStyle w:val="FootnoteReference"/>
          <w:rFonts w:ascii="Calibri" w:hAnsi="Calibri" w:cs="Calibri"/>
          <w:sz w:val="18"/>
          <w:szCs w:val="18"/>
        </w:rPr>
        <w:footnoteRef/>
      </w:r>
      <w:r w:rsidR="0055359E">
        <w:rPr>
          <w:rFonts w:ascii="Calibri" w:hAnsi="Calibri" w:cs="Calibri"/>
          <w:sz w:val="18"/>
          <w:szCs w:val="18"/>
        </w:rPr>
        <w:t xml:space="preserve"> </w:t>
      </w:r>
      <w:r w:rsidR="00FA4282" w:rsidRPr="0055359E">
        <w:rPr>
          <w:rFonts w:ascii="Calibri" w:hAnsi="Calibri" w:cs="Calibri"/>
          <w:sz w:val="18"/>
          <w:szCs w:val="18"/>
        </w:rPr>
        <w:t>EN</w:t>
      </w:r>
      <w:r w:rsidRPr="0055359E">
        <w:rPr>
          <w:rFonts w:ascii="Calibri" w:hAnsi="Calibri" w:cs="Calibri"/>
          <w:sz w:val="18"/>
          <w:szCs w:val="18"/>
        </w:rPr>
        <w:t xml:space="preserve"> ISO 14971 Medical devices, Application of risk management to medical devices. </w:t>
      </w:r>
    </w:p>
  </w:footnote>
  <w:footnote w:id="4">
    <w:p w14:paraId="0B4028CE" w14:textId="77777777" w:rsidR="009C3EF8" w:rsidRPr="0055359E" w:rsidRDefault="009C3EF8" w:rsidP="00B83A05">
      <w:pPr>
        <w:jc w:val="both"/>
        <w:rPr>
          <w:rFonts w:ascii="Calibri" w:hAnsi="Calibri" w:cs="Calibri"/>
          <w:sz w:val="18"/>
          <w:szCs w:val="18"/>
          <w:lang w:val="en-US"/>
        </w:rPr>
      </w:pPr>
      <w:r w:rsidRPr="0055359E">
        <w:rPr>
          <w:rStyle w:val="FootnoteReference"/>
          <w:rFonts w:ascii="Calibri" w:hAnsi="Calibri" w:cs="Calibri"/>
          <w:sz w:val="18"/>
          <w:szCs w:val="18"/>
        </w:rPr>
        <w:footnoteRef/>
      </w:r>
      <w:r w:rsidRPr="0055359E">
        <w:rPr>
          <w:rFonts w:ascii="Calibri" w:hAnsi="Calibri" w:cs="Calibri"/>
          <w:sz w:val="18"/>
          <w:szCs w:val="18"/>
          <w:lang w:val="en-US"/>
        </w:rPr>
        <w:t xml:space="preserve"> </w:t>
      </w:r>
      <w:r w:rsidRPr="0055359E">
        <w:rPr>
          <w:rFonts w:ascii="Calibri" w:eastAsia="Times New Roman" w:hAnsi="Calibri" w:cs="Calibri"/>
          <w:sz w:val="18"/>
          <w:szCs w:val="18"/>
          <w:lang w:val="en-US"/>
        </w:rPr>
        <w:t>Probability of occurrence of harm = the probability of hazard or hazardous situation multiplied by the probability of hazard or hazardous situation causing harm</w:t>
      </w:r>
      <w:r w:rsidRPr="0055359E">
        <w:rPr>
          <w:rFonts w:ascii="Calibri" w:eastAsia="Times New Roman" w:hAnsi="Calibri" w:cs="Calibri"/>
          <w:b/>
          <w:sz w:val="18"/>
          <w:szCs w:val="18"/>
          <w:lang w:val="en-US"/>
        </w:rPr>
        <w:t xml:space="preserve"> (</w:t>
      </w:r>
      <w:r w:rsidRPr="0055359E">
        <w:rPr>
          <w:rFonts w:ascii="Calibri" w:eastAsia="Times New Roman" w:hAnsi="Calibri" w:cs="Calibri"/>
          <w:sz w:val="18"/>
          <w:szCs w:val="18"/>
          <w:lang w:val="en-US"/>
        </w:rPr>
        <w:t>EN ISO 14971 definition)</w:t>
      </w:r>
    </w:p>
  </w:footnote>
  <w:footnote w:id="5">
    <w:p w14:paraId="376A239B" w14:textId="77777777" w:rsidR="009C3EF8" w:rsidRPr="0055359E" w:rsidRDefault="009C3EF8" w:rsidP="009C3EF8">
      <w:pPr>
        <w:jc w:val="both"/>
        <w:rPr>
          <w:rFonts w:ascii="Calibri" w:eastAsia="Times New Roman" w:hAnsi="Calibri" w:cs="Calibri"/>
          <w:sz w:val="18"/>
          <w:szCs w:val="18"/>
          <w:lang w:val="en-US"/>
        </w:rPr>
      </w:pPr>
      <w:r w:rsidRPr="0055359E">
        <w:rPr>
          <w:rStyle w:val="FootnoteReference"/>
          <w:rFonts w:ascii="Calibri" w:hAnsi="Calibri" w:cs="Calibri"/>
          <w:sz w:val="18"/>
          <w:szCs w:val="18"/>
        </w:rPr>
        <w:footnoteRef/>
      </w:r>
      <w:r w:rsidRPr="0055359E">
        <w:rPr>
          <w:rFonts w:ascii="Calibri" w:hAnsi="Calibri" w:cs="Calibri"/>
          <w:sz w:val="18"/>
          <w:szCs w:val="18"/>
          <w:lang w:val="en-US"/>
        </w:rPr>
        <w:t xml:space="preserve"> </w:t>
      </w:r>
      <w:r w:rsidRPr="0055359E">
        <w:rPr>
          <w:rFonts w:ascii="Calibri" w:eastAsia="Times New Roman" w:hAnsi="Calibri" w:cs="Calibri"/>
          <w:sz w:val="18"/>
          <w:szCs w:val="18"/>
          <w:lang w:val="en-US"/>
        </w:rPr>
        <w:t xml:space="preserve">Residual Risk = combination of the probability of occurrence of harm and the severity of that harm </w:t>
      </w:r>
      <w:r w:rsidRPr="0055359E">
        <w:rPr>
          <w:rFonts w:ascii="Calibri" w:eastAsia="Times New Roman" w:hAnsi="Calibri" w:cs="Calibri"/>
          <w:b/>
          <w:sz w:val="18"/>
          <w:szCs w:val="18"/>
          <w:lang w:val="en-US"/>
        </w:rPr>
        <w:t>(</w:t>
      </w:r>
      <w:r w:rsidRPr="0055359E">
        <w:rPr>
          <w:rFonts w:ascii="Calibri" w:eastAsia="Times New Roman" w:hAnsi="Calibri" w:cs="Calibri"/>
          <w:sz w:val="18"/>
          <w:szCs w:val="18"/>
          <w:lang w:val="en-US"/>
        </w:rPr>
        <w:t>EN ISO 14971</w:t>
      </w:r>
      <w:r w:rsidR="00BE0BFE">
        <w:rPr>
          <w:rFonts w:ascii="Calibri" w:eastAsia="Times New Roman" w:hAnsi="Calibri" w:cs="Calibri"/>
          <w:sz w:val="18"/>
          <w:szCs w:val="18"/>
          <w:lang w:val="en-US"/>
        </w:rPr>
        <w:t xml:space="preserve"> definition</w:t>
      </w:r>
      <w:r w:rsidRPr="0055359E">
        <w:rPr>
          <w:rFonts w:ascii="Calibri" w:eastAsia="Times New Roman" w:hAnsi="Calibri" w:cs="Calibri"/>
          <w:sz w:val="18"/>
          <w:szCs w:val="18"/>
          <w:lang w:val="en-US"/>
        </w:rPr>
        <w:t>).</w:t>
      </w:r>
    </w:p>
    <w:p w14:paraId="7DE4B0B2" w14:textId="77777777" w:rsidR="009C3EF8" w:rsidRPr="009C3EF8" w:rsidRDefault="009C3EF8" w:rsidP="009C3EF8">
      <w:pPr>
        <w:pStyle w:val="FootnoteText"/>
      </w:pPr>
    </w:p>
  </w:footnote>
  <w:footnote w:id="6">
    <w:p w14:paraId="495B9021" w14:textId="1F2880FA" w:rsidR="00D61BEA" w:rsidRPr="00D53C2A" w:rsidRDefault="00D61BEA" w:rsidP="00D61BEA">
      <w:pPr>
        <w:pStyle w:val="FootnoteText"/>
      </w:pPr>
      <w:r>
        <w:rPr>
          <w:rStyle w:val="FootnoteReference"/>
        </w:rPr>
        <w:footnoteRef/>
      </w:r>
      <w:r>
        <w:t xml:space="preserve"> </w:t>
      </w:r>
      <w:hyperlink r:id="rId1" w:history="1">
        <w:r w:rsidRPr="00D61BEA">
          <w:rPr>
            <w:rStyle w:val="Hyperlink"/>
            <w:rFonts w:ascii="Calibri" w:hAnsi="Calibri" w:cs="Calibri"/>
          </w:rPr>
          <w:t>MDCG 2021-1 “</w:t>
        </w:r>
        <w:r w:rsidRPr="00D61BEA">
          <w:rPr>
            <w:rStyle w:val="Hyperlink"/>
            <w:rFonts w:ascii="Calibri" w:hAnsi="Calibri" w:cs="Calibri"/>
            <w:i/>
            <w:iCs/>
          </w:rPr>
          <w:t xml:space="preserve">Guidance on </w:t>
        </w:r>
        <w:r w:rsidR="00B169BB" w:rsidRPr="00D61BEA">
          <w:rPr>
            <w:rStyle w:val="Hyperlink"/>
            <w:rFonts w:ascii="Calibri" w:hAnsi="Calibri" w:cs="Calibri"/>
            <w:i/>
            <w:iCs/>
          </w:rPr>
          <w:t>harmonized</w:t>
        </w:r>
        <w:r w:rsidRPr="00D61BEA">
          <w:rPr>
            <w:rStyle w:val="Hyperlink"/>
            <w:rFonts w:ascii="Calibri" w:hAnsi="Calibri" w:cs="Calibri"/>
            <w:i/>
            <w:iCs/>
          </w:rPr>
          <w:t xml:space="preserve"> administrative practices and alternative technical solutions until EUDAMED is fully functional</w:t>
        </w:r>
      </w:hyperlink>
    </w:p>
  </w:footnote>
  <w:footnote w:id="7">
    <w:p w14:paraId="58B51861" w14:textId="77777777" w:rsidR="00AD1CF7" w:rsidRPr="005F22C3" w:rsidRDefault="00AD1CF7" w:rsidP="005F22C3">
      <w:pPr>
        <w:pStyle w:val="Default"/>
        <w:jc w:val="both"/>
        <w:rPr>
          <w:rFonts w:ascii="Calibri" w:hAnsi="Calibri" w:cs="Calibri"/>
          <w:color w:val="auto"/>
          <w:sz w:val="18"/>
          <w:szCs w:val="18"/>
          <w:lang w:val="en-US"/>
        </w:rPr>
      </w:pPr>
      <w:r w:rsidRPr="005F22C3">
        <w:rPr>
          <w:rStyle w:val="FootnoteReference"/>
          <w:rFonts w:ascii="Calibri" w:hAnsi="Calibri" w:cs="Calibri"/>
          <w:color w:val="auto"/>
          <w:sz w:val="18"/>
          <w:szCs w:val="18"/>
        </w:rPr>
        <w:footnoteRef/>
      </w:r>
      <w:r w:rsidRPr="005F22C3">
        <w:rPr>
          <w:rFonts w:ascii="Calibri" w:hAnsi="Calibri" w:cs="Calibri"/>
          <w:color w:val="auto"/>
          <w:sz w:val="18"/>
          <w:szCs w:val="18"/>
          <w:lang w:val="en-US"/>
        </w:rPr>
        <w:t xml:space="preserve"> Refer also to MDCG 2021 – 3 guidance “</w:t>
      </w:r>
      <w:r w:rsidRPr="00F15923">
        <w:rPr>
          <w:rFonts w:ascii="Calibri" w:hAnsi="Calibri" w:cs="Calibri"/>
          <w:i/>
          <w:iCs/>
          <w:color w:val="auto"/>
          <w:sz w:val="18"/>
          <w:szCs w:val="18"/>
          <w:lang w:val="en-US"/>
        </w:rPr>
        <w:t>Questions and Answers on Custom-Made Devices</w:t>
      </w:r>
      <w:r w:rsidRPr="005F22C3">
        <w:rPr>
          <w:rFonts w:ascii="Calibri" w:hAnsi="Calibri" w:cs="Calibri"/>
          <w:color w:val="auto"/>
          <w:sz w:val="18"/>
          <w:szCs w:val="18"/>
          <w:lang w:val="en-US"/>
        </w:rPr>
        <w:t>”</w:t>
      </w:r>
      <w:r w:rsidR="00C23B3F" w:rsidRPr="005F22C3">
        <w:rPr>
          <w:rFonts w:ascii="Calibri" w:hAnsi="Calibri" w:cs="Calibri"/>
          <w:color w:val="auto"/>
          <w:sz w:val="18"/>
          <w:szCs w:val="18"/>
          <w:lang w:val="en-US"/>
        </w:rPr>
        <w:t xml:space="preserve"> Question 8 and 9.</w:t>
      </w:r>
      <w:r w:rsidRPr="005F22C3">
        <w:rPr>
          <w:rFonts w:ascii="Calibri" w:hAnsi="Calibri" w:cs="Calibri"/>
          <w:color w:val="auto"/>
          <w:sz w:val="18"/>
          <w:szCs w:val="18"/>
          <w:lang w:val="en-US"/>
        </w:rPr>
        <w:t xml:space="preserve"> </w:t>
      </w:r>
    </w:p>
    <w:p w14:paraId="36752BA3" w14:textId="77777777" w:rsidR="00B16438" w:rsidRPr="005F22C3" w:rsidRDefault="00B16438" w:rsidP="005F22C3">
      <w:pPr>
        <w:pStyle w:val="Default"/>
        <w:jc w:val="both"/>
        <w:rPr>
          <w:rFonts w:ascii="Calibri" w:hAnsi="Calibri" w:cs="Calibri"/>
          <w:i/>
          <w:iCs/>
          <w:color w:val="auto"/>
          <w:sz w:val="18"/>
          <w:szCs w:val="18"/>
          <w:lang w:val="en-US"/>
        </w:rPr>
      </w:pPr>
      <w:r w:rsidRPr="005F22C3">
        <w:rPr>
          <w:rFonts w:ascii="Calibri" w:hAnsi="Calibri" w:cs="Calibri"/>
          <w:i/>
          <w:iCs/>
          <w:color w:val="auto"/>
          <w:sz w:val="18"/>
          <w:szCs w:val="18"/>
          <w:lang w:val="en-US"/>
        </w:rPr>
        <w:t>Question 8 MDCG 2021 -3: 8. What are the obligations of CMD manufacturers according to the MDR?</w:t>
      </w:r>
    </w:p>
    <w:p w14:paraId="4817E35B" w14:textId="77777777" w:rsidR="00B16438" w:rsidRPr="005F22C3" w:rsidRDefault="00B16438" w:rsidP="005F22C3">
      <w:pPr>
        <w:pStyle w:val="Default"/>
        <w:jc w:val="both"/>
        <w:rPr>
          <w:rFonts w:ascii="Calibri" w:hAnsi="Calibri" w:cs="Calibri"/>
          <w:color w:val="auto"/>
          <w:sz w:val="18"/>
          <w:szCs w:val="18"/>
          <w:lang w:val="en-US"/>
        </w:rPr>
      </w:pPr>
      <w:r w:rsidRPr="005F22C3">
        <w:rPr>
          <w:rFonts w:ascii="Calibri" w:hAnsi="Calibri" w:cs="Calibri"/>
          <w:color w:val="auto"/>
          <w:sz w:val="18"/>
          <w:szCs w:val="18"/>
          <w:lang w:val="en-US"/>
        </w:rPr>
        <w:t>With the absence of stated exceptions, CMD manufacturers must meet nearly all of the MDR requirements. Although the authorised person issuing the written prescription primarily determines the design and intended purpose of the CMD, it is the responsibility of the CMD manufacturer to consider which MDR Annex I requirements are applicable to the device at hand.</w:t>
      </w:r>
    </w:p>
    <w:p w14:paraId="5779FD6A" w14:textId="77777777" w:rsidR="00B16438" w:rsidRPr="005F22C3" w:rsidRDefault="00B16438" w:rsidP="005F22C3">
      <w:pPr>
        <w:pStyle w:val="Default"/>
        <w:jc w:val="both"/>
        <w:rPr>
          <w:rFonts w:ascii="Calibri" w:hAnsi="Calibri" w:cs="Calibri"/>
          <w:color w:val="auto"/>
          <w:sz w:val="18"/>
          <w:szCs w:val="18"/>
          <w:lang w:val="en-US"/>
        </w:rPr>
      </w:pPr>
      <w:r w:rsidRPr="005F22C3">
        <w:rPr>
          <w:rFonts w:ascii="Calibri" w:hAnsi="Calibri" w:cs="Calibri"/>
          <w:color w:val="auto"/>
          <w:sz w:val="18"/>
          <w:szCs w:val="18"/>
          <w:lang w:val="en-US"/>
        </w:rPr>
        <w:t>Additionally, and as any other medical device manufacturer, CMD manufacturers shall establish, document, implement, maintain, keep up to date and continually improve a quality management system (QMS) that shall ensure compliance with the MDR in the most effective manner and in a manner that is proportionate to the risk class and the type of device. The QMS must address all elements described in Article 10(9) of the MDR.</w:t>
      </w:r>
    </w:p>
    <w:p w14:paraId="7DFB9FCC" w14:textId="77777777" w:rsidR="00B16438" w:rsidRPr="005F22C3" w:rsidRDefault="00B16438" w:rsidP="005F22C3">
      <w:pPr>
        <w:pStyle w:val="Default"/>
        <w:jc w:val="both"/>
        <w:rPr>
          <w:rFonts w:ascii="Calibri" w:hAnsi="Calibri" w:cs="Calibri"/>
          <w:color w:val="auto"/>
          <w:sz w:val="18"/>
          <w:szCs w:val="18"/>
          <w:lang w:val="en-US"/>
        </w:rPr>
      </w:pPr>
      <w:r w:rsidRPr="005F22C3">
        <w:rPr>
          <w:rFonts w:ascii="Calibri" w:hAnsi="Calibri" w:cs="Calibri"/>
          <w:color w:val="auto"/>
          <w:sz w:val="18"/>
          <w:szCs w:val="18"/>
          <w:lang w:val="en-US"/>
        </w:rPr>
        <w:t>To implement an MDR compliant post-market surveillance system, the CMD manufacturer should establish appropriate communication channels with relevant healthcare providers/professionals or patients to receive feedback on the quality, performance and in particular the clinical performance and safety of the devices in the field.</w:t>
      </w:r>
    </w:p>
    <w:p w14:paraId="392E6293" w14:textId="77777777" w:rsidR="00B16438" w:rsidRPr="005F22C3" w:rsidRDefault="00B16438" w:rsidP="005F22C3">
      <w:pPr>
        <w:pStyle w:val="Default"/>
        <w:jc w:val="both"/>
        <w:rPr>
          <w:rFonts w:ascii="Calibri" w:hAnsi="Calibri" w:cs="Calibri"/>
          <w:color w:val="auto"/>
          <w:sz w:val="18"/>
          <w:szCs w:val="18"/>
          <w:lang w:val="en-US"/>
        </w:rPr>
      </w:pPr>
      <w:r w:rsidRPr="005F22C3">
        <w:rPr>
          <w:rFonts w:ascii="Calibri" w:hAnsi="Calibri" w:cs="Calibri"/>
          <w:color w:val="auto"/>
          <w:sz w:val="18"/>
          <w:szCs w:val="18"/>
          <w:lang w:val="en-US"/>
        </w:rPr>
        <w:t>For risk management, post-market surveillance and clinical evaluation life cycle processes as defined by the MDR, CMD manufacturers should apply these obligations to groups of devices with the same intended purpose, materials used, process utilised, same principal design etc. and not to each individual CMD.</w:t>
      </w:r>
    </w:p>
    <w:p w14:paraId="438878D8" w14:textId="77777777" w:rsidR="00B16438" w:rsidRPr="00AD1CF7" w:rsidRDefault="00B16438" w:rsidP="005F22C3">
      <w:pPr>
        <w:pStyle w:val="Default"/>
        <w:jc w:val="both"/>
        <w:rPr>
          <w:rFonts w:ascii="Calibri" w:hAnsi="Calibri" w:cs="Calibri"/>
          <w:sz w:val="18"/>
          <w:szCs w:val="18"/>
          <w:lang w:val="en-US"/>
        </w:rPr>
      </w:pPr>
      <w:r w:rsidRPr="005F22C3">
        <w:rPr>
          <w:rFonts w:ascii="Calibri" w:hAnsi="Calibri" w:cs="Calibri"/>
          <w:color w:val="auto"/>
          <w:sz w:val="18"/>
          <w:szCs w:val="18"/>
          <w:lang w:val="en-US"/>
        </w:rPr>
        <w:t>In accordance with Article 87(1) of the MDR, CMD manufacturers shall report to the competent authorities any serious incidents and/or field safety corrective actions as soon as they learn of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F67D" w14:textId="77777777" w:rsidR="00F81FB1" w:rsidRDefault="00E660A1">
    <w:pPr>
      <w:pStyle w:val="Header"/>
    </w:pPr>
    <w:r>
      <w:rPr>
        <w:noProof/>
      </w:rPr>
      <w:pict w14:anchorId="3AEAC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0235" o:spid="_x0000_s2051" type="#_x0000_t136" alt="" style="position:absolute;margin-left:0;margin-top:0;width:423.7pt;height:255.7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7AFE" w14:textId="77777777" w:rsidR="00F81FB1" w:rsidRDefault="00E660A1">
    <w:pPr>
      <w:pStyle w:val="Header"/>
    </w:pPr>
    <w:r>
      <w:rPr>
        <w:noProof/>
      </w:rPr>
      <w:pict w14:anchorId="377DD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0236" o:spid="_x0000_s2050" type="#_x0000_t136" alt="" style="position:absolute;margin-left:0;margin-top:0;width:423.7pt;height:255.7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AC5A" w14:textId="77777777" w:rsidR="00F81FB1" w:rsidRDefault="00E660A1">
    <w:pPr>
      <w:pStyle w:val="Header"/>
    </w:pPr>
    <w:r>
      <w:rPr>
        <w:noProof/>
      </w:rPr>
      <w:pict w14:anchorId="6CE55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0234" o:spid="_x0000_s2049" type="#_x0000_t136" alt="" style="position:absolute;margin-left:0;margin-top:0;width:423.7pt;height:255.7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A38"/>
    <w:multiLevelType w:val="hybridMultilevel"/>
    <w:tmpl w:val="73A86A46"/>
    <w:lvl w:ilvl="0" w:tplc="42CE31B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 w15:restartNumberingAfterBreak="0">
    <w:nsid w:val="06D37307"/>
    <w:multiLevelType w:val="hybridMultilevel"/>
    <w:tmpl w:val="332A20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C704B3"/>
    <w:multiLevelType w:val="hybridMultilevel"/>
    <w:tmpl w:val="0C8A8590"/>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D466A4B"/>
    <w:multiLevelType w:val="hybridMultilevel"/>
    <w:tmpl w:val="18549F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D275C8"/>
    <w:multiLevelType w:val="hybridMultilevel"/>
    <w:tmpl w:val="A254EE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400BDD"/>
    <w:multiLevelType w:val="hybridMultilevel"/>
    <w:tmpl w:val="B880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24939"/>
    <w:multiLevelType w:val="hybridMultilevel"/>
    <w:tmpl w:val="E16CA9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CC3A66"/>
    <w:multiLevelType w:val="hybridMultilevel"/>
    <w:tmpl w:val="4CCC994E"/>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8" w15:restartNumberingAfterBreak="0">
    <w:nsid w:val="33340FF9"/>
    <w:multiLevelType w:val="hybridMultilevel"/>
    <w:tmpl w:val="F2229D7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1A0BE4"/>
    <w:multiLevelType w:val="hybridMultilevel"/>
    <w:tmpl w:val="2610B4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C70AEF"/>
    <w:multiLevelType w:val="hybridMultilevel"/>
    <w:tmpl w:val="3B082B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D3023F7"/>
    <w:multiLevelType w:val="hybridMultilevel"/>
    <w:tmpl w:val="E4F89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193043"/>
    <w:multiLevelType w:val="hybridMultilevel"/>
    <w:tmpl w:val="82F0BCF6"/>
    <w:lvl w:ilvl="0" w:tplc="04100001">
      <w:start w:val="1"/>
      <w:numFmt w:val="bullet"/>
      <w:lvlText w:val=""/>
      <w:lvlJc w:val="left"/>
      <w:pPr>
        <w:ind w:left="1440" w:hanging="360"/>
      </w:pPr>
      <w:rPr>
        <w:rFonts w:ascii="Symbol" w:hAnsi="Symbol" w:hint="default"/>
      </w:rPr>
    </w:lvl>
    <w:lvl w:ilvl="1" w:tplc="79E849FE">
      <w:numFmt w:val="bullet"/>
      <w:lvlText w:val="-"/>
      <w:lvlJc w:val="left"/>
      <w:pPr>
        <w:ind w:left="2160" w:hanging="360"/>
      </w:pPr>
      <w:rPr>
        <w:rFonts w:ascii="Calibri" w:eastAsiaTheme="minorHAnsi" w:hAnsi="Calibri" w:cs="Calibri"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42AC78C9"/>
    <w:multiLevelType w:val="hybridMultilevel"/>
    <w:tmpl w:val="CB6A52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466D97"/>
    <w:multiLevelType w:val="hybridMultilevel"/>
    <w:tmpl w:val="128609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C603A96"/>
    <w:multiLevelType w:val="hybridMultilevel"/>
    <w:tmpl w:val="7A6E458C"/>
    <w:lvl w:ilvl="0" w:tplc="04100001">
      <w:start w:val="1"/>
      <w:numFmt w:val="bullet"/>
      <w:lvlText w:val=""/>
      <w:lvlJc w:val="left"/>
      <w:pPr>
        <w:ind w:left="773" w:hanging="360"/>
      </w:pPr>
      <w:rPr>
        <w:rFonts w:ascii="Symbol" w:hAnsi="Symbol" w:hint="default"/>
      </w:rPr>
    </w:lvl>
    <w:lvl w:ilvl="1" w:tplc="66AAE3C8">
      <w:numFmt w:val="bullet"/>
      <w:lvlText w:val="-"/>
      <w:lvlJc w:val="left"/>
      <w:pPr>
        <w:ind w:left="1493" w:hanging="360"/>
      </w:pPr>
      <w:rPr>
        <w:rFonts w:ascii="Calibri" w:eastAsia="Times New Roman" w:hAnsi="Calibri" w:cs="Calibri"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6" w15:restartNumberingAfterBreak="0">
    <w:nsid w:val="4CAC352C"/>
    <w:multiLevelType w:val="hybridMultilevel"/>
    <w:tmpl w:val="CE1219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BA80324"/>
    <w:multiLevelType w:val="hybridMultilevel"/>
    <w:tmpl w:val="61080A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E3F7068"/>
    <w:multiLevelType w:val="hybridMultilevel"/>
    <w:tmpl w:val="B1941B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7223A0"/>
    <w:multiLevelType w:val="hybridMultilevel"/>
    <w:tmpl w:val="F81E2F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22F74C2"/>
    <w:multiLevelType w:val="hybridMultilevel"/>
    <w:tmpl w:val="09323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7B9708F"/>
    <w:multiLevelType w:val="hybridMultilevel"/>
    <w:tmpl w:val="99E6B0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0B76749"/>
    <w:multiLevelType w:val="hybridMultilevel"/>
    <w:tmpl w:val="51B874C2"/>
    <w:lvl w:ilvl="0" w:tplc="8E06E434">
      <w:start w:val="1"/>
      <w:numFmt w:val="decimal"/>
      <w:lvlText w:val="%1."/>
      <w:lvlJc w:val="left"/>
      <w:pPr>
        <w:ind w:left="643"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5767EB9"/>
    <w:multiLevelType w:val="hybridMultilevel"/>
    <w:tmpl w:val="93E065EE"/>
    <w:lvl w:ilvl="0" w:tplc="676E69B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7"/>
  </w:num>
  <w:num w:numId="4">
    <w:abstractNumId w:val="12"/>
  </w:num>
  <w:num w:numId="5">
    <w:abstractNumId w:val="2"/>
  </w:num>
  <w:num w:numId="6">
    <w:abstractNumId w:val="15"/>
  </w:num>
  <w:num w:numId="7">
    <w:abstractNumId w:val="1"/>
  </w:num>
  <w:num w:numId="8">
    <w:abstractNumId w:val="6"/>
  </w:num>
  <w:num w:numId="9">
    <w:abstractNumId w:val="18"/>
  </w:num>
  <w:num w:numId="10">
    <w:abstractNumId w:val="13"/>
  </w:num>
  <w:num w:numId="11">
    <w:abstractNumId w:val="21"/>
  </w:num>
  <w:num w:numId="12">
    <w:abstractNumId w:val="16"/>
  </w:num>
  <w:num w:numId="13">
    <w:abstractNumId w:val="8"/>
  </w:num>
  <w:num w:numId="14">
    <w:abstractNumId w:val="14"/>
  </w:num>
  <w:num w:numId="15">
    <w:abstractNumId w:val="11"/>
  </w:num>
  <w:num w:numId="16">
    <w:abstractNumId w:val="4"/>
  </w:num>
  <w:num w:numId="17">
    <w:abstractNumId w:val="7"/>
  </w:num>
  <w:num w:numId="18">
    <w:abstractNumId w:val="9"/>
  </w:num>
  <w:num w:numId="19">
    <w:abstractNumId w:val="20"/>
  </w:num>
  <w:num w:numId="20">
    <w:abstractNumId w:val="23"/>
  </w:num>
  <w:num w:numId="21">
    <w:abstractNumId w:val="5"/>
  </w:num>
  <w:num w:numId="22">
    <w:abstractNumId w:val="10"/>
  </w:num>
  <w:num w:numId="23">
    <w:abstractNumId w:val="3"/>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iniola Tarja">
    <w15:presenceInfo w15:providerId="AD" w15:userId="S-1-5-21-448539723-602609370-1417001333-127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5A"/>
    <w:rsid w:val="000032F5"/>
    <w:rsid w:val="000051CD"/>
    <w:rsid w:val="00011108"/>
    <w:rsid w:val="00013C72"/>
    <w:rsid w:val="000179D1"/>
    <w:rsid w:val="00017A91"/>
    <w:rsid w:val="0002310E"/>
    <w:rsid w:val="00023231"/>
    <w:rsid w:val="0003723F"/>
    <w:rsid w:val="00042938"/>
    <w:rsid w:val="00045467"/>
    <w:rsid w:val="00052769"/>
    <w:rsid w:val="00052E28"/>
    <w:rsid w:val="00053591"/>
    <w:rsid w:val="00054DFD"/>
    <w:rsid w:val="000552A1"/>
    <w:rsid w:val="00055585"/>
    <w:rsid w:val="00061699"/>
    <w:rsid w:val="00061700"/>
    <w:rsid w:val="00075B32"/>
    <w:rsid w:val="00077B18"/>
    <w:rsid w:val="00081C12"/>
    <w:rsid w:val="00082832"/>
    <w:rsid w:val="0008341A"/>
    <w:rsid w:val="000846A0"/>
    <w:rsid w:val="0008504E"/>
    <w:rsid w:val="00087494"/>
    <w:rsid w:val="000A06A7"/>
    <w:rsid w:val="000A48FF"/>
    <w:rsid w:val="000B322A"/>
    <w:rsid w:val="000B634A"/>
    <w:rsid w:val="000C0AE5"/>
    <w:rsid w:val="000C2AE3"/>
    <w:rsid w:val="000C7B99"/>
    <w:rsid w:val="000C7D2F"/>
    <w:rsid w:val="000D0157"/>
    <w:rsid w:val="000D19B8"/>
    <w:rsid w:val="000D2071"/>
    <w:rsid w:val="000D40AC"/>
    <w:rsid w:val="000D4961"/>
    <w:rsid w:val="000D5C84"/>
    <w:rsid w:val="000D6CE4"/>
    <w:rsid w:val="000D742F"/>
    <w:rsid w:val="000D7D62"/>
    <w:rsid w:val="000E041E"/>
    <w:rsid w:val="000E35CA"/>
    <w:rsid w:val="000E43D3"/>
    <w:rsid w:val="000F2B6B"/>
    <w:rsid w:val="000F4BA9"/>
    <w:rsid w:val="00110491"/>
    <w:rsid w:val="001107C7"/>
    <w:rsid w:val="00110F2E"/>
    <w:rsid w:val="00112A0C"/>
    <w:rsid w:val="00113947"/>
    <w:rsid w:val="001223B9"/>
    <w:rsid w:val="00123F76"/>
    <w:rsid w:val="001245BD"/>
    <w:rsid w:val="00151718"/>
    <w:rsid w:val="00152C56"/>
    <w:rsid w:val="001545AB"/>
    <w:rsid w:val="001559FD"/>
    <w:rsid w:val="001568F2"/>
    <w:rsid w:val="001573E4"/>
    <w:rsid w:val="001577ED"/>
    <w:rsid w:val="00162DE4"/>
    <w:rsid w:val="00162DEA"/>
    <w:rsid w:val="00170634"/>
    <w:rsid w:val="00175070"/>
    <w:rsid w:val="00175BBE"/>
    <w:rsid w:val="00181AF9"/>
    <w:rsid w:val="00181FAB"/>
    <w:rsid w:val="001855C5"/>
    <w:rsid w:val="001909B9"/>
    <w:rsid w:val="00194CD8"/>
    <w:rsid w:val="001A0DD8"/>
    <w:rsid w:val="001A3F6C"/>
    <w:rsid w:val="001A74A6"/>
    <w:rsid w:val="001B5860"/>
    <w:rsid w:val="001C0367"/>
    <w:rsid w:val="001C4C3D"/>
    <w:rsid w:val="001C7FE7"/>
    <w:rsid w:val="001D0AF8"/>
    <w:rsid w:val="001D275F"/>
    <w:rsid w:val="001D5306"/>
    <w:rsid w:val="001E02A6"/>
    <w:rsid w:val="001E221D"/>
    <w:rsid w:val="001F0A57"/>
    <w:rsid w:val="00212F54"/>
    <w:rsid w:val="00220A4E"/>
    <w:rsid w:val="00220FC8"/>
    <w:rsid w:val="002254FC"/>
    <w:rsid w:val="002272A5"/>
    <w:rsid w:val="00233906"/>
    <w:rsid w:val="0024026E"/>
    <w:rsid w:val="00250380"/>
    <w:rsid w:val="002521B0"/>
    <w:rsid w:val="002615A4"/>
    <w:rsid w:val="00262403"/>
    <w:rsid w:val="002625AD"/>
    <w:rsid w:val="00264CD9"/>
    <w:rsid w:val="00271589"/>
    <w:rsid w:val="0027190C"/>
    <w:rsid w:val="00276BFB"/>
    <w:rsid w:val="0029404D"/>
    <w:rsid w:val="002979AC"/>
    <w:rsid w:val="002A13D2"/>
    <w:rsid w:val="002B0F8F"/>
    <w:rsid w:val="002B2422"/>
    <w:rsid w:val="002B4A47"/>
    <w:rsid w:val="002C2143"/>
    <w:rsid w:val="002C594A"/>
    <w:rsid w:val="002D13B5"/>
    <w:rsid w:val="002D2A06"/>
    <w:rsid w:val="002D3FDF"/>
    <w:rsid w:val="002D5D73"/>
    <w:rsid w:val="002E3FC3"/>
    <w:rsid w:val="002E509F"/>
    <w:rsid w:val="002F3E62"/>
    <w:rsid w:val="002F5CFA"/>
    <w:rsid w:val="002F5DD4"/>
    <w:rsid w:val="003007D3"/>
    <w:rsid w:val="00300FA0"/>
    <w:rsid w:val="003023E9"/>
    <w:rsid w:val="00304465"/>
    <w:rsid w:val="00307887"/>
    <w:rsid w:val="00310680"/>
    <w:rsid w:val="0031127E"/>
    <w:rsid w:val="0031199E"/>
    <w:rsid w:val="00311C2D"/>
    <w:rsid w:val="00312B95"/>
    <w:rsid w:val="003130F9"/>
    <w:rsid w:val="00313A00"/>
    <w:rsid w:val="00323AE7"/>
    <w:rsid w:val="0032456E"/>
    <w:rsid w:val="00325C9D"/>
    <w:rsid w:val="00336F97"/>
    <w:rsid w:val="003373DE"/>
    <w:rsid w:val="00347619"/>
    <w:rsid w:val="003545AE"/>
    <w:rsid w:val="00355A26"/>
    <w:rsid w:val="003627DB"/>
    <w:rsid w:val="00371B01"/>
    <w:rsid w:val="0037397A"/>
    <w:rsid w:val="00373EAA"/>
    <w:rsid w:val="00374A8B"/>
    <w:rsid w:val="00385210"/>
    <w:rsid w:val="00390EA3"/>
    <w:rsid w:val="003924AD"/>
    <w:rsid w:val="00394C39"/>
    <w:rsid w:val="00396204"/>
    <w:rsid w:val="003A1685"/>
    <w:rsid w:val="003A7DF9"/>
    <w:rsid w:val="003B2C3A"/>
    <w:rsid w:val="003B77E7"/>
    <w:rsid w:val="003B7AA0"/>
    <w:rsid w:val="003C30C0"/>
    <w:rsid w:val="003C4F46"/>
    <w:rsid w:val="003C5824"/>
    <w:rsid w:val="003D5318"/>
    <w:rsid w:val="003D54CE"/>
    <w:rsid w:val="003D777C"/>
    <w:rsid w:val="003E0B6D"/>
    <w:rsid w:val="003E1746"/>
    <w:rsid w:val="003E3C57"/>
    <w:rsid w:val="003E4DC0"/>
    <w:rsid w:val="003E6A87"/>
    <w:rsid w:val="003E7915"/>
    <w:rsid w:val="00400801"/>
    <w:rsid w:val="0040246E"/>
    <w:rsid w:val="00402628"/>
    <w:rsid w:val="0040304D"/>
    <w:rsid w:val="004107D2"/>
    <w:rsid w:val="00412F0F"/>
    <w:rsid w:val="00420371"/>
    <w:rsid w:val="004258C0"/>
    <w:rsid w:val="00430B70"/>
    <w:rsid w:val="0043399D"/>
    <w:rsid w:val="00436E78"/>
    <w:rsid w:val="00441511"/>
    <w:rsid w:val="00442F05"/>
    <w:rsid w:val="00446E76"/>
    <w:rsid w:val="00447E03"/>
    <w:rsid w:val="004534E6"/>
    <w:rsid w:val="004571FA"/>
    <w:rsid w:val="00457CB1"/>
    <w:rsid w:val="0046424F"/>
    <w:rsid w:val="00465C85"/>
    <w:rsid w:val="00480871"/>
    <w:rsid w:val="00480886"/>
    <w:rsid w:val="00485671"/>
    <w:rsid w:val="00486FCA"/>
    <w:rsid w:val="00491E60"/>
    <w:rsid w:val="004A04D3"/>
    <w:rsid w:val="004A6617"/>
    <w:rsid w:val="004B7D0B"/>
    <w:rsid w:val="004C1E1B"/>
    <w:rsid w:val="004C6469"/>
    <w:rsid w:val="004C6675"/>
    <w:rsid w:val="004C7998"/>
    <w:rsid w:val="004D11FB"/>
    <w:rsid w:val="004D2FE4"/>
    <w:rsid w:val="004D3072"/>
    <w:rsid w:val="004E5EB2"/>
    <w:rsid w:val="004F029A"/>
    <w:rsid w:val="004F1935"/>
    <w:rsid w:val="004F4105"/>
    <w:rsid w:val="004F54DB"/>
    <w:rsid w:val="0050298C"/>
    <w:rsid w:val="00504706"/>
    <w:rsid w:val="00504E22"/>
    <w:rsid w:val="005062BA"/>
    <w:rsid w:val="00514947"/>
    <w:rsid w:val="00515EEC"/>
    <w:rsid w:val="00516E9D"/>
    <w:rsid w:val="0051713A"/>
    <w:rsid w:val="00526EDD"/>
    <w:rsid w:val="00527759"/>
    <w:rsid w:val="00531A9C"/>
    <w:rsid w:val="00532006"/>
    <w:rsid w:val="00533D45"/>
    <w:rsid w:val="00536B39"/>
    <w:rsid w:val="005434B1"/>
    <w:rsid w:val="00543C04"/>
    <w:rsid w:val="00545818"/>
    <w:rsid w:val="00546064"/>
    <w:rsid w:val="005477B3"/>
    <w:rsid w:val="00551345"/>
    <w:rsid w:val="00552051"/>
    <w:rsid w:val="0055359E"/>
    <w:rsid w:val="005629B8"/>
    <w:rsid w:val="00566D2B"/>
    <w:rsid w:val="00567CC6"/>
    <w:rsid w:val="00570E90"/>
    <w:rsid w:val="00571C56"/>
    <w:rsid w:val="00580CA7"/>
    <w:rsid w:val="00591071"/>
    <w:rsid w:val="005910F3"/>
    <w:rsid w:val="005919E7"/>
    <w:rsid w:val="00593314"/>
    <w:rsid w:val="00595B07"/>
    <w:rsid w:val="00596B85"/>
    <w:rsid w:val="005A4AD6"/>
    <w:rsid w:val="005A64B1"/>
    <w:rsid w:val="005B0110"/>
    <w:rsid w:val="005B0C48"/>
    <w:rsid w:val="005B3068"/>
    <w:rsid w:val="005B5362"/>
    <w:rsid w:val="005C0505"/>
    <w:rsid w:val="005C064B"/>
    <w:rsid w:val="005C086C"/>
    <w:rsid w:val="005C6ABA"/>
    <w:rsid w:val="005D33F9"/>
    <w:rsid w:val="005D5B71"/>
    <w:rsid w:val="005D60D3"/>
    <w:rsid w:val="005D6472"/>
    <w:rsid w:val="005E2D8A"/>
    <w:rsid w:val="005E5047"/>
    <w:rsid w:val="005E68D9"/>
    <w:rsid w:val="005F22C3"/>
    <w:rsid w:val="005F761F"/>
    <w:rsid w:val="0060202D"/>
    <w:rsid w:val="00603FCE"/>
    <w:rsid w:val="0060430A"/>
    <w:rsid w:val="0061605A"/>
    <w:rsid w:val="00617AB2"/>
    <w:rsid w:val="00623A2E"/>
    <w:rsid w:val="00634DDE"/>
    <w:rsid w:val="00635CBA"/>
    <w:rsid w:val="00636201"/>
    <w:rsid w:val="006478AB"/>
    <w:rsid w:val="006529F8"/>
    <w:rsid w:val="0065551F"/>
    <w:rsid w:val="00656A6D"/>
    <w:rsid w:val="0066476F"/>
    <w:rsid w:val="00665BA3"/>
    <w:rsid w:val="006709CB"/>
    <w:rsid w:val="006719F3"/>
    <w:rsid w:val="00674048"/>
    <w:rsid w:val="00685508"/>
    <w:rsid w:val="00685994"/>
    <w:rsid w:val="00687EBF"/>
    <w:rsid w:val="00696CA7"/>
    <w:rsid w:val="006A2185"/>
    <w:rsid w:val="006A36BA"/>
    <w:rsid w:val="006B643A"/>
    <w:rsid w:val="006C286C"/>
    <w:rsid w:val="006C62F8"/>
    <w:rsid w:val="006C73B2"/>
    <w:rsid w:val="006C7FD5"/>
    <w:rsid w:val="006D002B"/>
    <w:rsid w:val="006D0F94"/>
    <w:rsid w:val="006D5805"/>
    <w:rsid w:val="006D5F10"/>
    <w:rsid w:val="006F18F7"/>
    <w:rsid w:val="006F4210"/>
    <w:rsid w:val="006F4739"/>
    <w:rsid w:val="006F677F"/>
    <w:rsid w:val="007078BD"/>
    <w:rsid w:val="0071140C"/>
    <w:rsid w:val="00714095"/>
    <w:rsid w:val="00723F3C"/>
    <w:rsid w:val="00734F6C"/>
    <w:rsid w:val="0073622A"/>
    <w:rsid w:val="00740692"/>
    <w:rsid w:val="007411D5"/>
    <w:rsid w:val="00741B35"/>
    <w:rsid w:val="00741F97"/>
    <w:rsid w:val="00743A8F"/>
    <w:rsid w:val="007442B4"/>
    <w:rsid w:val="00744315"/>
    <w:rsid w:val="00746382"/>
    <w:rsid w:val="00747650"/>
    <w:rsid w:val="00751088"/>
    <w:rsid w:val="00756A8B"/>
    <w:rsid w:val="00770CDB"/>
    <w:rsid w:val="00774B70"/>
    <w:rsid w:val="00775119"/>
    <w:rsid w:val="00785CB9"/>
    <w:rsid w:val="00786FBB"/>
    <w:rsid w:val="00792D58"/>
    <w:rsid w:val="007A03EC"/>
    <w:rsid w:val="007C0A6D"/>
    <w:rsid w:val="007C3634"/>
    <w:rsid w:val="007D2026"/>
    <w:rsid w:val="007E3952"/>
    <w:rsid w:val="007E3C15"/>
    <w:rsid w:val="007E57AC"/>
    <w:rsid w:val="007E7A2A"/>
    <w:rsid w:val="007F387E"/>
    <w:rsid w:val="007F668D"/>
    <w:rsid w:val="007F7F8F"/>
    <w:rsid w:val="00801753"/>
    <w:rsid w:val="00802D85"/>
    <w:rsid w:val="00811EDB"/>
    <w:rsid w:val="00812EB4"/>
    <w:rsid w:val="008132AB"/>
    <w:rsid w:val="00816163"/>
    <w:rsid w:val="00820DE4"/>
    <w:rsid w:val="008212F4"/>
    <w:rsid w:val="0082260F"/>
    <w:rsid w:val="00823E01"/>
    <w:rsid w:val="00823E51"/>
    <w:rsid w:val="0083067F"/>
    <w:rsid w:val="00832AB8"/>
    <w:rsid w:val="00834ECE"/>
    <w:rsid w:val="00840CAB"/>
    <w:rsid w:val="00845664"/>
    <w:rsid w:val="00845800"/>
    <w:rsid w:val="00850A7C"/>
    <w:rsid w:val="008541C6"/>
    <w:rsid w:val="008547C6"/>
    <w:rsid w:val="00871EDF"/>
    <w:rsid w:val="00872111"/>
    <w:rsid w:val="00873B22"/>
    <w:rsid w:val="008822BB"/>
    <w:rsid w:val="0088378E"/>
    <w:rsid w:val="00885443"/>
    <w:rsid w:val="00886B11"/>
    <w:rsid w:val="00892200"/>
    <w:rsid w:val="008979C5"/>
    <w:rsid w:val="00897C8C"/>
    <w:rsid w:val="008A4326"/>
    <w:rsid w:val="008A4C92"/>
    <w:rsid w:val="008A5E2E"/>
    <w:rsid w:val="008D367B"/>
    <w:rsid w:val="008E2FF9"/>
    <w:rsid w:val="008E6615"/>
    <w:rsid w:val="008E6771"/>
    <w:rsid w:val="008E7DD4"/>
    <w:rsid w:val="008F1A11"/>
    <w:rsid w:val="008F30F7"/>
    <w:rsid w:val="008F4728"/>
    <w:rsid w:val="008F5910"/>
    <w:rsid w:val="00900DCD"/>
    <w:rsid w:val="009142FB"/>
    <w:rsid w:val="00925428"/>
    <w:rsid w:val="00926AD6"/>
    <w:rsid w:val="009304EE"/>
    <w:rsid w:val="00931640"/>
    <w:rsid w:val="009316A3"/>
    <w:rsid w:val="00933F9C"/>
    <w:rsid w:val="00935009"/>
    <w:rsid w:val="009354C1"/>
    <w:rsid w:val="00941ED8"/>
    <w:rsid w:val="00943CB8"/>
    <w:rsid w:val="009551D8"/>
    <w:rsid w:val="00956357"/>
    <w:rsid w:val="00967A3C"/>
    <w:rsid w:val="00970F91"/>
    <w:rsid w:val="00975804"/>
    <w:rsid w:val="00980A12"/>
    <w:rsid w:val="009878DB"/>
    <w:rsid w:val="00992D8D"/>
    <w:rsid w:val="009930C9"/>
    <w:rsid w:val="00993D26"/>
    <w:rsid w:val="00993ECE"/>
    <w:rsid w:val="009968AB"/>
    <w:rsid w:val="009970AE"/>
    <w:rsid w:val="009A1D90"/>
    <w:rsid w:val="009A476D"/>
    <w:rsid w:val="009A684F"/>
    <w:rsid w:val="009B34D5"/>
    <w:rsid w:val="009B5E98"/>
    <w:rsid w:val="009B69D0"/>
    <w:rsid w:val="009C06A0"/>
    <w:rsid w:val="009C1FA6"/>
    <w:rsid w:val="009C3EF8"/>
    <w:rsid w:val="009C4093"/>
    <w:rsid w:val="009C54A3"/>
    <w:rsid w:val="009D029A"/>
    <w:rsid w:val="009D13E9"/>
    <w:rsid w:val="009D1963"/>
    <w:rsid w:val="009D5462"/>
    <w:rsid w:val="009E0F18"/>
    <w:rsid w:val="009E37CE"/>
    <w:rsid w:val="009E4F07"/>
    <w:rsid w:val="009F146D"/>
    <w:rsid w:val="009F274B"/>
    <w:rsid w:val="009F4426"/>
    <w:rsid w:val="009F4CB5"/>
    <w:rsid w:val="009F5F6B"/>
    <w:rsid w:val="00A0227F"/>
    <w:rsid w:val="00A026FF"/>
    <w:rsid w:val="00A04C3D"/>
    <w:rsid w:val="00A10337"/>
    <w:rsid w:val="00A10AAC"/>
    <w:rsid w:val="00A11436"/>
    <w:rsid w:val="00A126B5"/>
    <w:rsid w:val="00A223EC"/>
    <w:rsid w:val="00A25273"/>
    <w:rsid w:val="00A3078A"/>
    <w:rsid w:val="00A33A09"/>
    <w:rsid w:val="00A378C8"/>
    <w:rsid w:val="00A42D8D"/>
    <w:rsid w:val="00A46AF7"/>
    <w:rsid w:val="00A46C8A"/>
    <w:rsid w:val="00A47D00"/>
    <w:rsid w:val="00A526DC"/>
    <w:rsid w:val="00A53681"/>
    <w:rsid w:val="00A543B2"/>
    <w:rsid w:val="00A63501"/>
    <w:rsid w:val="00A64926"/>
    <w:rsid w:val="00A6732D"/>
    <w:rsid w:val="00A7224D"/>
    <w:rsid w:val="00A72E7B"/>
    <w:rsid w:val="00A77CEA"/>
    <w:rsid w:val="00A8772F"/>
    <w:rsid w:val="00A921B0"/>
    <w:rsid w:val="00A9345F"/>
    <w:rsid w:val="00A954A9"/>
    <w:rsid w:val="00A95AD8"/>
    <w:rsid w:val="00AB6295"/>
    <w:rsid w:val="00AC1099"/>
    <w:rsid w:val="00AC1EBF"/>
    <w:rsid w:val="00AC241F"/>
    <w:rsid w:val="00AC4023"/>
    <w:rsid w:val="00AC6345"/>
    <w:rsid w:val="00AC6AD6"/>
    <w:rsid w:val="00AC74CE"/>
    <w:rsid w:val="00AC782D"/>
    <w:rsid w:val="00AD0A72"/>
    <w:rsid w:val="00AD1CF7"/>
    <w:rsid w:val="00AD1E0A"/>
    <w:rsid w:val="00AD29AA"/>
    <w:rsid w:val="00AD35A2"/>
    <w:rsid w:val="00AD3775"/>
    <w:rsid w:val="00AE4F0C"/>
    <w:rsid w:val="00AF0996"/>
    <w:rsid w:val="00AF1042"/>
    <w:rsid w:val="00AF42D3"/>
    <w:rsid w:val="00AF464F"/>
    <w:rsid w:val="00AF5935"/>
    <w:rsid w:val="00AF5A9F"/>
    <w:rsid w:val="00B02522"/>
    <w:rsid w:val="00B05B50"/>
    <w:rsid w:val="00B0773C"/>
    <w:rsid w:val="00B10642"/>
    <w:rsid w:val="00B16438"/>
    <w:rsid w:val="00B169BB"/>
    <w:rsid w:val="00B176B0"/>
    <w:rsid w:val="00B203F3"/>
    <w:rsid w:val="00B2279F"/>
    <w:rsid w:val="00B22943"/>
    <w:rsid w:val="00B3438B"/>
    <w:rsid w:val="00B433CD"/>
    <w:rsid w:val="00B65F12"/>
    <w:rsid w:val="00B701B6"/>
    <w:rsid w:val="00B7201D"/>
    <w:rsid w:val="00B81974"/>
    <w:rsid w:val="00B83A05"/>
    <w:rsid w:val="00B84092"/>
    <w:rsid w:val="00B8433D"/>
    <w:rsid w:val="00B864F0"/>
    <w:rsid w:val="00B8659C"/>
    <w:rsid w:val="00B902F7"/>
    <w:rsid w:val="00B935A4"/>
    <w:rsid w:val="00B968DF"/>
    <w:rsid w:val="00B978A3"/>
    <w:rsid w:val="00BA49CF"/>
    <w:rsid w:val="00BB4058"/>
    <w:rsid w:val="00BD1271"/>
    <w:rsid w:val="00BE0BFE"/>
    <w:rsid w:val="00BE42A4"/>
    <w:rsid w:val="00BF2D91"/>
    <w:rsid w:val="00BF3048"/>
    <w:rsid w:val="00BF54D6"/>
    <w:rsid w:val="00BF7FD4"/>
    <w:rsid w:val="00C01500"/>
    <w:rsid w:val="00C072B6"/>
    <w:rsid w:val="00C11786"/>
    <w:rsid w:val="00C12A5F"/>
    <w:rsid w:val="00C133E4"/>
    <w:rsid w:val="00C14D93"/>
    <w:rsid w:val="00C22F25"/>
    <w:rsid w:val="00C22FC4"/>
    <w:rsid w:val="00C23B3F"/>
    <w:rsid w:val="00C36CF4"/>
    <w:rsid w:val="00C37871"/>
    <w:rsid w:val="00C50065"/>
    <w:rsid w:val="00C52704"/>
    <w:rsid w:val="00C54A21"/>
    <w:rsid w:val="00C56CD6"/>
    <w:rsid w:val="00C574BE"/>
    <w:rsid w:val="00C65348"/>
    <w:rsid w:val="00C65783"/>
    <w:rsid w:val="00C734EC"/>
    <w:rsid w:val="00C85C1E"/>
    <w:rsid w:val="00C8645A"/>
    <w:rsid w:val="00C87581"/>
    <w:rsid w:val="00C87F00"/>
    <w:rsid w:val="00C905EC"/>
    <w:rsid w:val="00C94BB0"/>
    <w:rsid w:val="00C961E5"/>
    <w:rsid w:val="00C96434"/>
    <w:rsid w:val="00CA38F9"/>
    <w:rsid w:val="00CA404B"/>
    <w:rsid w:val="00CA6818"/>
    <w:rsid w:val="00CB08C0"/>
    <w:rsid w:val="00CB2CB8"/>
    <w:rsid w:val="00CB345A"/>
    <w:rsid w:val="00CB7EBC"/>
    <w:rsid w:val="00CC081B"/>
    <w:rsid w:val="00CC35D5"/>
    <w:rsid w:val="00CC4543"/>
    <w:rsid w:val="00CD16B6"/>
    <w:rsid w:val="00CD3984"/>
    <w:rsid w:val="00CF03C3"/>
    <w:rsid w:val="00CF6652"/>
    <w:rsid w:val="00D047DC"/>
    <w:rsid w:val="00D05F5B"/>
    <w:rsid w:val="00D115FD"/>
    <w:rsid w:val="00D17379"/>
    <w:rsid w:val="00D21F93"/>
    <w:rsid w:val="00D2531A"/>
    <w:rsid w:val="00D277FE"/>
    <w:rsid w:val="00D31663"/>
    <w:rsid w:val="00D32BE6"/>
    <w:rsid w:val="00D36217"/>
    <w:rsid w:val="00D36820"/>
    <w:rsid w:val="00D4074D"/>
    <w:rsid w:val="00D41777"/>
    <w:rsid w:val="00D42366"/>
    <w:rsid w:val="00D448C2"/>
    <w:rsid w:val="00D5383D"/>
    <w:rsid w:val="00D53C2A"/>
    <w:rsid w:val="00D54C7F"/>
    <w:rsid w:val="00D55330"/>
    <w:rsid w:val="00D61BEA"/>
    <w:rsid w:val="00D62521"/>
    <w:rsid w:val="00D71467"/>
    <w:rsid w:val="00D719C7"/>
    <w:rsid w:val="00D71C75"/>
    <w:rsid w:val="00D77606"/>
    <w:rsid w:val="00D90892"/>
    <w:rsid w:val="00D90B4C"/>
    <w:rsid w:val="00D91766"/>
    <w:rsid w:val="00D9232D"/>
    <w:rsid w:val="00D9601E"/>
    <w:rsid w:val="00DA0716"/>
    <w:rsid w:val="00DA241B"/>
    <w:rsid w:val="00DA3530"/>
    <w:rsid w:val="00DA55D6"/>
    <w:rsid w:val="00DA7C44"/>
    <w:rsid w:val="00DB1B17"/>
    <w:rsid w:val="00DB278C"/>
    <w:rsid w:val="00DB316A"/>
    <w:rsid w:val="00DC3A6C"/>
    <w:rsid w:val="00DC3C8A"/>
    <w:rsid w:val="00DD0B42"/>
    <w:rsid w:val="00DD5989"/>
    <w:rsid w:val="00DE73A5"/>
    <w:rsid w:val="00DF1768"/>
    <w:rsid w:val="00DF4396"/>
    <w:rsid w:val="00DF4F9C"/>
    <w:rsid w:val="00E00158"/>
    <w:rsid w:val="00E0096A"/>
    <w:rsid w:val="00E01C59"/>
    <w:rsid w:val="00E030AB"/>
    <w:rsid w:val="00E04F91"/>
    <w:rsid w:val="00E14FDC"/>
    <w:rsid w:val="00E21FDB"/>
    <w:rsid w:val="00E25129"/>
    <w:rsid w:val="00E30891"/>
    <w:rsid w:val="00E34D9C"/>
    <w:rsid w:val="00E36DD3"/>
    <w:rsid w:val="00E40ECD"/>
    <w:rsid w:val="00E46B6D"/>
    <w:rsid w:val="00E527C7"/>
    <w:rsid w:val="00E54163"/>
    <w:rsid w:val="00E610FD"/>
    <w:rsid w:val="00E649BD"/>
    <w:rsid w:val="00E660A1"/>
    <w:rsid w:val="00E702C6"/>
    <w:rsid w:val="00E7274E"/>
    <w:rsid w:val="00E74390"/>
    <w:rsid w:val="00E760E8"/>
    <w:rsid w:val="00E80F92"/>
    <w:rsid w:val="00E86E82"/>
    <w:rsid w:val="00E8704A"/>
    <w:rsid w:val="00E90157"/>
    <w:rsid w:val="00E90659"/>
    <w:rsid w:val="00E952DC"/>
    <w:rsid w:val="00E9535A"/>
    <w:rsid w:val="00E97A42"/>
    <w:rsid w:val="00EA1868"/>
    <w:rsid w:val="00EA77C7"/>
    <w:rsid w:val="00EB3B38"/>
    <w:rsid w:val="00EC08D4"/>
    <w:rsid w:val="00EC10A6"/>
    <w:rsid w:val="00EC41D5"/>
    <w:rsid w:val="00ED5316"/>
    <w:rsid w:val="00ED5A45"/>
    <w:rsid w:val="00EE07B0"/>
    <w:rsid w:val="00EE4018"/>
    <w:rsid w:val="00EF4449"/>
    <w:rsid w:val="00EF50F3"/>
    <w:rsid w:val="00F11AF9"/>
    <w:rsid w:val="00F1229C"/>
    <w:rsid w:val="00F15923"/>
    <w:rsid w:val="00F17654"/>
    <w:rsid w:val="00F22F9A"/>
    <w:rsid w:val="00F232FD"/>
    <w:rsid w:val="00F37F21"/>
    <w:rsid w:val="00F46171"/>
    <w:rsid w:val="00F46B0C"/>
    <w:rsid w:val="00F47121"/>
    <w:rsid w:val="00F478E5"/>
    <w:rsid w:val="00F50993"/>
    <w:rsid w:val="00F5636F"/>
    <w:rsid w:val="00F607C0"/>
    <w:rsid w:val="00F65A85"/>
    <w:rsid w:val="00F7329F"/>
    <w:rsid w:val="00F7693B"/>
    <w:rsid w:val="00F80202"/>
    <w:rsid w:val="00F81FB1"/>
    <w:rsid w:val="00F901E7"/>
    <w:rsid w:val="00F92581"/>
    <w:rsid w:val="00FA040A"/>
    <w:rsid w:val="00FA084E"/>
    <w:rsid w:val="00FA4282"/>
    <w:rsid w:val="00FA5CB4"/>
    <w:rsid w:val="00FA6BCC"/>
    <w:rsid w:val="00FB089A"/>
    <w:rsid w:val="00FB2E44"/>
    <w:rsid w:val="00FC09D7"/>
    <w:rsid w:val="00FC1187"/>
    <w:rsid w:val="00FC5B86"/>
    <w:rsid w:val="00FD0E09"/>
    <w:rsid w:val="00FD6C16"/>
    <w:rsid w:val="00FE3690"/>
    <w:rsid w:val="00FE4D46"/>
    <w:rsid w:val="00FE64D4"/>
    <w:rsid w:val="00FF02FC"/>
    <w:rsid w:val="00FF63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FE9112"/>
  <w15:chartTrackingRefBased/>
  <w15:docId w15:val="{59381D03-B000-5B43-977C-D3D3004E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3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535A"/>
    <w:rPr>
      <w:rFonts w:ascii="Times New Roman" w:hAnsi="Times New Roman" w:cs="Times New Roman"/>
      <w:sz w:val="18"/>
      <w:szCs w:val="18"/>
    </w:rPr>
  </w:style>
  <w:style w:type="character" w:styleId="Hyperlink">
    <w:name w:val="Hyperlink"/>
    <w:basedOn w:val="DefaultParagraphFont"/>
    <w:uiPriority w:val="99"/>
    <w:unhideWhenUsed/>
    <w:rsid w:val="009B5E98"/>
    <w:rPr>
      <w:color w:val="0563C1"/>
      <w:u w:val="single"/>
    </w:rPr>
  </w:style>
  <w:style w:type="paragraph" w:styleId="FootnoteText">
    <w:name w:val="footnote text"/>
    <w:basedOn w:val="Normal"/>
    <w:link w:val="FootnoteTextChar"/>
    <w:uiPriority w:val="99"/>
    <w:unhideWhenUsed/>
    <w:rsid w:val="009B5E98"/>
    <w:rPr>
      <w:sz w:val="20"/>
      <w:szCs w:val="20"/>
      <w:lang w:val="en-US"/>
    </w:rPr>
  </w:style>
  <w:style w:type="character" w:customStyle="1" w:styleId="FootnoteTextChar">
    <w:name w:val="Footnote Text Char"/>
    <w:basedOn w:val="DefaultParagraphFont"/>
    <w:link w:val="FootnoteText"/>
    <w:uiPriority w:val="99"/>
    <w:rsid w:val="009B5E98"/>
    <w:rPr>
      <w:sz w:val="20"/>
      <w:szCs w:val="20"/>
      <w:lang w:val="en-US"/>
    </w:rPr>
  </w:style>
  <w:style w:type="character" w:styleId="FootnoteReference">
    <w:name w:val="footnote reference"/>
    <w:basedOn w:val="DefaultParagraphFont"/>
    <w:uiPriority w:val="99"/>
    <w:semiHidden/>
    <w:unhideWhenUsed/>
    <w:rsid w:val="009B5E98"/>
    <w:rPr>
      <w:vertAlign w:val="superscript"/>
    </w:rPr>
  </w:style>
  <w:style w:type="paragraph" w:styleId="ListParagraph">
    <w:name w:val="List Paragraph"/>
    <w:basedOn w:val="Normal"/>
    <w:link w:val="ListParagraphChar"/>
    <w:uiPriority w:val="34"/>
    <w:qFormat/>
    <w:rsid w:val="00E030AB"/>
    <w:pPr>
      <w:ind w:left="720"/>
      <w:contextualSpacing/>
    </w:pPr>
  </w:style>
  <w:style w:type="character" w:customStyle="1" w:styleId="ListParagraphChar">
    <w:name w:val="List Paragraph Char"/>
    <w:basedOn w:val="DefaultParagraphFont"/>
    <w:link w:val="ListParagraph"/>
    <w:uiPriority w:val="34"/>
    <w:locked/>
    <w:rsid w:val="004C6675"/>
  </w:style>
  <w:style w:type="paragraph" w:styleId="BodyText">
    <w:name w:val="Body Text"/>
    <w:basedOn w:val="Normal"/>
    <w:link w:val="BodyTextChar"/>
    <w:uiPriority w:val="1"/>
    <w:unhideWhenUsed/>
    <w:qFormat/>
    <w:rsid w:val="00D91766"/>
    <w:pPr>
      <w:widowControl w:val="0"/>
      <w:autoSpaceDE w:val="0"/>
      <w:autoSpaceDN w:val="0"/>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D91766"/>
    <w:rPr>
      <w:rFonts w:ascii="Arial MT" w:eastAsia="Arial MT" w:hAnsi="Arial MT" w:cs="Arial MT"/>
      <w:sz w:val="22"/>
      <w:szCs w:val="22"/>
      <w:lang w:val="en-US"/>
    </w:rPr>
  </w:style>
  <w:style w:type="paragraph" w:styleId="NormalWeb">
    <w:name w:val="Normal (Web)"/>
    <w:basedOn w:val="Normal"/>
    <w:uiPriority w:val="99"/>
    <w:unhideWhenUsed/>
    <w:rsid w:val="000C7D2F"/>
    <w:pPr>
      <w:spacing w:before="100" w:beforeAutospacing="1" w:after="100" w:afterAutospacing="1"/>
    </w:pPr>
    <w:rPr>
      <w:rFonts w:ascii="Times New Roman" w:eastAsia="Times New Roman" w:hAnsi="Times New Roman" w:cs="Times New Roman"/>
      <w:lang w:eastAsia="it-IT"/>
    </w:rPr>
  </w:style>
  <w:style w:type="paragraph" w:customStyle="1" w:styleId="Default">
    <w:name w:val="Default"/>
    <w:rsid w:val="00373EAA"/>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9E0F18"/>
    <w:rPr>
      <w:sz w:val="16"/>
      <w:szCs w:val="16"/>
    </w:rPr>
  </w:style>
  <w:style w:type="paragraph" w:styleId="CommentText">
    <w:name w:val="annotation text"/>
    <w:basedOn w:val="Normal"/>
    <w:link w:val="CommentTextChar"/>
    <w:uiPriority w:val="99"/>
    <w:unhideWhenUsed/>
    <w:rsid w:val="009E0F18"/>
    <w:rPr>
      <w:sz w:val="20"/>
      <w:szCs w:val="20"/>
    </w:rPr>
  </w:style>
  <w:style w:type="character" w:customStyle="1" w:styleId="CommentTextChar">
    <w:name w:val="Comment Text Char"/>
    <w:basedOn w:val="DefaultParagraphFont"/>
    <w:link w:val="CommentText"/>
    <w:uiPriority w:val="99"/>
    <w:rsid w:val="009E0F18"/>
    <w:rPr>
      <w:sz w:val="20"/>
      <w:szCs w:val="20"/>
    </w:rPr>
  </w:style>
  <w:style w:type="paragraph" w:styleId="CommentSubject">
    <w:name w:val="annotation subject"/>
    <w:basedOn w:val="CommentText"/>
    <w:next w:val="CommentText"/>
    <w:link w:val="CommentSubjectChar"/>
    <w:uiPriority w:val="99"/>
    <w:semiHidden/>
    <w:unhideWhenUsed/>
    <w:rsid w:val="009E0F18"/>
    <w:rPr>
      <w:b/>
      <w:bCs/>
    </w:rPr>
  </w:style>
  <w:style w:type="character" w:customStyle="1" w:styleId="CommentSubjectChar">
    <w:name w:val="Comment Subject Char"/>
    <w:basedOn w:val="CommentTextChar"/>
    <w:link w:val="CommentSubject"/>
    <w:uiPriority w:val="99"/>
    <w:semiHidden/>
    <w:rsid w:val="009E0F18"/>
    <w:rPr>
      <w:b/>
      <w:bCs/>
      <w:sz w:val="20"/>
      <w:szCs w:val="20"/>
    </w:rPr>
  </w:style>
  <w:style w:type="table" w:styleId="TableGrid">
    <w:name w:val="Table Grid"/>
    <w:basedOn w:val="TableNormal"/>
    <w:uiPriority w:val="39"/>
    <w:rsid w:val="00FF63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45818"/>
    <w:rPr>
      <w:rFonts w:ascii="Times New Roman" w:hAnsi="Times New Roman" w:cs="Times New Roman"/>
      <w:color w:val="auto"/>
      <w:lang w:val="en-US"/>
    </w:rPr>
  </w:style>
  <w:style w:type="paragraph" w:customStyle="1" w:styleId="CM3">
    <w:name w:val="CM3"/>
    <w:basedOn w:val="Default"/>
    <w:next w:val="Default"/>
    <w:uiPriority w:val="99"/>
    <w:rsid w:val="00545818"/>
    <w:rPr>
      <w:rFonts w:ascii="Times New Roman" w:hAnsi="Times New Roman" w:cs="Times New Roman"/>
      <w:color w:val="auto"/>
      <w:lang w:val="en-US"/>
    </w:rPr>
  </w:style>
  <w:style w:type="paragraph" w:customStyle="1" w:styleId="CM4">
    <w:name w:val="CM4"/>
    <w:basedOn w:val="Default"/>
    <w:next w:val="Default"/>
    <w:uiPriority w:val="99"/>
    <w:rsid w:val="00E46B6D"/>
    <w:rPr>
      <w:rFonts w:ascii="Times New Roman" w:hAnsi="Times New Roman" w:cs="Times New Roman"/>
      <w:color w:val="auto"/>
      <w:lang w:val="en-US"/>
    </w:rPr>
  </w:style>
  <w:style w:type="paragraph" w:styleId="Header">
    <w:name w:val="header"/>
    <w:basedOn w:val="Normal"/>
    <w:link w:val="HeaderChar"/>
    <w:uiPriority w:val="99"/>
    <w:unhideWhenUsed/>
    <w:rsid w:val="00F81FB1"/>
    <w:pPr>
      <w:tabs>
        <w:tab w:val="center" w:pos="4513"/>
        <w:tab w:val="right" w:pos="9026"/>
      </w:tabs>
    </w:pPr>
  </w:style>
  <w:style w:type="character" w:customStyle="1" w:styleId="HeaderChar">
    <w:name w:val="Header Char"/>
    <w:basedOn w:val="DefaultParagraphFont"/>
    <w:link w:val="Header"/>
    <w:uiPriority w:val="99"/>
    <w:rsid w:val="00F81FB1"/>
  </w:style>
  <w:style w:type="paragraph" w:styleId="Footer">
    <w:name w:val="footer"/>
    <w:basedOn w:val="Normal"/>
    <w:link w:val="FooterChar"/>
    <w:uiPriority w:val="99"/>
    <w:unhideWhenUsed/>
    <w:rsid w:val="00F81FB1"/>
    <w:pPr>
      <w:tabs>
        <w:tab w:val="center" w:pos="4513"/>
        <w:tab w:val="right" w:pos="9026"/>
      </w:tabs>
    </w:pPr>
  </w:style>
  <w:style w:type="character" w:customStyle="1" w:styleId="FooterChar">
    <w:name w:val="Footer Char"/>
    <w:basedOn w:val="DefaultParagraphFont"/>
    <w:link w:val="Footer"/>
    <w:uiPriority w:val="99"/>
    <w:rsid w:val="00F81FB1"/>
  </w:style>
  <w:style w:type="paragraph" w:styleId="Revision">
    <w:name w:val="Revision"/>
    <w:hidden/>
    <w:uiPriority w:val="99"/>
    <w:semiHidden/>
    <w:rsid w:val="0060202D"/>
  </w:style>
  <w:style w:type="character" w:styleId="UnresolvedMention">
    <w:name w:val="Unresolved Mention"/>
    <w:basedOn w:val="DefaultParagraphFont"/>
    <w:uiPriority w:val="99"/>
    <w:semiHidden/>
    <w:unhideWhenUsed/>
    <w:rsid w:val="00E702C6"/>
    <w:rPr>
      <w:color w:val="605E5C"/>
      <w:shd w:val="clear" w:color="auto" w:fill="E1DFDD"/>
    </w:rPr>
  </w:style>
  <w:style w:type="character" w:styleId="FollowedHyperlink">
    <w:name w:val="FollowedHyperlink"/>
    <w:basedOn w:val="DefaultParagraphFont"/>
    <w:uiPriority w:val="99"/>
    <w:semiHidden/>
    <w:unhideWhenUsed/>
    <w:rsid w:val="001D27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90587">
      <w:bodyDiv w:val="1"/>
      <w:marLeft w:val="0"/>
      <w:marRight w:val="0"/>
      <w:marTop w:val="0"/>
      <w:marBottom w:val="0"/>
      <w:divBdr>
        <w:top w:val="none" w:sz="0" w:space="0" w:color="auto"/>
        <w:left w:val="none" w:sz="0" w:space="0" w:color="auto"/>
        <w:bottom w:val="none" w:sz="0" w:space="0" w:color="auto"/>
        <w:right w:val="none" w:sz="0" w:space="0" w:color="auto"/>
      </w:divBdr>
    </w:div>
    <w:div w:id="547838848">
      <w:bodyDiv w:val="1"/>
      <w:marLeft w:val="0"/>
      <w:marRight w:val="0"/>
      <w:marTop w:val="0"/>
      <w:marBottom w:val="0"/>
      <w:divBdr>
        <w:top w:val="none" w:sz="0" w:space="0" w:color="auto"/>
        <w:left w:val="none" w:sz="0" w:space="0" w:color="auto"/>
        <w:bottom w:val="none" w:sz="0" w:space="0" w:color="auto"/>
        <w:right w:val="none" w:sz="0" w:space="0" w:color="auto"/>
      </w:divBdr>
    </w:div>
    <w:div w:id="1040470205">
      <w:bodyDiv w:val="1"/>
      <w:marLeft w:val="0"/>
      <w:marRight w:val="0"/>
      <w:marTop w:val="0"/>
      <w:marBottom w:val="0"/>
      <w:divBdr>
        <w:top w:val="none" w:sz="0" w:space="0" w:color="auto"/>
        <w:left w:val="none" w:sz="0" w:space="0" w:color="auto"/>
        <w:bottom w:val="none" w:sz="0" w:space="0" w:color="auto"/>
        <w:right w:val="none" w:sz="0" w:space="0" w:color="auto"/>
      </w:divBdr>
    </w:div>
    <w:div w:id="194125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health/system/files/2021-05/2021-1_guidance-administrative-practices_en_0.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C1233-CFDB-49C3-89D5-C175E263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2405</Words>
  <Characters>19486</Characters>
  <Application>Microsoft Office Word</Application>
  <DocSecurity>0</DocSecurity>
  <Lines>162</Lines>
  <Paragraphs>43</Paragraphs>
  <ScaleCrop>false</ScaleCrop>
  <HeadingPairs>
    <vt:vector size="6" baseType="variant">
      <vt:variant>
        <vt:lpstr>Title</vt:lpstr>
      </vt:variant>
      <vt:variant>
        <vt:i4>1</vt:i4>
      </vt:variant>
      <vt:variant>
        <vt:lpstr>Titolo</vt:lpstr>
      </vt:variant>
      <vt:variant>
        <vt:i4>1</vt:i4>
      </vt:variant>
      <vt:variant>
        <vt:lpstr>Otsikko</vt:lpstr>
      </vt:variant>
      <vt:variant>
        <vt:i4>1</vt:i4>
      </vt:variant>
    </vt:vector>
  </HeadingPairs>
  <TitlesOfParts>
    <vt:vector size="3" baseType="lpstr">
      <vt:lpstr/>
      <vt:lpstr/>
      <vt:lpstr/>
    </vt:vector>
  </TitlesOfParts>
  <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Vainiola Tarja</cp:lastModifiedBy>
  <cp:revision>7</cp:revision>
  <dcterms:created xsi:type="dcterms:W3CDTF">2022-06-21T08:02:00Z</dcterms:created>
  <dcterms:modified xsi:type="dcterms:W3CDTF">2022-06-23T08:42:00Z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2022-02-25T19:37:48Z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12e370fa-3418-481b-8294-5ddd8f701c7b</vt:lpwstr>
  </property>
  <property fmtid="{D5CDD505-2E9C-101B-9397-08002B2CF9AE}" pid="8" name="MSIP_Label_7f850223-87a8-40c3-9eb2-432606efca2a_ContentBits">
    <vt:lpwstr>0</vt:lpwstr>
  </property>
</Properties>
</file>