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AD6825" w14:textId="77777777" w:rsidR="005148B8" w:rsidRDefault="005148B8"/>
    <w:p w14:paraId="5181080A" w14:textId="67252BD3" w:rsidR="001E3B76" w:rsidRPr="001E3B76" w:rsidRDefault="001E3B76" w:rsidP="00867ADE">
      <w:pPr>
        <w:jc w:val="both"/>
        <w:rPr>
          <w:b/>
          <w:sz w:val="24"/>
        </w:rPr>
      </w:pPr>
      <w:r w:rsidRPr="001E3B76">
        <w:rPr>
          <w:b/>
          <w:sz w:val="32"/>
        </w:rPr>
        <w:t xml:space="preserve">Guidance on appropriate surveillance </w:t>
      </w:r>
      <w:r w:rsidR="00F06711" w:rsidRPr="00F06711">
        <w:rPr>
          <w:b/>
          <w:sz w:val="32"/>
        </w:rPr>
        <w:t>regarding the transitional provision</w:t>
      </w:r>
      <w:r w:rsidR="00F06711">
        <w:rPr>
          <w:b/>
          <w:sz w:val="32"/>
        </w:rPr>
        <w:t>s</w:t>
      </w:r>
      <w:r w:rsidR="00F06711" w:rsidRPr="00F06711">
        <w:rPr>
          <w:b/>
          <w:sz w:val="32"/>
        </w:rPr>
        <w:t xml:space="preserve"> under Article 120 of the MDR with regard to devices covered by certificates according to </w:t>
      </w:r>
      <w:r w:rsidR="00AA6605">
        <w:rPr>
          <w:b/>
          <w:sz w:val="32"/>
        </w:rPr>
        <w:t xml:space="preserve">the </w:t>
      </w:r>
      <w:r w:rsidR="00F06711" w:rsidRPr="00F06711">
        <w:rPr>
          <w:b/>
          <w:sz w:val="32"/>
        </w:rPr>
        <w:t xml:space="preserve">MDD or </w:t>
      </w:r>
      <w:r w:rsidR="00AA6605">
        <w:rPr>
          <w:b/>
          <w:sz w:val="32"/>
        </w:rPr>
        <w:t xml:space="preserve">the </w:t>
      </w:r>
      <w:r w:rsidR="00F06711" w:rsidRPr="00F06711">
        <w:rPr>
          <w:b/>
          <w:sz w:val="32"/>
        </w:rPr>
        <w:t>AIMDD</w:t>
      </w:r>
      <w:r w:rsidRPr="001E3B76">
        <w:rPr>
          <w:b/>
          <w:sz w:val="24"/>
        </w:rPr>
        <w:t xml:space="preserve"> </w:t>
      </w:r>
    </w:p>
    <w:p w14:paraId="5E1E551B" w14:textId="77777777" w:rsidR="001E3B76" w:rsidRPr="00765231" w:rsidRDefault="004B1701" w:rsidP="00F66002">
      <w:pPr>
        <w:pStyle w:val="ListParagraph"/>
        <w:numPr>
          <w:ilvl w:val="0"/>
          <w:numId w:val="18"/>
        </w:numPr>
        <w:spacing w:before="360" w:after="120"/>
        <w:ind w:left="425" w:hanging="425"/>
        <w:jc w:val="both"/>
        <w:rPr>
          <w:b/>
          <w:sz w:val="28"/>
        </w:rPr>
      </w:pPr>
      <w:r w:rsidRPr="00765231">
        <w:rPr>
          <w:b/>
          <w:sz w:val="28"/>
        </w:rPr>
        <w:t>Introduction</w:t>
      </w:r>
    </w:p>
    <w:p w14:paraId="27B62188" w14:textId="515B93F7" w:rsidR="004B1701" w:rsidRDefault="00867ADE" w:rsidP="00867ADE">
      <w:pPr>
        <w:jc w:val="both"/>
        <w:rPr>
          <w:sz w:val="24"/>
        </w:rPr>
      </w:pPr>
      <w:r w:rsidRPr="00867ADE">
        <w:rPr>
          <w:sz w:val="24"/>
        </w:rPr>
        <w:t xml:space="preserve">Article 120(2) and 120(3) of the Medical Device Regulation (EU) 2017/745 (MDR) state that devices which have a valid certificate issued by a notified body under the Active Implantable Medical Devices Directive 90/385/EEC (AIMDD) or the Medical Devices Directive 93/42/EEC (MDD) may be placed on the market or put into service after the date of application of the MDR under certain conditions and no later than 26 May 2024. </w:t>
      </w:r>
    </w:p>
    <w:p w14:paraId="11311C86" w14:textId="0972DA19" w:rsidR="00867ADE" w:rsidRPr="004B1701" w:rsidRDefault="00F42CB3" w:rsidP="00867ADE">
      <w:pPr>
        <w:jc w:val="both"/>
        <w:rPr>
          <w:sz w:val="24"/>
        </w:rPr>
      </w:pPr>
      <w:r>
        <w:rPr>
          <w:sz w:val="24"/>
        </w:rPr>
        <w:t xml:space="preserve">Conditions referred to above require that the </w:t>
      </w:r>
      <w:r w:rsidRPr="00F42CB3">
        <w:rPr>
          <w:sz w:val="24"/>
        </w:rPr>
        <w:t xml:space="preserve">notified body that issued the certificate </w:t>
      </w:r>
      <w:r>
        <w:rPr>
          <w:sz w:val="24"/>
        </w:rPr>
        <w:t>under the MDD</w:t>
      </w:r>
      <w:r w:rsidR="00AA6605">
        <w:rPr>
          <w:sz w:val="24"/>
        </w:rPr>
        <w:t xml:space="preserve"> or the </w:t>
      </w:r>
      <w:r>
        <w:rPr>
          <w:sz w:val="24"/>
        </w:rPr>
        <w:t>AIMDD</w:t>
      </w:r>
      <w:r w:rsidRPr="00F42CB3">
        <w:rPr>
          <w:sz w:val="24"/>
        </w:rPr>
        <w:t xml:space="preserve"> continue</w:t>
      </w:r>
      <w:r w:rsidR="00FA1CE7">
        <w:rPr>
          <w:sz w:val="24"/>
        </w:rPr>
        <w:t>s</w:t>
      </w:r>
      <w:r w:rsidRPr="00F42CB3">
        <w:rPr>
          <w:sz w:val="24"/>
        </w:rPr>
        <w:t xml:space="preserve"> </w:t>
      </w:r>
      <w:r w:rsidR="00FA1CE7">
        <w:rPr>
          <w:sz w:val="24"/>
        </w:rPr>
        <w:t xml:space="preserve">carrying out </w:t>
      </w:r>
      <w:r w:rsidRPr="00F42CB3">
        <w:rPr>
          <w:sz w:val="24"/>
        </w:rPr>
        <w:t>appropriate surveillance in respect of all of the applicable requirements relating to the devices it has certified.</w:t>
      </w:r>
      <w:r>
        <w:rPr>
          <w:sz w:val="24"/>
        </w:rPr>
        <w:t xml:space="preserve"> Therefore, it is important for </w:t>
      </w:r>
      <w:r w:rsidR="0046429F">
        <w:rPr>
          <w:sz w:val="24"/>
        </w:rPr>
        <w:t xml:space="preserve">manufacturers, </w:t>
      </w:r>
      <w:r>
        <w:rPr>
          <w:sz w:val="24"/>
        </w:rPr>
        <w:t xml:space="preserve">notified bodies </w:t>
      </w:r>
      <w:r w:rsidR="00FA1CE7">
        <w:rPr>
          <w:sz w:val="24"/>
        </w:rPr>
        <w:t xml:space="preserve">and </w:t>
      </w:r>
      <w:r w:rsidR="0046429F">
        <w:rPr>
          <w:sz w:val="24"/>
        </w:rPr>
        <w:t xml:space="preserve">national </w:t>
      </w:r>
      <w:r w:rsidR="00FA1CE7">
        <w:rPr>
          <w:sz w:val="24"/>
        </w:rPr>
        <w:t xml:space="preserve">authorities </w:t>
      </w:r>
      <w:r>
        <w:rPr>
          <w:sz w:val="24"/>
        </w:rPr>
        <w:t>to get clarity on activities to be part of the appropriate surveillance referred to in Article 120(3) of the MDR.</w:t>
      </w:r>
    </w:p>
    <w:p w14:paraId="24200A69" w14:textId="1625AA68" w:rsidR="004B1701" w:rsidRDefault="00F06711" w:rsidP="00867ADE">
      <w:pPr>
        <w:jc w:val="both"/>
        <w:rPr>
          <w:sz w:val="24"/>
        </w:rPr>
      </w:pPr>
      <w:r>
        <w:rPr>
          <w:sz w:val="24"/>
        </w:rPr>
        <w:t>To appropriately address application of transitional provisions to devices covered by certificates according to MDD</w:t>
      </w:r>
      <w:r w:rsidR="00AA6605">
        <w:rPr>
          <w:sz w:val="24"/>
        </w:rPr>
        <w:t xml:space="preserve"> or the </w:t>
      </w:r>
      <w:r>
        <w:rPr>
          <w:sz w:val="24"/>
        </w:rPr>
        <w:t>AIMDD,</w:t>
      </w:r>
      <w:r w:rsidRPr="00F06711">
        <w:rPr>
          <w:sz w:val="24"/>
        </w:rPr>
        <w:t xml:space="preserve"> </w:t>
      </w:r>
      <w:r>
        <w:rPr>
          <w:sz w:val="24"/>
        </w:rPr>
        <w:t>this guidance should be read in conjunction with guidance MDCG 2020-3 on significant changes</w:t>
      </w:r>
      <w:r w:rsidR="00200E44">
        <w:rPr>
          <w:rStyle w:val="FootnoteReference"/>
          <w:sz w:val="24"/>
        </w:rPr>
        <w:footnoteReference w:id="1"/>
      </w:r>
      <w:r>
        <w:rPr>
          <w:sz w:val="24"/>
        </w:rPr>
        <w:t>.</w:t>
      </w:r>
    </w:p>
    <w:p w14:paraId="61199FEA" w14:textId="4DA57EE8" w:rsidR="0085594C" w:rsidRDefault="0085594C" w:rsidP="0085594C">
      <w:pPr>
        <w:jc w:val="both"/>
        <w:rPr>
          <w:sz w:val="24"/>
          <w:szCs w:val="24"/>
        </w:rPr>
      </w:pPr>
      <w:r>
        <w:rPr>
          <w:sz w:val="24"/>
          <w:szCs w:val="24"/>
        </w:rPr>
        <w:t xml:space="preserve">Article 110(3) of Regulation (EU) 2017/746 (IVDR) is outside the scope of this guidance document. However, principles outlined in the text and that are common between EU legislations for medical devices and </w:t>
      </w:r>
      <w:r w:rsidRPr="003870B6">
        <w:rPr>
          <w:i/>
          <w:sz w:val="24"/>
          <w:szCs w:val="24"/>
        </w:rPr>
        <w:t>in-vitro</w:t>
      </w:r>
      <w:r>
        <w:rPr>
          <w:sz w:val="24"/>
          <w:szCs w:val="24"/>
        </w:rPr>
        <w:t xml:space="preserve"> diagnostic medical devices may be applied also for activities to be performed by notified bodies according to Article 110(3) of the IVDR.</w:t>
      </w:r>
    </w:p>
    <w:p w14:paraId="610262EB" w14:textId="2A2DA5BD" w:rsidR="003827C6" w:rsidRPr="003870B6" w:rsidRDefault="003827C6" w:rsidP="003827C6">
      <w:pPr>
        <w:jc w:val="both"/>
        <w:rPr>
          <w:sz w:val="24"/>
          <w:szCs w:val="24"/>
        </w:rPr>
      </w:pPr>
      <w:r>
        <w:rPr>
          <w:sz w:val="24"/>
          <w:szCs w:val="24"/>
        </w:rPr>
        <w:t>For the purpose of this document</w:t>
      </w:r>
      <w:r w:rsidRPr="00887F06">
        <w:rPr>
          <w:sz w:val="24"/>
          <w:szCs w:val="24"/>
        </w:rPr>
        <w:t xml:space="preserve">, </w:t>
      </w:r>
      <w:r w:rsidR="00B145E6" w:rsidRPr="00887F06">
        <w:rPr>
          <w:sz w:val="24"/>
          <w:szCs w:val="24"/>
        </w:rPr>
        <w:t>‘</w:t>
      </w:r>
      <w:r w:rsidRPr="00887F06">
        <w:rPr>
          <w:sz w:val="24"/>
          <w:szCs w:val="24"/>
        </w:rPr>
        <w:t>legacy devices</w:t>
      </w:r>
      <w:r w:rsidR="00B145E6" w:rsidRPr="00887F06">
        <w:rPr>
          <w:sz w:val="24"/>
          <w:szCs w:val="24"/>
        </w:rPr>
        <w:t>’</w:t>
      </w:r>
      <w:r w:rsidRPr="00887F06">
        <w:rPr>
          <w:sz w:val="24"/>
          <w:szCs w:val="24"/>
        </w:rPr>
        <w:t xml:space="preserve"> should</w:t>
      </w:r>
      <w:r w:rsidRPr="003827C6">
        <w:rPr>
          <w:sz w:val="24"/>
          <w:szCs w:val="24"/>
        </w:rPr>
        <w:t xml:space="preserve"> be understood as devices, which, in accordance with Article 120(3) of</w:t>
      </w:r>
      <w:r>
        <w:rPr>
          <w:sz w:val="24"/>
          <w:szCs w:val="24"/>
        </w:rPr>
        <w:t xml:space="preserve"> </w:t>
      </w:r>
      <w:r w:rsidRPr="003827C6">
        <w:rPr>
          <w:sz w:val="24"/>
          <w:szCs w:val="24"/>
        </w:rPr>
        <w:t>the MDR, are placed on the market after the MDR’s date of application (</w:t>
      </w:r>
      <w:r w:rsidR="00200E44">
        <w:rPr>
          <w:sz w:val="24"/>
          <w:szCs w:val="24"/>
        </w:rPr>
        <w:t>26 May 2021</w:t>
      </w:r>
      <w:r w:rsidRPr="003827C6">
        <w:rPr>
          <w:sz w:val="24"/>
          <w:szCs w:val="24"/>
        </w:rPr>
        <w:t>) and until 26 May 2024 if certain conditions are fulfilled</w:t>
      </w:r>
      <w:r w:rsidR="00B928B4">
        <w:rPr>
          <w:rStyle w:val="FootnoteReference"/>
          <w:sz w:val="24"/>
          <w:szCs w:val="24"/>
        </w:rPr>
        <w:footnoteReference w:id="2"/>
      </w:r>
      <w:r w:rsidRPr="003827C6">
        <w:rPr>
          <w:sz w:val="24"/>
          <w:szCs w:val="24"/>
        </w:rPr>
        <w:t xml:space="preserve">. </w:t>
      </w:r>
      <w:r w:rsidR="00CB4DE6">
        <w:rPr>
          <w:sz w:val="24"/>
          <w:szCs w:val="24"/>
        </w:rPr>
        <w:t>In this guidance</w:t>
      </w:r>
      <w:r w:rsidR="00CB4DE6" w:rsidDel="00E81CDE">
        <w:rPr>
          <w:sz w:val="24"/>
          <w:szCs w:val="24"/>
        </w:rPr>
        <w:t xml:space="preserve"> </w:t>
      </w:r>
      <w:r w:rsidR="00CB4DE6">
        <w:rPr>
          <w:sz w:val="24"/>
          <w:szCs w:val="24"/>
        </w:rPr>
        <w:t>o</w:t>
      </w:r>
      <w:r w:rsidR="00E81CDE">
        <w:rPr>
          <w:sz w:val="24"/>
          <w:szCs w:val="24"/>
        </w:rPr>
        <w:t xml:space="preserve">nly </w:t>
      </w:r>
      <w:r w:rsidRPr="003827C6">
        <w:rPr>
          <w:sz w:val="24"/>
          <w:szCs w:val="24"/>
        </w:rPr>
        <w:t xml:space="preserve">devices covered by a valid EC certificate issued in accordance with </w:t>
      </w:r>
      <w:r w:rsidR="00E81CDE">
        <w:rPr>
          <w:sz w:val="24"/>
          <w:szCs w:val="24"/>
        </w:rPr>
        <w:t xml:space="preserve">the </w:t>
      </w:r>
      <w:r w:rsidRPr="003827C6">
        <w:rPr>
          <w:sz w:val="24"/>
          <w:szCs w:val="24"/>
        </w:rPr>
        <w:t xml:space="preserve"> MDD </w:t>
      </w:r>
      <w:r w:rsidR="00200E44">
        <w:rPr>
          <w:sz w:val="24"/>
          <w:szCs w:val="24"/>
        </w:rPr>
        <w:t xml:space="preserve">or the AIMDD </w:t>
      </w:r>
      <w:r w:rsidRPr="003827C6">
        <w:rPr>
          <w:sz w:val="24"/>
          <w:szCs w:val="24"/>
        </w:rPr>
        <w:t>prior to 26 May 2021</w:t>
      </w:r>
      <w:r w:rsidR="00D12D1F">
        <w:rPr>
          <w:sz w:val="24"/>
          <w:szCs w:val="24"/>
        </w:rPr>
        <w:t xml:space="preserve"> are addressed</w:t>
      </w:r>
      <w:r w:rsidRPr="003827C6">
        <w:rPr>
          <w:sz w:val="24"/>
          <w:szCs w:val="24"/>
        </w:rPr>
        <w:t>.</w:t>
      </w:r>
      <w:r w:rsidR="00E81CDE">
        <w:rPr>
          <w:sz w:val="24"/>
          <w:szCs w:val="24"/>
        </w:rPr>
        <w:t xml:space="preserve"> </w:t>
      </w:r>
    </w:p>
    <w:p w14:paraId="2BB5A1CF" w14:textId="77777777" w:rsidR="004B1701" w:rsidRPr="00765231" w:rsidRDefault="004B1701" w:rsidP="00F66002">
      <w:pPr>
        <w:pStyle w:val="ListParagraph"/>
        <w:numPr>
          <w:ilvl w:val="0"/>
          <w:numId w:val="18"/>
        </w:numPr>
        <w:spacing w:before="360" w:after="120"/>
        <w:ind w:left="425" w:hanging="425"/>
        <w:jc w:val="both"/>
        <w:rPr>
          <w:b/>
          <w:sz w:val="28"/>
        </w:rPr>
      </w:pPr>
      <w:r w:rsidRPr="00765231">
        <w:rPr>
          <w:b/>
          <w:sz w:val="28"/>
        </w:rPr>
        <w:t>Scope</w:t>
      </w:r>
    </w:p>
    <w:p w14:paraId="720D4CC0" w14:textId="7C1A44A9" w:rsidR="00A5587D" w:rsidRDefault="004B1701" w:rsidP="00867ADE">
      <w:pPr>
        <w:jc w:val="both"/>
        <w:rPr>
          <w:sz w:val="24"/>
          <w:szCs w:val="24"/>
        </w:rPr>
      </w:pPr>
      <w:bookmarkStart w:id="0" w:name="_GoBack"/>
      <w:r w:rsidRPr="004B1701">
        <w:rPr>
          <w:sz w:val="24"/>
          <w:szCs w:val="24"/>
        </w:rPr>
        <w:lastRenderedPageBreak/>
        <w:t xml:space="preserve">This guidance document </w:t>
      </w:r>
      <w:r w:rsidR="007534E4">
        <w:rPr>
          <w:sz w:val="24"/>
          <w:szCs w:val="24"/>
        </w:rPr>
        <w:t xml:space="preserve">outlines </w:t>
      </w:r>
      <w:r w:rsidRPr="004B1701">
        <w:rPr>
          <w:sz w:val="24"/>
          <w:szCs w:val="24"/>
        </w:rPr>
        <w:t>the</w:t>
      </w:r>
      <w:r w:rsidR="006345D7">
        <w:rPr>
          <w:sz w:val="24"/>
          <w:szCs w:val="24"/>
        </w:rPr>
        <w:t xml:space="preserve"> activities to be performed by notified bodies</w:t>
      </w:r>
      <w:r w:rsidR="00757929">
        <w:rPr>
          <w:rStyle w:val="FootnoteReference"/>
          <w:sz w:val="24"/>
          <w:szCs w:val="24"/>
        </w:rPr>
        <w:footnoteReference w:id="3"/>
      </w:r>
      <w:r w:rsidR="006345D7">
        <w:rPr>
          <w:sz w:val="24"/>
          <w:szCs w:val="24"/>
        </w:rPr>
        <w:t xml:space="preserve"> as part of the appropriate surveillance in respect of </w:t>
      </w:r>
      <w:r w:rsidR="00A5587D">
        <w:rPr>
          <w:sz w:val="24"/>
          <w:szCs w:val="24"/>
        </w:rPr>
        <w:t>devices certified by them under the MDD</w:t>
      </w:r>
      <w:r w:rsidR="00305D1C">
        <w:rPr>
          <w:sz w:val="24"/>
          <w:szCs w:val="24"/>
        </w:rPr>
        <w:t xml:space="preserve"> or the </w:t>
      </w:r>
      <w:r w:rsidR="00A5587D">
        <w:rPr>
          <w:sz w:val="24"/>
          <w:szCs w:val="24"/>
        </w:rPr>
        <w:t xml:space="preserve">AIMDD and that may continue to be placed on the market or put into service </w:t>
      </w:r>
      <w:r w:rsidR="007534E4">
        <w:rPr>
          <w:sz w:val="24"/>
          <w:szCs w:val="24"/>
        </w:rPr>
        <w:t>according to Article 120 (3) MDR</w:t>
      </w:r>
      <w:r w:rsidR="00A5587D">
        <w:rPr>
          <w:sz w:val="24"/>
          <w:szCs w:val="24"/>
        </w:rPr>
        <w:t>.</w:t>
      </w:r>
      <w:r w:rsidR="00DB13B9">
        <w:rPr>
          <w:sz w:val="24"/>
          <w:szCs w:val="24"/>
        </w:rPr>
        <w:t xml:space="preserve"> In order to clarify </w:t>
      </w:r>
      <w:r w:rsidR="005B6BF4">
        <w:rPr>
          <w:sz w:val="24"/>
          <w:szCs w:val="24"/>
        </w:rPr>
        <w:t xml:space="preserve">elements expected to be verified by notified bodies, this guidance document also covers requirements concerning </w:t>
      </w:r>
      <w:r w:rsidR="0003214D">
        <w:rPr>
          <w:sz w:val="24"/>
          <w:szCs w:val="24"/>
        </w:rPr>
        <w:t xml:space="preserve">certain </w:t>
      </w:r>
      <w:r w:rsidR="005B6BF4">
        <w:rPr>
          <w:sz w:val="24"/>
          <w:szCs w:val="24"/>
        </w:rPr>
        <w:t>manufacturers</w:t>
      </w:r>
      <w:r w:rsidR="0003214D">
        <w:rPr>
          <w:sz w:val="24"/>
          <w:szCs w:val="24"/>
        </w:rPr>
        <w:t xml:space="preserve">’ obligations, especially in respect to </w:t>
      </w:r>
      <w:r w:rsidR="004267E7">
        <w:rPr>
          <w:sz w:val="24"/>
          <w:szCs w:val="24"/>
        </w:rPr>
        <w:t xml:space="preserve">their </w:t>
      </w:r>
      <w:r w:rsidR="0003214D">
        <w:rPr>
          <w:sz w:val="24"/>
          <w:szCs w:val="24"/>
        </w:rPr>
        <w:t>quality management system</w:t>
      </w:r>
      <w:r w:rsidR="005B6BF4">
        <w:rPr>
          <w:sz w:val="24"/>
          <w:szCs w:val="24"/>
        </w:rPr>
        <w:t>.</w:t>
      </w:r>
    </w:p>
    <w:bookmarkEnd w:id="0"/>
    <w:p w14:paraId="034657B1" w14:textId="0D8BCA11" w:rsidR="004B1701" w:rsidRDefault="00A1101B" w:rsidP="00867ADE">
      <w:pPr>
        <w:jc w:val="both"/>
        <w:rPr>
          <w:sz w:val="24"/>
          <w:szCs w:val="24"/>
        </w:rPr>
      </w:pPr>
      <w:r>
        <w:rPr>
          <w:sz w:val="24"/>
          <w:szCs w:val="24"/>
        </w:rPr>
        <w:t xml:space="preserve">The document applies to </w:t>
      </w:r>
      <w:r w:rsidR="00A5587D">
        <w:rPr>
          <w:sz w:val="24"/>
          <w:szCs w:val="24"/>
        </w:rPr>
        <w:t>notified bod</w:t>
      </w:r>
      <w:r w:rsidR="00DA259D">
        <w:rPr>
          <w:sz w:val="24"/>
          <w:szCs w:val="24"/>
        </w:rPr>
        <w:t>ies</w:t>
      </w:r>
      <w:r w:rsidR="00A5587D">
        <w:rPr>
          <w:sz w:val="24"/>
          <w:szCs w:val="24"/>
        </w:rPr>
        <w:t xml:space="preserve"> </w:t>
      </w:r>
      <w:r w:rsidR="00DA259D">
        <w:rPr>
          <w:sz w:val="24"/>
          <w:szCs w:val="24"/>
        </w:rPr>
        <w:t xml:space="preserve">having </w:t>
      </w:r>
      <w:r w:rsidR="0082600C">
        <w:rPr>
          <w:sz w:val="24"/>
          <w:szCs w:val="24"/>
        </w:rPr>
        <w:t xml:space="preserve">lawfully </w:t>
      </w:r>
      <w:r w:rsidR="00DA259D">
        <w:rPr>
          <w:sz w:val="24"/>
          <w:szCs w:val="24"/>
        </w:rPr>
        <w:t xml:space="preserve">issued certificates </w:t>
      </w:r>
      <w:r w:rsidR="00A5587D">
        <w:rPr>
          <w:sz w:val="24"/>
          <w:szCs w:val="24"/>
        </w:rPr>
        <w:t>under the MDD</w:t>
      </w:r>
      <w:r w:rsidR="00D3530E">
        <w:rPr>
          <w:sz w:val="24"/>
          <w:szCs w:val="24"/>
        </w:rPr>
        <w:t xml:space="preserve"> </w:t>
      </w:r>
      <w:r w:rsidR="00305D1C">
        <w:rPr>
          <w:sz w:val="24"/>
          <w:szCs w:val="24"/>
        </w:rPr>
        <w:t xml:space="preserve">or the </w:t>
      </w:r>
      <w:r w:rsidR="00A5587D">
        <w:rPr>
          <w:sz w:val="24"/>
          <w:szCs w:val="24"/>
        </w:rPr>
        <w:t>AIMDD</w:t>
      </w:r>
      <w:r w:rsidR="00182A41">
        <w:rPr>
          <w:sz w:val="24"/>
          <w:szCs w:val="24"/>
        </w:rPr>
        <w:t xml:space="preserve"> </w:t>
      </w:r>
      <w:r w:rsidR="00695081">
        <w:rPr>
          <w:sz w:val="24"/>
          <w:szCs w:val="24"/>
        </w:rPr>
        <w:t xml:space="preserve">regardless as to whether </w:t>
      </w:r>
      <w:r w:rsidR="00DA259D">
        <w:rPr>
          <w:sz w:val="24"/>
          <w:szCs w:val="24"/>
        </w:rPr>
        <w:t>th</w:t>
      </w:r>
      <w:r w:rsidR="0040514D">
        <w:rPr>
          <w:sz w:val="24"/>
          <w:szCs w:val="24"/>
        </w:rPr>
        <w:t>is</w:t>
      </w:r>
      <w:r w:rsidR="00DA259D">
        <w:rPr>
          <w:sz w:val="24"/>
          <w:szCs w:val="24"/>
        </w:rPr>
        <w:t xml:space="preserve"> notified body </w:t>
      </w:r>
      <w:r w:rsidR="00695081">
        <w:rPr>
          <w:sz w:val="24"/>
          <w:szCs w:val="24"/>
        </w:rPr>
        <w:t xml:space="preserve">has </w:t>
      </w:r>
      <w:r w:rsidR="00220229">
        <w:rPr>
          <w:sz w:val="24"/>
          <w:szCs w:val="24"/>
        </w:rPr>
        <w:t xml:space="preserve">either </w:t>
      </w:r>
      <w:r w:rsidR="00695081">
        <w:rPr>
          <w:sz w:val="24"/>
          <w:szCs w:val="24"/>
        </w:rPr>
        <w:t xml:space="preserve">applied for </w:t>
      </w:r>
      <w:r w:rsidR="00220229">
        <w:rPr>
          <w:sz w:val="24"/>
          <w:szCs w:val="24"/>
        </w:rPr>
        <w:t>designation or</w:t>
      </w:r>
      <w:r w:rsidR="00695081">
        <w:rPr>
          <w:sz w:val="24"/>
          <w:szCs w:val="24"/>
        </w:rPr>
        <w:t xml:space="preserve"> been already designated under the MDR</w:t>
      </w:r>
      <w:r w:rsidR="00DA259D">
        <w:rPr>
          <w:sz w:val="24"/>
          <w:szCs w:val="24"/>
        </w:rPr>
        <w:t xml:space="preserve"> (see </w:t>
      </w:r>
      <w:r w:rsidR="00DA259D" w:rsidRPr="00DA259D">
        <w:rPr>
          <w:sz w:val="24"/>
          <w:szCs w:val="24"/>
        </w:rPr>
        <w:t>MDCG 2019-10 rev.1</w:t>
      </w:r>
      <w:r w:rsidR="00305D1C">
        <w:rPr>
          <w:rStyle w:val="FootnoteReference"/>
          <w:sz w:val="24"/>
          <w:szCs w:val="24"/>
        </w:rPr>
        <w:footnoteReference w:id="4"/>
      </w:r>
      <w:r w:rsidR="00DA259D">
        <w:rPr>
          <w:sz w:val="24"/>
          <w:szCs w:val="24"/>
        </w:rPr>
        <w:t xml:space="preserve">) as long as </w:t>
      </w:r>
      <w:r w:rsidR="0040514D">
        <w:rPr>
          <w:sz w:val="24"/>
          <w:szCs w:val="24"/>
        </w:rPr>
        <w:t xml:space="preserve">the </w:t>
      </w:r>
      <w:r w:rsidR="00DA259D">
        <w:rPr>
          <w:sz w:val="24"/>
          <w:szCs w:val="24"/>
        </w:rPr>
        <w:t>respective a</w:t>
      </w:r>
      <w:r w:rsidR="00DA259D" w:rsidRPr="00DA259D">
        <w:rPr>
          <w:sz w:val="24"/>
          <w:szCs w:val="24"/>
        </w:rPr>
        <w:t>uthorit</w:t>
      </w:r>
      <w:r w:rsidR="0082600C">
        <w:rPr>
          <w:sz w:val="24"/>
          <w:szCs w:val="24"/>
        </w:rPr>
        <w:t>y</w:t>
      </w:r>
      <w:r w:rsidR="00DA259D" w:rsidRPr="00DA259D">
        <w:rPr>
          <w:sz w:val="24"/>
          <w:szCs w:val="24"/>
        </w:rPr>
        <w:t xml:space="preserve"> responsible for notified bodies ha</w:t>
      </w:r>
      <w:r w:rsidR="0082600C">
        <w:rPr>
          <w:sz w:val="24"/>
          <w:szCs w:val="24"/>
        </w:rPr>
        <w:t>s</w:t>
      </w:r>
      <w:r w:rsidR="00DA259D" w:rsidRPr="00DA259D">
        <w:rPr>
          <w:sz w:val="24"/>
          <w:szCs w:val="24"/>
        </w:rPr>
        <w:t xml:space="preserve"> the right to and do</w:t>
      </w:r>
      <w:r w:rsidR="0082600C">
        <w:rPr>
          <w:sz w:val="24"/>
          <w:szCs w:val="24"/>
        </w:rPr>
        <w:t>es</w:t>
      </w:r>
      <w:r w:rsidR="00DA259D" w:rsidRPr="00DA259D">
        <w:rPr>
          <w:sz w:val="24"/>
          <w:szCs w:val="24"/>
        </w:rPr>
        <w:t xml:space="preserve"> monitor notified body’s activities </w:t>
      </w:r>
      <w:r w:rsidR="0082600C">
        <w:rPr>
          <w:sz w:val="24"/>
          <w:szCs w:val="24"/>
        </w:rPr>
        <w:t>under Art</w:t>
      </w:r>
      <w:r w:rsidR="00691180">
        <w:rPr>
          <w:sz w:val="24"/>
          <w:szCs w:val="24"/>
        </w:rPr>
        <w:t>icle</w:t>
      </w:r>
      <w:r w:rsidR="0082600C">
        <w:rPr>
          <w:sz w:val="24"/>
          <w:szCs w:val="24"/>
        </w:rPr>
        <w:t xml:space="preserve"> 120(3) MDR.</w:t>
      </w:r>
    </w:p>
    <w:p w14:paraId="12AD32C9" w14:textId="6D8B06B2" w:rsidR="00617FB2" w:rsidRPr="000F7568" w:rsidRDefault="00617FB2" w:rsidP="00F66002">
      <w:pPr>
        <w:pStyle w:val="ListParagraph"/>
        <w:numPr>
          <w:ilvl w:val="0"/>
          <w:numId w:val="18"/>
        </w:numPr>
        <w:spacing w:before="360" w:after="120"/>
        <w:ind w:left="425" w:hanging="425"/>
        <w:jc w:val="both"/>
        <w:rPr>
          <w:b/>
          <w:sz w:val="28"/>
        </w:rPr>
      </w:pPr>
      <w:r>
        <w:rPr>
          <w:b/>
          <w:sz w:val="28"/>
        </w:rPr>
        <w:t>Requirements in respect to the manufacturer’s quality management system</w:t>
      </w:r>
      <w:r w:rsidRPr="000F7568">
        <w:rPr>
          <w:b/>
          <w:sz w:val="28"/>
        </w:rPr>
        <w:t xml:space="preserve"> </w:t>
      </w:r>
      <w:r w:rsidR="00E07266">
        <w:rPr>
          <w:b/>
          <w:sz w:val="28"/>
        </w:rPr>
        <w:t xml:space="preserve">and </w:t>
      </w:r>
      <w:r w:rsidR="007525E4">
        <w:rPr>
          <w:b/>
          <w:sz w:val="28"/>
        </w:rPr>
        <w:t>related</w:t>
      </w:r>
      <w:r w:rsidR="00E07266">
        <w:rPr>
          <w:b/>
          <w:sz w:val="28"/>
        </w:rPr>
        <w:t xml:space="preserve"> obligations</w:t>
      </w:r>
    </w:p>
    <w:p w14:paraId="5E4D5C43" w14:textId="1DADA60E" w:rsidR="00FB774D" w:rsidRDefault="00617FB2" w:rsidP="009A558B">
      <w:pPr>
        <w:spacing w:after="120"/>
        <w:jc w:val="both"/>
        <w:rPr>
          <w:sz w:val="24"/>
          <w:szCs w:val="24"/>
        </w:rPr>
      </w:pPr>
      <w:r>
        <w:rPr>
          <w:sz w:val="24"/>
          <w:szCs w:val="24"/>
        </w:rPr>
        <w:t xml:space="preserve">Article 120(3) MDR defines that manufacturers may </w:t>
      </w:r>
      <w:r w:rsidRPr="00617FB2">
        <w:rPr>
          <w:sz w:val="24"/>
          <w:szCs w:val="24"/>
        </w:rPr>
        <w:t xml:space="preserve">place on the market or put into service </w:t>
      </w:r>
      <w:r>
        <w:rPr>
          <w:sz w:val="24"/>
          <w:szCs w:val="24"/>
        </w:rPr>
        <w:t xml:space="preserve">devices </w:t>
      </w:r>
      <w:r w:rsidRPr="00617FB2">
        <w:rPr>
          <w:sz w:val="24"/>
          <w:szCs w:val="24"/>
        </w:rPr>
        <w:t>until 26 May 2024</w:t>
      </w:r>
      <w:r>
        <w:rPr>
          <w:sz w:val="24"/>
          <w:szCs w:val="24"/>
        </w:rPr>
        <w:t xml:space="preserve"> when they are covered by valid certificates </w:t>
      </w:r>
      <w:r w:rsidR="00BC3011">
        <w:rPr>
          <w:sz w:val="24"/>
          <w:szCs w:val="24"/>
        </w:rPr>
        <w:t xml:space="preserve">under the MDD/AIMDD, </w:t>
      </w:r>
      <w:r w:rsidR="00BC3011" w:rsidRPr="00617FB2">
        <w:rPr>
          <w:sz w:val="24"/>
          <w:szCs w:val="24"/>
        </w:rPr>
        <w:t xml:space="preserve">provided that </w:t>
      </w:r>
      <w:r w:rsidR="00BC3011">
        <w:rPr>
          <w:sz w:val="24"/>
          <w:szCs w:val="24"/>
        </w:rPr>
        <w:t xml:space="preserve">they </w:t>
      </w:r>
      <w:r w:rsidR="00BC3011" w:rsidRPr="00617FB2">
        <w:rPr>
          <w:sz w:val="24"/>
          <w:szCs w:val="24"/>
        </w:rPr>
        <w:t>continue to comply with either of those Directives</w:t>
      </w:r>
      <w:r w:rsidR="00511F7D">
        <w:rPr>
          <w:sz w:val="24"/>
          <w:szCs w:val="24"/>
        </w:rPr>
        <w:t xml:space="preserve"> and</w:t>
      </w:r>
      <w:r w:rsidR="00BC3011">
        <w:rPr>
          <w:sz w:val="24"/>
          <w:szCs w:val="24"/>
        </w:rPr>
        <w:t xml:space="preserve"> that there </w:t>
      </w:r>
      <w:r w:rsidRPr="00617FB2">
        <w:rPr>
          <w:sz w:val="24"/>
          <w:szCs w:val="24"/>
        </w:rPr>
        <w:t>are no significant changes in the design and intended purpose</w:t>
      </w:r>
      <w:r w:rsidR="00BC3011">
        <w:rPr>
          <w:sz w:val="24"/>
          <w:szCs w:val="24"/>
        </w:rPr>
        <w:t xml:space="preserve">. </w:t>
      </w:r>
      <w:r w:rsidR="00511F7D">
        <w:rPr>
          <w:sz w:val="24"/>
          <w:szCs w:val="24"/>
        </w:rPr>
        <w:t xml:space="preserve">Therefore, </w:t>
      </w:r>
      <w:r w:rsidR="00F31EB7">
        <w:rPr>
          <w:sz w:val="24"/>
          <w:szCs w:val="24"/>
        </w:rPr>
        <w:t xml:space="preserve">in principle, </w:t>
      </w:r>
      <w:r w:rsidR="00511F7D">
        <w:rPr>
          <w:sz w:val="24"/>
          <w:szCs w:val="24"/>
        </w:rPr>
        <w:t xml:space="preserve">the quality management system approved under the Directives needs to be maintained. </w:t>
      </w:r>
      <w:r w:rsidR="00C83A75">
        <w:rPr>
          <w:sz w:val="24"/>
          <w:szCs w:val="24"/>
        </w:rPr>
        <w:t xml:space="preserve">However, </w:t>
      </w:r>
      <w:r w:rsidR="00D45CE8">
        <w:rPr>
          <w:sz w:val="24"/>
          <w:szCs w:val="24"/>
        </w:rPr>
        <w:t>i</w:t>
      </w:r>
      <w:r w:rsidR="00C83A75">
        <w:rPr>
          <w:sz w:val="24"/>
          <w:szCs w:val="24"/>
        </w:rPr>
        <w:t xml:space="preserve">n accordance with </w:t>
      </w:r>
      <w:r w:rsidR="00D45CE8">
        <w:rPr>
          <w:sz w:val="24"/>
          <w:szCs w:val="24"/>
        </w:rPr>
        <w:t>the first</w:t>
      </w:r>
      <w:r w:rsidR="00C83A75">
        <w:rPr>
          <w:sz w:val="24"/>
          <w:szCs w:val="24"/>
        </w:rPr>
        <w:t xml:space="preserve"> s</w:t>
      </w:r>
      <w:r w:rsidR="00C83A75" w:rsidRPr="00C83A75">
        <w:rPr>
          <w:sz w:val="24"/>
          <w:szCs w:val="24"/>
        </w:rPr>
        <w:t xml:space="preserve">ubparagraph of Article 120(3) MDR, all relevant requirements set out in Chapter VII MDR on post-market surveillance, market surveillance, vigilance and registration </w:t>
      </w:r>
      <w:r w:rsidR="003D29DB">
        <w:rPr>
          <w:sz w:val="24"/>
          <w:szCs w:val="24"/>
        </w:rPr>
        <w:t xml:space="preserve">of economic operators apply to </w:t>
      </w:r>
      <w:r w:rsidR="00B145E6">
        <w:rPr>
          <w:sz w:val="24"/>
          <w:szCs w:val="24"/>
        </w:rPr>
        <w:t>‘</w:t>
      </w:r>
      <w:r w:rsidR="003D29DB">
        <w:rPr>
          <w:sz w:val="24"/>
          <w:szCs w:val="24"/>
        </w:rPr>
        <w:t>legacy devices</w:t>
      </w:r>
      <w:r w:rsidR="00B145E6">
        <w:rPr>
          <w:sz w:val="24"/>
          <w:szCs w:val="24"/>
        </w:rPr>
        <w:t>’</w:t>
      </w:r>
      <w:r w:rsidR="00C83A75" w:rsidRPr="00C83A75">
        <w:rPr>
          <w:sz w:val="24"/>
          <w:szCs w:val="24"/>
        </w:rPr>
        <w:t xml:space="preserve"> in place of the corresponding requirements in </w:t>
      </w:r>
      <w:r w:rsidR="00D45CE8">
        <w:rPr>
          <w:sz w:val="24"/>
          <w:szCs w:val="24"/>
        </w:rPr>
        <w:t xml:space="preserve">the </w:t>
      </w:r>
      <w:r w:rsidR="00C83A75" w:rsidRPr="00C83A75">
        <w:rPr>
          <w:sz w:val="24"/>
          <w:szCs w:val="24"/>
        </w:rPr>
        <w:t>Directives. In addition to the approved quality management system</w:t>
      </w:r>
      <w:r w:rsidR="00D45CE8">
        <w:rPr>
          <w:sz w:val="24"/>
          <w:szCs w:val="24"/>
        </w:rPr>
        <w:t>,</w:t>
      </w:r>
      <w:r w:rsidR="00C83A75" w:rsidRPr="00C83A75">
        <w:rPr>
          <w:sz w:val="24"/>
          <w:szCs w:val="24"/>
        </w:rPr>
        <w:t xml:space="preserve"> MDR requirements will now be subject to the notified body’s surveilla</w:t>
      </w:r>
      <w:r w:rsidR="00C83A75">
        <w:rPr>
          <w:sz w:val="24"/>
          <w:szCs w:val="24"/>
        </w:rPr>
        <w:t xml:space="preserve">nce activities as described in </w:t>
      </w:r>
      <w:r w:rsidR="007300AF">
        <w:rPr>
          <w:sz w:val="24"/>
          <w:szCs w:val="24"/>
        </w:rPr>
        <w:t>s</w:t>
      </w:r>
      <w:r w:rsidR="00C83A75">
        <w:rPr>
          <w:sz w:val="24"/>
          <w:szCs w:val="24"/>
        </w:rPr>
        <w:t>ection 4</w:t>
      </w:r>
      <w:r w:rsidR="00C83A75" w:rsidRPr="00C83A75">
        <w:rPr>
          <w:sz w:val="24"/>
          <w:szCs w:val="24"/>
        </w:rPr>
        <w:t xml:space="preserve">. </w:t>
      </w:r>
    </w:p>
    <w:p w14:paraId="05CA40A8" w14:textId="2CB5CC58" w:rsidR="009A558B" w:rsidRDefault="00C83A75" w:rsidP="009A558B">
      <w:pPr>
        <w:spacing w:after="120"/>
        <w:jc w:val="both"/>
        <w:rPr>
          <w:sz w:val="24"/>
          <w:szCs w:val="24"/>
        </w:rPr>
      </w:pPr>
      <w:r w:rsidRPr="00C83A75">
        <w:rPr>
          <w:sz w:val="24"/>
          <w:szCs w:val="24"/>
        </w:rPr>
        <w:t xml:space="preserve">Until </w:t>
      </w:r>
      <w:r w:rsidR="00E92B79" w:rsidRPr="00E92B79">
        <w:rPr>
          <w:sz w:val="24"/>
          <w:szCs w:val="24"/>
        </w:rPr>
        <w:t xml:space="preserve">the European database on medical devices </w:t>
      </w:r>
      <w:r w:rsidR="00E92B79">
        <w:rPr>
          <w:sz w:val="24"/>
          <w:szCs w:val="24"/>
        </w:rPr>
        <w:t>(</w:t>
      </w:r>
      <w:r w:rsidRPr="00C83A75">
        <w:rPr>
          <w:sz w:val="24"/>
          <w:szCs w:val="24"/>
        </w:rPr>
        <w:t>EUDAMED</w:t>
      </w:r>
      <w:r w:rsidR="00E92B79">
        <w:rPr>
          <w:sz w:val="24"/>
          <w:szCs w:val="24"/>
        </w:rPr>
        <w:t>)</w:t>
      </w:r>
      <w:r w:rsidRPr="00C83A75">
        <w:rPr>
          <w:sz w:val="24"/>
          <w:szCs w:val="24"/>
        </w:rPr>
        <w:t xml:space="preserve"> is fully functional, manufacturers or their authorised representatives are expected to apply </w:t>
      </w:r>
      <w:r w:rsidR="00E92B79">
        <w:rPr>
          <w:sz w:val="24"/>
          <w:szCs w:val="24"/>
        </w:rPr>
        <w:t xml:space="preserve">the </w:t>
      </w:r>
      <w:r w:rsidRPr="00C83A75">
        <w:rPr>
          <w:sz w:val="24"/>
          <w:szCs w:val="24"/>
        </w:rPr>
        <w:t>respective national provisions and to take into account MDCG 2021-1 Rev. 1</w:t>
      </w:r>
      <w:r w:rsidR="00E92B79">
        <w:rPr>
          <w:rStyle w:val="FootnoteReference"/>
          <w:sz w:val="24"/>
          <w:szCs w:val="24"/>
        </w:rPr>
        <w:footnoteReference w:id="5"/>
      </w:r>
      <w:r w:rsidRPr="00C83A75">
        <w:rPr>
          <w:sz w:val="24"/>
          <w:szCs w:val="24"/>
        </w:rPr>
        <w:t xml:space="preserve">  as well as MDCG 2019-5</w:t>
      </w:r>
      <w:r w:rsidR="002139F2">
        <w:rPr>
          <w:rStyle w:val="FootnoteReference"/>
          <w:sz w:val="24"/>
          <w:szCs w:val="24"/>
        </w:rPr>
        <w:footnoteReference w:id="6"/>
      </w:r>
      <w:r>
        <w:rPr>
          <w:sz w:val="24"/>
          <w:szCs w:val="24"/>
        </w:rPr>
        <w:t xml:space="preserve">. </w:t>
      </w:r>
    </w:p>
    <w:p w14:paraId="6F2CC2C8" w14:textId="65F2469B" w:rsidR="009F0180" w:rsidRDefault="00B145E6" w:rsidP="004A627A">
      <w:pPr>
        <w:spacing w:after="120"/>
        <w:jc w:val="both"/>
        <w:rPr>
          <w:sz w:val="24"/>
        </w:rPr>
      </w:pPr>
      <w:r>
        <w:rPr>
          <w:sz w:val="24"/>
        </w:rPr>
        <w:t>‘</w:t>
      </w:r>
      <w:r w:rsidR="00E05CE2">
        <w:rPr>
          <w:sz w:val="24"/>
        </w:rPr>
        <w:t xml:space="preserve">Legacy </w:t>
      </w:r>
      <w:r w:rsidR="009F0180">
        <w:rPr>
          <w:sz w:val="24"/>
        </w:rPr>
        <w:t>devices</w:t>
      </w:r>
      <w:r>
        <w:rPr>
          <w:sz w:val="24"/>
        </w:rPr>
        <w:t>’</w:t>
      </w:r>
      <w:r w:rsidR="009F0180">
        <w:rPr>
          <w:sz w:val="24"/>
        </w:rPr>
        <w:t xml:space="preserve"> are also subject</w:t>
      </w:r>
      <w:r w:rsidR="00757929">
        <w:rPr>
          <w:sz w:val="24"/>
        </w:rPr>
        <w:t xml:space="preserve"> to</w:t>
      </w:r>
      <w:r w:rsidR="009F0180">
        <w:rPr>
          <w:sz w:val="24"/>
        </w:rPr>
        <w:t xml:space="preserve"> </w:t>
      </w:r>
      <w:r w:rsidR="009F0180" w:rsidRPr="009F0180">
        <w:rPr>
          <w:sz w:val="24"/>
        </w:rPr>
        <w:t>the requirements laid down in Article 85 or Article 86</w:t>
      </w:r>
      <w:r w:rsidR="009F0180">
        <w:rPr>
          <w:sz w:val="24"/>
        </w:rPr>
        <w:t xml:space="preserve"> MDR,</w:t>
      </w:r>
      <w:r w:rsidR="009F0180" w:rsidRPr="009F0180">
        <w:rPr>
          <w:sz w:val="24"/>
        </w:rPr>
        <w:t xml:space="preserve"> based on their classification in accordance with the MDD. </w:t>
      </w:r>
      <w:r w:rsidR="00104367">
        <w:rPr>
          <w:sz w:val="24"/>
        </w:rPr>
        <w:t>D</w:t>
      </w:r>
      <w:r w:rsidR="00104367" w:rsidRPr="009F0180">
        <w:rPr>
          <w:sz w:val="24"/>
        </w:rPr>
        <w:t>uring the transition period</w:t>
      </w:r>
      <w:r w:rsidR="00104367">
        <w:rPr>
          <w:sz w:val="24"/>
        </w:rPr>
        <w:t xml:space="preserve">, </w:t>
      </w:r>
      <w:r w:rsidR="00104367">
        <w:rPr>
          <w:sz w:val="24"/>
        </w:rPr>
        <w:lastRenderedPageBreak/>
        <w:t>a</w:t>
      </w:r>
      <w:r w:rsidR="009F0180" w:rsidRPr="009F0180">
        <w:rPr>
          <w:sz w:val="24"/>
        </w:rPr>
        <w:t xml:space="preserve"> possible change of their risk class under the MDR should not be taken into account. </w:t>
      </w:r>
      <w:r w:rsidR="00104367">
        <w:rPr>
          <w:sz w:val="24"/>
        </w:rPr>
        <w:t>F</w:t>
      </w:r>
      <w:r w:rsidR="00104367" w:rsidRPr="009F0180">
        <w:rPr>
          <w:sz w:val="24"/>
        </w:rPr>
        <w:t xml:space="preserve">or the purpose of applying the relevant MDR requirements </w:t>
      </w:r>
      <w:r w:rsidR="00104367">
        <w:rPr>
          <w:sz w:val="24"/>
        </w:rPr>
        <w:t>a</w:t>
      </w:r>
      <w:r w:rsidR="009F0180" w:rsidRPr="009F0180">
        <w:rPr>
          <w:sz w:val="24"/>
        </w:rPr>
        <w:t>ctive implantable devices subject to the AIMDD should be considered as class III devices.</w:t>
      </w:r>
    </w:p>
    <w:p w14:paraId="146EADFB" w14:textId="6BE994C9" w:rsidR="00D71161" w:rsidRPr="007408F0" w:rsidRDefault="00C3199C" w:rsidP="004A627A">
      <w:pPr>
        <w:spacing w:after="120"/>
        <w:jc w:val="both"/>
        <w:rPr>
          <w:sz w:val="24"/>
        </w:rPr>
      </w:pPr>
      <w:r>
        <w:rPr>
          <w:sz w:val="24"/>
        </w:rPr>
        <w:t>P</w:t>
      </w:r>
      <w:r w:rsidR="009F0180" w:rsidRPr="007408F0">
        <w:rPr>
          <w:sz w:val="24"/>
        </w:rPr>
        <w:t>eriodic safety updat</w:t>
      </w:r>
      <w:r w:rsidR="009F0180" w:rsidRPr="009F0180">
        <w:rPr>
          <w:sz w:val="24"/>
        </w:rPr>
        <w:t xml:space="preserve">e </w:t>
      </w:r>
      <w:r w:rsidR="009F0180" w:rsidRPr="007408F0">
        <w:rPr>
          <w:sz w:val="24"/>
        </w:rPr>
        <w:t>report</w:t>
      </w:r>
      <w:r w:rsidR="00A0241A">
        <w:rPr>
          <w:sz w:val="24"/>
        </w:rPr>
        <w:t>s</w:t>
      </w:r>
      <w:r w:rsidR="009F0180" w:rsidRPr="007408F0">
        <w:rPr>
          <w:sz w:val="24"/>
        </w:rPr>
        <w:t xml:space="preserve"> (PSUR</w:t>
      </w:r>
      <w:r>
        <w:rPr>
          <w:sz w:val="24"/>
        </w:rPr>
        <w:t>s</w:t>
      </w:r>
      <w:r w:rsidR="009F0180" w:rsidRPr="007408F0">
        <w:rPr>
          <w:sz w:val="24"/>
        </w:rPr>
        <w:t>)</w:t>
      </w:r>
      <w:r w:rsidR="00C83A75">
        <w:rPr>
          <w:sz w:val="24"/>
        </w:rPr>
        <w:t xml:space="preserve"> </w:t>
      </w:r>
      <w:r w:rsidRPr="004B2A73">
        <w:rPr>
          <w:sz w:val="24"/>
          <w:szCs w:val="24"/>
        </w:rPr>
        <w:t xml:space="preserve">need </w:t>
      </w:r>
      <w:r>
        <w:rPr>
          <w:sz w:val="24"/>
        </w:rPr>
        <w:t xml:space="preserve">to be drawn up by manufacturers </w:t>
      </w:r>
      <w:r w:rsidRPr="009F0180">
        <w:rPr>
          <w:sz w:val="24"/>
        </w:rPr>
        <w:t xml:space="preserve">in accordance with Article 86 MDR </w:t>
      </w:r>
      <w:r w:rsidRPr="004B2A73">
        <w:rPr>
          <w:sz w:val="24"/>
          <w:szCs w:val="24"/>
        </w:rPr>
        <w:t xml:space="preserve">one year after the date of application of the MDR, i.e. following 26 May 2021. </w:t>
      </w:r>
      <w:r w:rsidR="003C3676">
        <w:rPr>
          <w:sz w:val="24"/>
          <w:szCs w:val="24"/>
        </w:rPr>
        <w:t>PSURs</w:t>
      </w:r>
      <w:r>
        <w:rPr>
          <w:sz w:val="24"/>
          <w:szCs w:val="24"/>
        </w:rPr>
        <w:t xml:space="preserve"> </w:t>
      </w:r>
      <w:r w:rsidR="009F0180" w:rsidRPr="009F0180">
        <w:rPr>
          <w:sz w:val="24"/>
        </w:rPr>
        <w:t xml:space="preserve">need to </w:t>
      </w:r>
      <w:r w:rsidR="006F1A52">
        <w:rPr>
          <w:sz w:val="24"/>
        </w:rPr>
        <w:t xml:space="preserve">be </w:t>
      </w:r>
      <w:r w:rsidR="00C83A75" w:rsidRPr="009F0180">
        <w:rPr>
          <w:sz w:val="24"/>
        </w:rPr>
        <w:t>ma</w:t>
      </w:r>
      <w:r w:rsidR="00C83A75">
        <w:rPr>
          <w:sz w:val="24"/>
        </w:rPr>
        <w:t>d</w:t>
      </w:r>
      <w:r w:rsidR="00C83A75" w:rsidRPr="009F0180">
        <w:rPr>
          <w:sz w:val="24"/>
        </w:rPr>
        <w:t xml:space="preserve">e </w:t>
      </w:r>
      <w:r w:rsidR="009F0180" w:rsidRPr="009F0180">
        <w:rPr>
          <w:sz w:val="24"/>
        </w:rPr>
        <w:t>available to competent authorities on request (outside EUDAMED)</w:t>
      </w:r>
      <w:r w:rsidR="009F0180">
        <w:rPr>
          <w:sz w:val="24"/>
        </w:rPr>
        <w:t>.</w:t>
      </w:r>
    </w:p>
    <w:p w14:paraId="3CE4C8D7" w14:textId="618F002F" w:rsidR="00D71161" w:rsidRDefault="00D71161" w:rsidP="00BC3011">
      <w:pPr>
        <w:jc w:val="both"/>
        <w:rPr>
          <w:sz w:val="24"/>
          <w:szCs w:val="24"/>
        </w:rPr>
      </w:pPr>
      <w:r w:rsidRPr="00D71161">
        <w:rPr>
          <w:sz w:val="24"/>
          <w:szCs w:val="24"/>
        </w:rPr>
        <w:t xml:space="preserve">MDR requirements that are not related to post-market surveillance, market surveillance, vigilance, registration of economic operators and devices should in principle not apply to economic operators in respect to ‘legacy devices’. Examples for provisions not applicable in respect to ‘legacy devices’ are </w:t>
      </w:r>
      <w:r w:rsidRPr="008B6545">
        <w:rPr>
          <w:sz w:val="24"/>
          <w:szCs w:val="24"/>
        </w:rPr>
        <w:t>Article 15</w:t>
      </w:r>
      <w:r w:rsidR="0062469A" w:rsidRPr="008B6545">
        <w:rPr>
          <w:rStyle w:val="FootnoteReference"/>
          <w:sz w:val="24"/>
          <w:szCs w:val="24"/>
        </w:rPr>
        <w:footnoteReference w:id="7"/>
      </w:r>
      <w:r w:rsidRPr="00D71161">
        <w:rPr>
          <w:sz w:val="24"/>
          <w:szCs w:val="24"/>
        </w:rPr>
        <w:t>, Article 16(3) and (4), Article 18, Article 25, Article 27, Article 32</w:t>
      </w:r>
      <w:r w:rsidR="00527A91">
        <w:rPr>
          <w:rStyle w:val="FootnoteReference"/>
          <w:sz w:val="24"/>
          <w:szCs w:val="24"/>
        </w:rPr>
        <w:footnoteReference w:id="8"/>
      </w:r>
      <w:r w:rsidRPr="00D71161">
        <w:rPr>
          <w:sz w:val="24"/>
          <w:szCs w:val="24"/>
        </w:rPr>
        <w:t xml:space="preserve">. This is without prejudice to the possibility for economic operators to follow any </w:t>
      </w:r>
      <w:r w:rsidR="00527A91">
        <w:rPr>
          <w:sz w:val="24"/>
          <w:szCs w:val="24"/>
        </w:rPr>
        <w:t xml:space="preserve">other </w:t>
      </w:r>
      <w:r w:rsidRPr="00D71161">
        <w:rPr>
          <w:sz w:val="24"/>
          <w:szCs w:val="24"/>
        </w:rPr>
        <w:t>MDR requirements also for ‘legacy devices’, especially if they deal with both ‘legacy devices’ and MDR devices and want to apply the same procedures for all devices.</w:t>
      </w:r>
    </w:p>
    <w:p w14:paraId="26D6280A" w14:textId="52D3A5EF" w:rsidR="007A385C" w:rsidRDefault="00AC48B1" w:rsidP="00BC3011">
      <w:pPr>
        <w:jc w:val="both"/>
        <w:rPr>
          <w:sz w:val="24"/>
          <w:szCs w:val="24"/>
        </w:rPr>
      </w:pPr>
      <w:r>
        <w:rPr>
          <w:sz w:val="24"/>
          <w:szCs w:val="24"/>
        </w:rPr>
        <w:t>A</w:t>
      </w:r>
      <w:r w:rsidR="007A385C">
        <w:rPr>
          <w:sz w:val="24"/>
          <w:szCs w:val="24"/>
        </w:rPr>
        <w:t xml:space="preserve"> comparison of the quality </w:t>
      </w:r>
      <w:r w:rsidR="00511F7D">
        <w:rPr>
          <w:sz w:val="24"/>
          <w:szCs w:val="24"/>
        </w:rPr>
        <w:t xml:space="preserve">management </w:t>
      </w:r>
      <w:r w:rsidR="007A385C">
        <w:rPr>
          <w:sz w:val="24"/>
          <w:szCs w:val="24"/>
        </w:rPr>
        <w:t>system requirements in the MDD and the MDR is provided</w:t>
      </w:r>
      <w:r w:rsidRPr="00AC48B1">
        <w:rPr>
          <w:sz w:val="24"/>
          <w:szCs w:val="24"/>
        </w:rPr>
        <w:t xml:space="preserve"> </w:t>
      </w:r>
      <w:r>
        <w:rPr>
          <w:sz w:val="24"/>
          <w:szCs w:val="24"/>
        </w:rPr>
        <w:t xml:space="preserve">in the </w:t>
      </w:r>
      <w:r w:rsidRPr="00182A41">
        <w:rPr>
          <w:b/>
          <w:sz w:val="24"/>
          <w:szCs w:val="24"/>
        </w:rPr>
        <w:t>Annex</w:t>
      </w:r>
      <w:r>
        <w:rPr>
          <w:b/>
          <w:sz w:val="24"/>
          <w:szCs w:val="24"/>
        </w:rPr>
        <w:t xml:space="preserve"> </w:t>
      </w:r>
      <w:r w:rsidRPr="00C40521">
        <w:rPr>
          <w:sz w:val="24"/>
          <w:szCs w:val="24"/>
        </w:rPr>
        <w:t>of this document</w:t>
      </w:r>
      <w:r w:rsidR="007A385C">
        <w:rPr>
          <w:sz w:val="24"/>
          <w:szCs w:val="24"/>
        </w:rPr>
        <w:t xml:space="preserve">. </w:t>
      </w:r>
      <w:r w:rsidR="00EC3C2D">
        <w:rPr>
          <w:sz w:val="24"/>
          <w:szCs w:val="24"/>
        </w:rPr>
        <w:t xml:space="preserve">The comparison table could be used to show </w:t>
      </w:r>
      <w:r w:rsidR="00F31EB7">
        <w:rPr>
          <w:sz w:val="24"/>
          <w:szCs w:val="24"/>
        </w:rPr>
        <w:t xml:space="preserve">which </w:t>
      </w:r>
      <w:r w:rsidR="00EC3C2D">
        <w:rPr>
          <w:sz w:val="24"/>
          <w:szCs w:val="24"/>
        </w:rPr>
        <w:t>MDD</w:t>
      </w:r>
      <w:r w:rsidR="006C34FD">
        <w:rPr>
          <w:sz w:val="24"/>
          <w:szCs w:val="24"/>
        </w:rPr>
        <w:t xml:space="preserve"> or </w:t>
      </w:r>
      <w:r w:rsidR="00EC3C2D">
        <w:rPr>
          <w:sz w:val="24"/>
          <w:szCs w:val="24"/>
        </w:rPr>
        <w:t xml:space="preserve">AIMDD </w:t>
      </w:r>
      <w:r w:rsidR="00F31EB7">
        <w:rPr>
          <w:sz w:val="24"/>
          <w:szCs w:val="24"/>
        </w:rPr>
        <w:t xml:space="preserve">requirements </w:t>
      </w:r>
      <w:r w:rsidR="00EC3C2D">
        <w:rPr>
          <w:sz w:val="24"/>
          <w:szCs w:val="24"/>
        </w:rPr>
        <w:t xml:space="preserve">are covered by the MDR. </w:t>
      </w:r>
    </w:p>
    <w:p w14:paraId="60AAD936" w14:textId="652E4D05" w:rsidR="000F7568" w:rsidRPr="000F7568" w:rsidRDefault="00EC3C2D" w:rsidP="00F66002">
      <w:pPr>
        <w:pStyle w:val="ListParagraph"/>
        <w:numPr>
          <w:ilvl w:val="0"/>
          <w:numId w:val="18"/>
        </w:numPr>
        <w:spacing w:before="360" w:after="120"/>
        <w:ind w:left="425" w:hanging="425"/>
        <w:jc w:val="both"/>
        <w:rPr>
          <w:b/>
          <w:sz w:val="28"/>
        </w:rPr>
      </w:pPr>
      <w:r>
        <w:rPr>
          <w:b/>
          <w:sz w:val="28"/>
        </w:rPr>
        <w:t>S</w:t>
      </w:r>
      <w:r w:rsidRPr="00EC3C2D">
        <w:rPr>
          <w:b/>
          <w:sz w:val="28"/>
        </w:rPr>
        <w:t>urveillance acc</w:t>
      </w:r>
      <w:r>
        <w:rPr>
          <w:b/>
          <w:sz w:val="28"/>
        </w:rPr>
        <w:t xml:space="preserve">ording to </w:t>
      </w:r>
      <w:r w:rsidR="00462105">
        <w:rPr>
          <w:b/>
          <w:sz w:val="28"/>
        </w:rPr>
        <w:t xml:space="preserve">Article </w:t>
      </w:r>
      <w:r>
        <w:rPr>
          <w:b/>
          <w:sz w:val="28"/>
        </w:rPr>
        <w:t>120</w:t>
      </w:r>
      <w:r w:rsidRPr="00EC3C2D">
        <w:rPr>
          <w:b/>
          <w:sz w:val="28"/>
        </w:rPr>
        <w:t>(3)</w:t>
      </w:r>
      <w:r>
        <w:rPr>
          <w:b/>
          <w:sz w:val="28"/>
        </w:rPr>
        <w:t> MDR</w:t>
      </w:r>
      <w:r w:rsidR="000F7568" w:rsidRPr="000F7568">
        <w:rPr>
          <w:b/>
          <w:sz w:val="28"/>
        </w:rPr>
        <w:t xml:space="preserve"> </w:t>
      </w:r>
    </w:p>
    <w:p w14:paraId="2E9DC415" w14:textId="66D21FF8" w:rsidR="001131D3" w:rsidRPr="008926DC" w:rsidRDefault="001131D3" w:rsidP="00F66002">
      <w:pPr>
        <w:keepNext/>
        <w:numPr>
          <w:ilvl w:val="1"/>
          <w:numId w:val="16"/>
        </w:numPr>
        <w:spacing w:after="120" w:line="240" w:lineRule="auto"/>
        <w:ind w:left="425" w:hanging="425"/>
        <w:jc w:val="both"/>
        <w:rPr>
          <w:rFonts w:ascii="Arial" w:eastAsia="Times New Roman" w:hAnsi="Arial" w:cs="Arial"/>
          <w:b/>
          <w:lang w:val="en-US" w:eastAsia="de-DE"/>
        </w:rPr>
      </w:pPr>
      <w:r w:rsidRPr="008926DC">
        <w:rPr>
          <w:rFonts w:ascii="Arial" w:eastAsia="Times New Roman" w:hAnsi="Arial" w:cs="Arial"/>
          <w:b/>
          <w:lang w:val="en-US" w:eastAsia="de-DE"/>
        </w:rPr>
        <w:t>General</w:t>
      </w:r>
    </w:p>
    <w:p w14:paraId="03B599FF" w14:textId="1C9199B8" w:rsidR="00A24321" w:rsidRDefault="008926DC" w:rsidP="00125A0F">
      <w:pPr>
        <w:jc w:val="both"/>
        <w:rPr>
          <w:sz w:val="24"/>
          <w:szCs w:val="24"/>
        </w:rPr>
      </w:pPr>
      <w:r>
        <w:rPr>
          <w:sz w:val="24"/>
          <w:szCs w:val="24"/>
        </w:rPr>
        <w:t>According to Article 120(3) MDR</w:t>
      </w:r>
      <w:r w:rsidR="00F26F4C">
        <w:rPr>
          <w:sz w:val="24"/>
          <w:szCs w:val="24"/>
        </w:rPr>
        <w:t>,</w:t>
      </w:r>
      <w:r>
        <w:rPr>
          <w:sz w:val="24"/>
          <w:szCs w:val="24"/>
        </w:rPr>
        <w:t xml:space="preserve"> the notified body’s activities in principle should be a </w:t>
      </w:r>
      <w:r w:rsidRPr="008926DC">
        <w:rPr>
          <w:sz w:val="24"/>
          <w:szCs w:val="24"/>
        </w:rPr>
        <w:t>continu</w:t>
      </w:r>
      <w:r>
        <w:rPr>
          <w:sz w:val="24"/>
          <w:szCs w:val="24"/>
        </w:rPr>
        <w:t>ation of the previous surveillance activities under the Directives</w:t>
      </w:r>
      <w:r w:rsidR="00125A0F" w:rsidRPr="00125A0F">
        <w:rPr>
          <w:sz w:val="24"/>
          <w:szCs w:val="24"/>
        </w:rPr>
        <w:t>, as notified bodies designated under the MDD</w:t>
      </w:r>
      <w:r w:rsidR="00F26F4C">
        <w:rPr>
          <w:sz w:val="24"/>
          <w:szCs w:val="24"/>
        </w:rPr>
        <w:t xml:space="preserve"> or the </w:t>
      </w:r>
      <w:r w:rsidR="00125A0F" w:rsidRPr="00125A0F">
        <w:rPr>
          <w:sz w:val="24"/>
          <w:szCs w:val="24"/>
        </w:rPr>
        <w:t xml:space="preserve">AIMDD are not designated to conduct assessments under the </w:t>
      </w:r>
      <w:r w:rsidR="00C6339C">
        <w:rPr>
          <w:sz w:val="24"/>
          <w:szCs w:val="24"/>
        </w:rPr>
        <w:t xml:space="preserve">Article 52 of </w:t>
      </w:r>
      <w:r w:rsidR="00125A0F" w:rsidRPr="00125A0F">
        <w:rPr>
          <w:sz w:val="24"/>
          <w:szCs w:val="24"/>
        </w:rPr>
        <w:t>MDR</w:t>
      </w:r>
      <w:r w:rsidR="00125A0F">
        <w:rPr>
          <w:sz w:val="24"/>
          <w:szCs w:val="24"/>
        </w:rPr>
        <w:t xml:space="preserve">. </w:t>
      </w:r>
      <w:r>
        <w:rPr>
          <w:sz w:val="24"/>
          <w:szCs w:val="24"/>
        </w:rPr>
        <w:t xml:space="preserve"> </w:t>
      </w:r>
      <w:r w:rsidR="00FA6234">
        <w:rPr>
          <w:sz w:val="24"/>
          <w:szCs w:val="24"/>
        </w:rPr>
        <w:t>I</w:t>
      </w:r>
      <w:r w:rsidR="00FA6234" w:rsidRPr="00FA6234">
        <w:rPr>
          <w:sz w:val="24"/>
          <w:szCs w:val="24"/>
        </w:rPr>
        <w:t>n the framework of their surveillance activities, notified bodies</w:t>
      </w:r>
      <w:r w:rsidR="00FA6234" w:rsidRPr="00FA6234" w:rsidDel="00125A0F">
        <w:rPr>
          <w:sz w:val="24"/>
          <w:szCs w:val="24"/>
        </w:rPr>
        <w:t xml:space="preserve"> </w:t>
      </w:r>
      <w:r w:rsidR="00A24321">
        <w:rPr>
          <w:sz w:val="24"/>
          <w:szCs w:val="24"/>
        </w:rPr>
        <w:t>need</w:t>
      </w:r>
      <w:r w:rsidR="00FA6234">
        <w:rPr>
          <w:sz w:val="24"/>
          <w:szCs w:val="24"/>
        </w:rPr>
        <w:t xml:space="preserve"> </w:t>
      </w:r>
      <w:r w:rsidR="00A24321">
        <w:rPr>
          <w:sz w:val="24"/>
          <w:szCs w:val="24"/>
        </w:rPr>
        <w:t xml:space="preserve">to </w:t>
      </w:r>
      <w:r>
        <w:rPr>
          <w:sz w:val="24"/>
          <w:szCs w:val="24"/>
        </w:rPr>
        <w:t>tak</w:t>
      </w:r>
      <w:r w:rsidR="00125A0F">
        <w:rPr>
          <w:sz w:val="24"/>
          <w:szCs w:val="24"/>
        </w:rPr>
        <w:t>e</w:t>
      </w:r>
      <w:r>
        <w:rPr>
          <w:sz w:val="24"/>
          <w:szCs w:val="24"/>
        </w:rPr>
        <w:t xml:space="preserve"> into account </w:t>
      </w:r>
      <w:r w:rsidR="00A24321">
        <w:rPr>
          <w:sz w:val="24"/>
          <w:szCs w:val="24"/>
        </w:rPr>
        <w:t xml:space="preserve">the </w:t>
      </w:r>
      <w:r>
        <w:rPr>
          <w:sz w:val="24"/>
          <w:szCs w:val="24"/>
        </w:rPr>
        <w:t>new requirements resulting from the transitional provisions</w:t>
      </w:r>
      <w:r w:rsidR="00EF4D4B">
        <w:rPr>
          <w:sz w:val="24"/>
          <w:szCs w:val="24"/>
        </w:rPr>
        <w:t xml:space="preserve"> </w:t>
      </w:r>
      <w:r w:rsidR="00A24321">
        <w:rPr>
          <w:sz w:val="24"/>
          <w:szCs w:val="24"/>
        </w:rPr>
        <w:t xml:space="preserve">(see section 3). This includes also the </w:t>
      </w:r>
      <w:r w:rsidR="00FA6234">
        <w:rPr>
          <w:sz w:val="24"/>
          <w:szCs w:val="24"/>
        </w:rPr>
        <w:t>clarification provided</w:t>
      </w:r>
      <w:r w:rsidR="00EF4D4B">
        <w:rPr>
          <w:sz w:val="24"/>
          <w:szCs w:val="24"/>
        </w:rPr>
        <w:t xml:space="preserve"> by e.g. the CAMD transition sub-group</w:t>
      </w:r>
      <w:r w:rsidR="00EF4D4B">
        <w:rPr>
          <w:rStyle w:val="FootnoteReference"/>
          <w:sz w:val="24"/>
          <w:szCs w:val="24"/>
        </w:rPr>
        <w:footnoteReference w:id="9"/>
      </w:r>
      <w:r w:rsidR="00EF4D4B">
        <w:rPr>
          <w:sz w:val="24"/>
          <w:szCs w:val="24"/>
        </w:rPr>
        <w:t xml:space="preserve"> and respective MDCG guidance</w:t>
      </w:r>
      <w:r w:rsidR="00ED11AC">
        <w:rPr>
          <w:rStyle w:val="FootnoteReference"/>
          <w:sz w:val="24"/>
          <w:szCs w:val="24"/>
        </w:rPr>
        <w:footnoteReference w:id="10"/>
      </w:r>
      <w:r>
        <w:rPr>
          <w:sz w:val="24"/>
          <w:szCs w:val="24"/>
        </w:rPr>
        <w:t xml:space="preserve">. </w:t>
      </w:r>
    </w:p>
    <w:p w14:paraId="781D8328" w14:textId="06C38632" w:rsidR="00F25838" w:rsidRDefault="00454328" w:rsidP="00125A0F">
      <w:pPr>
        <w:jc w:val="both"/>
        <w:rPr>
          <w:sz w:val="24"/>
          <w:szCs w:val="24"/>
        </w:rPr>
      </w:pPr>
      <w:r>
        <w:rPr>
          <w:sz w:val="24"/>
          <w:szCs w:val="24"/>
        </w:rPr>
        <w:lastRenderedPageBreak/>
        <w:t>Following the information by the manufacturer, t</w:t>
      </w:r>
      <w:r w:rsidR="009D6C5F">
        <w:rPr>
          <w:sz w:val="24"/>
          <w:szCs w:val="24"/>
        </w:rPr>
        <w:t>he notified body needs to identify which of the existing MDD</w:t>
      </w:r>
      <w:r w:rsidR="00F26F4C">
        <w:rPr>
          <w:sz w:val="24"/>
          <w:szCs w:val="24"/>
        </w:rPr>
        <w:t xml:space="preserve"> or </w:t>
      </w:r>
      <w:r w:rsidR="009D6C5F">
        <w:rPr>
          <w:sz w:val="24"/>
          <w:szCs w:val="24"/>
        </w:rPr>
        <w:t>AIMDD certificates will continue to be used and if their scope</w:t>
      </w:r>
      <w:r>
        <w:rPr>
          <w:sz w:val="24"/>
          <w:szCs w:val="24"/>
        </w:rPr>
        <w:t>s</w:t>
      </w:r>
      <w:r w:rsidR="009D6C5F">
        <w:rPr>
          <w:sz w:val="24"/>
          <w:szCs w:val="24"/>
        </w:rPr>
        <w:t xml:space="preserve"> remain unchanged. </w:t>
      </w:r>
    </w:p>
    <w:p w14:paraId="757835F0" w14:textId="198E0333" w:rsidR="001131D3" w:rsidRPr="00C508CA" w:rsidRDefault="009D6C5F" w:rsidP="00125A0F">
      <w:pPr>
        <w:jc w:val="both"/>
        <w:rPr>
          <w:sz w:val="24"/>
          <w:szCs w:val="24"/>
        </w:rPr>
      </w:pPr>
      <w:r>
        <w:rPr>
          <w:sz w:val="24"/>
          <w:szCs w:val="24"/>
        </w:rPr>
        <w:t xml:space="preserve">In addition, the notified body needs to ensure that </w:t>
      </w:r>
      <w:r w:rsidR="003D52C9">
        <w:rPr>
          <w:sz w:val="24"/>
          <w:szCs w:val="24"/>
        </w:rPr>
        <w:t>their rights and duties as notified body will continue to apply under their new status</w:t>
      </w:r>
      <w:r w:rsidR="00B538AF">
        <w:rPr>
          <w:sz w:val="24"/>
          <w:szCs w:val="24"/>
        </w:rPr>
        <w:t xml:space="preserve"> (see section 4.2)</w:t>
      </w:r>
      <w:r w:rsidR="003D52C9">
        <w:rPr>
          <w:sz w:val="24"/>
          <w:szCs w:val="24"/>
        </w:rPr>
        <w:t xml:space="preserve">. </w:t>
      </w:r>
    </w:p>
    <w:p w14:paraId="165B1A1E" w14:textId="2039293B" w:rsidR="00F25A1A" w:rsidRPr="008926DC" w:rsidRDefault="00F25A1A" w:rsidP="00F66002">
      <w:pPr>
        <w:keepNext/>
        <w:numPr>
          <w:ilvl w:val="1"/>
          <w:numId w:val="16"/>
        </w:numPr>
        <w:spacing w:after="120" w:line="240" w:lineRule="auto"/>
        <w:ind w:left="425" w:hanging="425"/>
        <w:jc w:val="both"/>
        <w:rPr>
          <w:rFonts w:ascii="Arial" w:eastAsia="Times New Roman" w:hAnsi="Arial" w:cs="Arial"/>
          <w:b/>
          <w:lang w:val="en-US" w:eastAsia="de-DE"/>
        </w:rPr>
      </w:pPr>
      <w:r w:rsidRPr="008926DC">
        <w:rPr>
          <w:rFonts w:ascii="Arial" w:eastAsia="Times New Roman" w:hAnsi="Arial" w:cs="Arial"/>
          <w:b/>
          <w:lang w:val="en-US" w:eastAsia="de-DE"/>
        </w:rPr>
        <w:t>Contractual relation</w:t>
      </w:r>
    </w:p>
    <w:p w14:paraId="7F9B80CF" w14:textId="15FFF0A7" w:rsidR="00F25A1A" w:rsidRPr="008926DC" w:rsidRDefault="00BB6DAC" w:rsidP="00F36E06">
      <w:pPr>
        <w:jc w:val="both"/>
        <w:rPr>
          <w:sz w:val="24"/>
          <w:szCs w:val="24"/>
        </w:rPr>
      </w:pPr>
      <w:r>
        <w:rPr>
          <w:sz w:val="24"/>
          <w:szCs w:val="24"/>
        </w:rPr>
        <w:t>As mentioned in the</w:t>
      </w:r>
      <w:r w:rsidR="00F25A1A" w:rsidRPr="008926DC">
        <w:rPr>
          <w:sz w:val="24"/>
          <w:szCs w:val="24"/>
        </w:rPr>
        <w:t xml:space="preserve"> </w:t>
      </w:r>
      <w:r w:rsidR="006C5E48">
        <w:rPr>
          <w:sz w:val="24"/>
          <w:szCs w:val="24"/>
        </w:rPr>
        <w:t>“</w:t>
      </w:r>
      <w:r w:rsidR="00324C5E" w:rsidRPr="008926DC">
        <w:rPr>
          <w:sz w:val="24"/>
          <w:szCs w:val="24"/>
        </w:rPr>
        <w:t xml:space="preserve">CAMD MDR/IVDR Transition Subgroup: FAQ – MDR Transitional provisions </w:t>
      </w:r>
      <w:r w:rsidR="00F25A1A" w:rsidRPr="008926DC">
        <w:rPr>
          <w:sz w:val="24"/>
          <w:szCs w:val="24"/>
        </w:rPr>
        <w:t>Q.</w:t>
      </w:r>
      <w:r w:rsidR="00C45D9D">
        <w:rPr>
          <w:sz w:val="24"/>
          <w:szCs w:val="24"/>
        </w:rPr>
        <w:t> </w:t>
      </w:r>
      <w:r w:rsidR="00F25A1A" w:rsidRPr="008926DC">
        <w:rPr>
          <w:sz w:val="24"/>
          <w:szCs w:val="24"/>
        </w:rPr>
        <w:t>17</w:t>
      </w:r>
      <w:r w:rsidR="006C5E48">
        <w:rPr>
          <w:sz w:val="24"/>
          <w:szCs w:val="24"/>
        </w:rPr>
        <w:t>”</w:t>
      </w:r>
      <w:r w:rsidR="00F25A1A" w:rsidRPr="008926DC">
        <w:rPr>
          <w:sz w:val="24"/>
          <w:szCs w:val="24"/>
        </w:rPr>
        <w:t xml:space="preserve"> notified bodies need to ensure that the previous rights and duties under the Directives remain applicable also after the MDR date of application</w:t>
      </w:r>
      <w:r w:rsidR="00F36E06">
        <w:rPr>
          <w:sz w:val="24"/>
          <w:szCs w:val="24"/>
        </w:rPr>
        <w:t>.</w:t>
      </w:r>
      <w:r w:rsidR="00F25A1A" w:rsidRPr="008926DC">
        <w:rPr>
          <w:sz w:val="24"/>
          <w:szCs w:val="24"/>
        </w:rPr>
        <w:t xml:space="preserve"> </w:t>
      </w:r>
      <w:r w:rsidR="00F36E06">
        <w:rPr>
          <w:sz w:val="24"/>
          <w:szCs w:val="24"/>
        </w:rPr>
        <w:t>T</w:t>
      </w:r>
      <w:r w:rsidR="00F25A1A" w:rsidRPr="008926DC">
        <w:rPr>
          <w:sz w:val="24"/>
          <w:szCs w:val="24"/>
        </w:rPr>
        <w:t>his needs to be done on a contractual basis.</w:t>
      </w:r>
      <w:r w:rsidR="00F36E06">
        <w:rPr>
          <w:sz w:val="24"/>
          <w:szCs w:val="24"/>
        </w:rPr>
        <w:t xml:space="preserve"> In particular,</w:t>
      </w:r>
      <w:r w:rsidR="00F25A1A" w:rsidRPr="008926DC">
        <w:rPr>
          <w:sz w:val="24"/>
          <w:szCs w:val="24"/>
        </w:rPr>
        <w:t xml:space="preserve"> </w:t>
      </w:r>
      <w:r w:rsidR="00F36E06" w:rsidRPr="00F36E06">
        <w:rPr>
          <w:sz w:val="24"/>
          <w:szCs w:val="24"/>
        </w:rPr>
        <w:t>existing contracts between the notified body and the manufacturer should cover surveillance activities to be performed by the notified body during the transition period</w:t>
      </w:r>
      <w:r w:rsidR="00784AEB">
        <w:rPr>
          <w:sz w:val="24"/>
          <w:szCs w:val="24"/>
        </w:rPr>
        <w:t>,</w:t>
      </w:r>
      <w:r>
        <w:rPr>
          <w:sz w:val="24"/>
          <w:szCs w:val="24"/>
        </w:rPr>
        <w:t xml:space="preserve"> </w:t>
      </w:r>
      <w:r w:rsidR="00784AEB">
        <w:rPr>
          <w:sz w:val="24"/>
          <w:szCs w:val="24"/>
        </w:rPr>
        <w:t>as well as</w:t>
      </w:r>
      <w:r>
        <w:rPr>
          <w:sz w:val="24"/>
          <w:szCs w:val="24"/>
        </w:rPr>
        <w:t xml:space="preserve"> the right to suspend, restrict or withdraw certificates</w:t>
      </w:r>
      <w:r w:rsidR="00F36E06" w:rsidRPr="00F36E06">
        <w:rPr>
          <w:sz w:val="24"/>
          <w:szCs w:val="24"/>
        </w:rPr>
        <w:t>.</w:t>
      </w:r>
    </w:p>
    <w:p w14:paraId="4E28AC0E" w14:textId="264FEB74" w:rsidR="00617804" w:rsidRPr="008926DC" w:rsidRDefault="009D6C5F" w:rsidP="00F66002">
      <w:pPr>
        <w:keepNext/>
        <w:numPr>
          <w:ilvl w:val="1"/>
          <w:numId w:val="16"/>
        </w:numPr>
        <w:spacing w:after="120" w:line="240" w:lineRule="auto"/>
        <w:ind w:left="425" w:hanging="425"/>
        <w:jc w:val="both"/>
        <w:rPr>
          <w:rFonts w:ascii="Arial" w:eastAsia="Times New Roman" w:hAnsi="Arial" w:cs="Arial"/>
          <w:b/>
          <w:lang w:val="en-US" w:eastAsia="de-DE"/>
        </w:rPr>
      </w:pPr>
      <w:r>
        <w:rPr>
          <w:rFonts w:ascii="Arial" w:eastAsia="Times New Roman" w:hAnsi="Arial" w:cs="Arial"/>
          <w:b/>
          <w:lang w:val="en-US" w:eastAsia="de-DE"/>
        </w:rPr>
        <w:t>Q</w:t>
      </w:r>
      <w:r w:rsidR="00C378D9">
        <w:rPr>
          <w:rFonts w:ascii="Arial" w:eastAsia="Times New Roman" w:hAnsi="Arial" w:cs="Arial"/>
          <w:b/>
          <w:lang w:val="en-US" w:eastAsia="de-DE"/>
        </w:rPr>
        <w:t xml:space="preserve">uality </w:t>
      </w:r>
      <w:r>
        <w:rPr>
          <w:rFonts w:ascii="Arial" w:eastAsia="Times New Roman" w:hAnsi="Arial" w:cs="Arial"/>
          <w:b/>
          <w:lang w:val="en-US" w:eastAsia="de-DE"/>
        </w:rPr>
        <w:t>M</w:t>
      </w:r>
      <w:r w:rsidR="00C378D9">
        <w:rPr>
          <w:rFonts w:ascii="Arial" w:eastAsia="Times New Roman" w:hAnsi="Arial" w:cs="Arial"/>
          <w:b/>
          <w:lang w:val="en-US" w:eastAsia="de-DE"/>
        </w:rPr>
        <w:t xml:space="preserve">anagement </w:t>
      </w:r>
      <w:r>
        <w:rPr>
          <w:rFonts w:ascii="Arial" w:eastAsia="Times New Roman" w:hAnsi="Arial" w:cs="Arial"/>
          <w:b/>
          <w:lang w:val="en-US" w:eastAsia="de-DE"/>
        </w:rPr>
        <w:t>S</w:t>
      </w:r>
      <w:r w:rsidR="00C378D9">
        <w:rPr>
          <w:rFonts w:ascii="Arial" w:eastAsia="Times New Roman" w:hAnsi="Arial" w:cs="Arial"/>
          <w:b/>
          <w:lang w:val="en-US" w:eastAsia="de-DE"/>
        </w:rPr>
        <w:t>ystem</w:t>
      </w:r>
      <w:r>
        <w:rPr>
          <w:rFonts w:ascii="Arial" w:eastAsia="Times New Roman" w:hAnsi="Arial" w:cs="Arial"/>
          <w:b/>
          <w:lang w:val="en-US" w:eastAsia="de-DE"/>
        </w:rPr>
        <w:t xml:space="preserve"> d</w:t>
      </w:r>
      <w:r w:rsidR="00617804" w:rsidRPr="008926DC">
        <w:rPr>
          <w:rFonts w:ascii="Arial" w:eastAsia="Times New Roman" w:hAnsi="Arial" w:cs="Arial"/>
          <w:b/>
          <w:lang w:val="en-US" w:eastAsia="de-DE"/>
        </w:rPr>
        <w:t>ocument</w:t>
      </w:r>
      <w:r w:rsidR="00F31EB7" w:rsidRPr="008926DC">
        <w:rPr>
          <w:rFonts w:ascii="Arial" w:eastAsia="Times New Roman" w:hAnsi="Arial" w:cs="Arial"/>
          <w:b/>
          <w:lang w:val="en-US" w:eastAsia="de-DE"/>
        </w:rPr>
        <w:t>ation</w:t>
      </w:r>
      <w:r w:rsidR="00617804" w:rsidRPr="008926DC">
        <w:rPr>
          <w:rFonts w:ascii="Arial" w:eastAsia="Times New Roman" w:hAnsi="Arial" w:cs="Arial"/>
          <w:b/>
          <w:lang w:val="en-US" w:eastAsia="de-DE"/>
        </w:rPr>
        <w:t xml:space="preserve"> review </w:t>
      </w:r>
    </w:p>
    <w:p w14:paraId="5D223E1D" w14:textId="56990188" w:rsidR="00617804" w:rsidRPr="00815C4F" w:rsidRDefault="00C45D9D" w:rsidP="00617804">
      <w:pPr>
        <w:jc w:val="both"/>
        <w:rPr>
          <w:sz w:val="24"/>
          <w:szCs w:val="24"/>
        </w:rPr>
      </w:pPr>
      <w:r>
        <w:rPr>
          <w:sz w:val="24"/>
          <w:szCs w:val="24"/>
        </w:rPr>
        <w:t>For manufacturers making use of Article 120(3)</w:t>
      </w:r>
      <w:r w:rsidR="00D45831">
        <w:rPr>
          <w:sz w:val="24"/>
          <w:szCs w:val="24"/>
        </w:rPr>
        <w:t xml:space="preserve"> MDR</w:t>
      </w:r>
      <w:r>
        <w:rPr>
          <w:sz w:val="24"/>
          <w:szCs w:val="24"/>
        </w:rPr>
        <w:t xml:space="preserve"> t</w:t>
      </w:r>
      <w:r w:rsidR="00617804" w:rsidRPr="00815C4F">
        <w:rPr>
          <w:sz w:val="24"/>
          <w:szCs w:val="24"/>
        </w:rPr>
        <w:t xml:space="preserve">he </w:t>
      </w:r>
      <w:r w:rsidR="00F25A1A" w:rsidRPr="00815C4F">
        <w:rPr>
          <w:sz w:val="24"/>
          <w:szCs w:val="24"/>
        </w:rPr>
        <w:t xml:space="preserve">notified body </w:t>
      </w:r>
      <w:r w:rsidR="00617804" w:rsidRPr="00815C4F">
        <w:rPr>
          <w:sz w:val="24"/>
          <w:szCs w:val="24"/>
        </w:rPr>
        <w:t>need</w:t>
      </w:r>
      <w:r w:rsidR="00F25A1A" w:rsidRPr="00815C4F">
        <w:rPr>
          <w:sz w:val="24"/>
          <w:szCs w:val="24"/>
        </w:rPr>
        <w:t>s</w:t>
      </w:r>
      <w:r w:rsidR="00617804" w:rsidRPr="00815C4F">
        <w:rPr>
          <w:sz w:val="24"/>
          <w:szCs w:val="24"/>
        </w:rPr>
        <w:t xml:space="preserve"> to verify </w:t>
      </w:r>
      <w:r w:rsidR="00815C4F">
        <w:rPr>
          <w:sz w:val="24"/>
          <w:szCs w:val="24"/>
        </w:rPr>
        <w:t>the following.</w:t>
      </w:r>
    </w:p>
    <w:p w14:paraId="55B04F6A" w14:textId="16BFEAE5" w:rsidR="00617804" w:rsidRPr="008926DC" w:rsidRDefault="00815C4F" w:rsidP="008926DC">
      <w:pPr>
        <w:pStyle w:val="ListParagraph"/>
        <w:numPr>
          <w:ilvl w:val="0"/>
          <w:numId w:val="11"/>
        </w:numPr>
        <w:spacing w:after="120" w:line="240" w:lineRule="auto"/>
        <w:ind w:left="714" w:hanging="357"/>
        <w:contextualSpacing w:val="0"/>
        <w:jc w:val="both"/>
        <w:rPr>
          <w:sz w:val="24"/>
          <w:szCs w:val="24"/>
        </w:rPr>
      </w:pPr>
      <w:r>
        <w:rPr>
          <w:sz w:val="24"/>
          <w:szCs w:val="24"/>
        </w:rPr>
        <w:t>I</w:t>
      </w:r>
      <w:r w:rsidR="00617804" w:rsidRPr="008926DC">
        <w:rPr>
          <w:sz w:val="24"/>
          <w:szCs w:val="24"/>
        </w:rPr>
        <w:t xml:space="preserve">f the scope of devices covered by the </w:t>
      </w:r>
      <w:r w:rsidR="001131D3" w:rsidRPr="008926DC">
        <w:rPr>
          <w:sz w:val="24"/>
          <w:szCs w:val="24"/>
        </w:rPr>
        <w:t>MDD</w:t>
      </w:r>
      <w:r w:rsidR="00D45831">
        <w:rPr>
          <w:sz w:val="24"/>
          <w:szCs w:val="24"/>
        </w:rPr>
        <w:t xml:space="preserve"> or the </w:t>
      </w:r>
      <w:r w:rsidR="001131D3" w:rsidRPr="008926DC">
        <w:rPr>
          <w:sz w:val="24"/>
          <w:szCs w:val="24"/>
        </w:rPr>
        <w:t xml:space="preserve">AIMDD </w:t>
      </w:r>
      <w:r w:rsidR="00617804" w:rsidRPr="008926DC">
        <w:rPr>
          <w:sz w:val="24"/>
          <w:szCs w:val="24"/>
        </w:rPr>
        <w:t xml:space="preserve">certificates remains or if </w:t>
      </w:r>
      <w:r w:rsidR="00F25A1A" w:rsidRPr="008926DC">
        <w:rPr>
          <w:sz w:val="24"/>
          <w:szCs w:val="24"/>
        </w:rPr>
        <w:t>and which devices are “</w:t>
      </w:r>
      <w:r w:rsidR="00617804" w:rsidRPr="008926DC">
        <w:rPr>
          <w:sz w:val="24"/>
          <w:szCs w:val="24"/>
        </w:rPr>
        <w:t>terminated</w:t>
      </w:r>
      <w:r w:rsidR="00F25A1A" w:rsidRPr="008926DC">
        <w:rPr>
          <w:sz w:val="24"/>
          <w:szCs w:val="24"/>
        </w:rPr>
        <w:t>”</w:t>
      </w:r>
      <w:r>
        <w:rPr>
          <w:sz w:val="24"/>
          <w:szCs w:val="24"/>
        </w:rPr>
        <w:t>.</w:t>
      </w:r>
      <w:r w:rsidR="001C7200">
        <w:rPr>
          <w:sz w:val="24"/>
          <w:szCs w:val="24"/>
        </w:rPr>
        <w:t xml:space="preserve"> </w:t>
      </w:r>
      <w:r>
        <w:rPr>
          <w:sz w:val="24"/>
          <w:szCs w:val="24"/>
        </w:rPr>
        <w:t>I</w:t>
      </w:r>
      <w:r w:rsidR="001C7200">
        <w:rPr>
          <w:sz w:val="24"/>
          <w:szCs w:val="24"/>
        </w:rPr>
        <w:t>t may be appropriate to take into account transition plans from manufacturers in respect to their plans for making devices fully MDR compliant</w:t>
      </w:r>
      <w:r w:rsidR="00D24170">
        <w:rPr>
          <w:sz w:val="24"/>
          <w:szCs w:val="24"/>
        </w:rPr>
        <w:t>.</w:t>
      </w:r>
      <w:r w:rsidR="00617804" w:rsidRPr="008926DC">
        <w:rPr>
          <w:sz w:val="24"/>
          <w:szCs w:val="24"/>
        </w:rPr>
        <w:t xml:space="preserve"> </w:t>
      </w:r>
    </w:p>
    <w:p w14:paraId="77B5A12A" w14:textId="1BBBD7D5" w:rsidR="00D5422B" w:rsidRPr="008926DC" w:rsidRDefault="00815C4F" w:rsidP="008926DC">
      <w:pPr>
        <w:pStyle w:val="ListParagraph"/>
        <w:numPr>
          <w:ilvl w:val="0"/>
          <w:numId w:val="11"/>
        </w:numPr>
        <w:spacing w:after="120" w:line="240" w:lineRule="auto"/>
        <w:ind w:left="714" w:hanging="357"/>
        <w:contextualSpacing w:val="0"/>
        <w:jc w:val="both"/>
        <w:rPr>
          <w:sz w:val="24"/>
          <w:szCs w:val="24"/>
        </w:rPr>
      </w:pPr>
      <w:r>
        <w:rPr>
          <w:sz w:val="24"/>
          <w:szCs w:val="24"/>
        </w:rPr>
        <w:t>I</w:t>
      </w:r>
      <w:r w:rsidR="00D5422B" w:rsidRPr="008926DC">
        <w:rPr>
          <w:sz w:val="24"/>
          <w:szCs w:val="24"/>
        </w:rPr>
        <w:t xml:space="preserve">f the manufacturer has </w:t>
      </w:r>
      <w:r w:rsidR="004D0B38">
        <w:rPr>
          <w:sz w:val="24"/>
          <w:szCs w:val="24"/>
        </w:rPr>
        <w:t>adjusted its quality management system according to the requirements of Article 120(3)</w:t>
      </w:r>
      <w:r w:rsidR="00086456">
        <w:rPr>
          <w:sz w:val="24"/>
          <w:szCs w:val="24"/>
        </w:rPr>
        <w:t xml:space="preserve"> MDR</w:t>
      </w:r>
      <w:r w:rsidR="004D0B38">
        <w:rPr>
          <w:sz w:val="24"/>
          <w:szCs w:val="24"/>
        </w:rPr>
        <w:t xml:space="preserve"> concerning significant changes</w:t>
      </w:r>
      <w:r w:rsidR="00C378D9">
        <w:rPr>
          <w:sz w:val="24"/>
          <w:szCs w:val="24"/>
        </w:rPr>
        <w:t xml:space="preserve">, taking into account </w:t>
      </w:r>
      <w:r w:rsidR="001131D3">
        <w:rPr>
          <w:sz w:val="24"/>
          <w:szCs w:val="24"/>
        </w:rPr>
        <w:t xml:space="preserve">the content of </w:t>
      </w:r>
      <w:r w:rsidR="00D5422B" w:rsidRPr="008926DC">
        <w:rPr>
          <w:sz w:val="24"/>
          <w:szCs w:val="24"/>
        </w:rPr>
        <w:t>MDCG 2020-3 (</w:t>
      </w:r>
      <w:r w:rsidR="008926DC">
        <w:rPr>
          <w:sz w:val="24"/>
          <w:szCs w:val="24"/>
        </w:rPr>
        <w:t>“</w:t>
      </w:r>
      <w:r w:rsidR="00D5422B" w:rsidRPr="008926DC">
        <w:rPr>
          <w:sz w:val="24"/>
          <w:szCs w:val="24"/>
        </w:rPr>
        <w:t>change regime</w:t>
      </w:r>
      <w:r w:rsidR="008926DC">
        <w:rPr>
          <w:sz w:val="24"/>
          <w:szCs w:val="24"/>
        </w:rPr>
        <w:t>”</w:t>
      </w:r>
      <w:r w:rsidR="00D5422B" w:rsidRPr="008926DC">
        <w:rPr>
          <w:sz w:val="24"/>
          <w:szCs w:val="24"/>
        </w:rPr>
        <w:t>)</w:t>
      </w:r>
      <w:r w:rsidR="00D24170">
        <w:rPr>
          <w:sz w:val="24"/>
          <w:szCs w:val="24"/>
        </w:rPr>
        <w:t>.</w:t>
      </w:r>
    </w:p>
    <w:p w14:paraId="271314FF" w14:textId="7FCA37AB" w:rsidR="00591EB5" w:rsidRPr="00F4584E" w:rsidRDefault="00815C4F" w:rsidP="00815C4F">
      <w:pPr>
        <w:pStyle w:val="ListParagraph"/>
        <w:numPr>
          <w:ilvl w:val="0"/>
          <w:numId w:val="11"/>
        </w:numPr>
        <w:spacing w:after="120" w:line="240" w:lineRule="auto"/>
        <w:jc w:val="both"/>
        <w:rPr>
          <w:sz w:val="24"/>
          <w:szCs w:val="24"/>
        </w:rPr>
      </w:pPr>
      <w:r>
        <w:rPr>
          <w:sz w:val="24"/>
          <w:szCs w:val="24"/>
        </w:rPr>
        <w:t>I</w:t>
      </w:r>
      <w:r w:rsidR="00D5422B" w:rsidRPr="008926DC">
        <w:rPr>
          <w:sz w:val="24"/>
          <w:szCs w:val="24"/>
        </w:rPr>
        <w:t xml:space="preserve">f the manufacturer has made the necessary adjustments in respect to the </w:t>
      </w:r>
      <w:r w:rsidR="00F25A1A" w:rsidRPr="008926DC">
        <w:rPr>
          <w:sz w:val="24"/>
          <w:szCs w:val="24"/>
        </w:rPr>
        <w:t>quality management system</w:t>
      </w:r>
      <w:r w:rsidR="00F36E06">
        <w:rPr>
          <w:sz w:val="24"/>
          <w:szCs w:val="24"/>
        </w:rPr>
        <w:t xml:space="preserve"> </w:t>
      </w:r>
      <w:r w:rsidR="00F36E06" w:rsidRPr="00AC5A8D">
        <w:rPr>
          <w:sz w:val="24"/>
          <w:szCs w:val="24"/>
        </w:rPr>
        <w:t xml:space="preserve">on </w:t>
      </w:r>
      <w:r w:rsidRPr="0095047B">
        <w:rPr>
          <w:sz w:val="24"/>
          <w:szCs w:val="24"/>
        </w:rPr>
        <w:t>post-market surveillance, market surveillance, vigilance, registration of economic operators and of devices</w:t>
      </w:r>
      <w:r w:rsidR="00F36E06" w:rsidRPr="00AC5A8D">
        <w:rPr>
          <w:sz w:val="24"/>
          <w:szCs w:val="24"/>
        </w:rPr>
        <w:t>.</w:t>
      </w:r>
      <w:r w:rsidR="00F36E06" w:rsidRPr="00F4584E">
        <w:rPr>
          <w:sz w:val="24"/>
          <w:szCs w:val="24"/>
        </w:rPr>
        <w:t xml:space="preserve"> This can be done </w:t>
      </w:r>
      <w:r w:rsidR="00D5422B" w:rsidRPr="00F4584E">
        <w:rPr>
          <w:sz w:val="24"/>
          <w:szCs w:val="24"/>
        </w:rPr>
        <w:t xml:space="preserve">by </w:t>
      </w:r>
      <w:r w:rsidR="00D66477">
        <w:rPr>
          <w:sz w:val="24"/>
          <w:szCs w:val="24"/>
        </w:rPr>
        <w:t>verifying</w:t>
      </w:r>
      <w:r w:rsidR="00D66477" w:rsidRPr="00F4584E">
        <w:rPr>
          <w:sz w:val="24"/>
          <w:szCs w:val="24"/>
        </w:rPr>
        <w:t xml:space="preserve"> </w:t>
      </w:r>
      <w:r w:rsidR="00D5422B" w:rsidRPr="00F4584E">
        <w:rPr>
          <w:sz w:val="24"/>
          <w:szCs w:val="24"/>
        </w:rPr>
        <w:t xml:space="preserve">that </w:t>
      </w:r>
      <w:r w:rsidR="00F36E06" w:rsidRPr="00F4584E">
        <w:rPr>
          <w:sz w:val="24"/>
          <w:szCs w:val="24"/>
        </w:rPr>
        <w:t>the manufacturer has changed</w:t>
      </w:r>
      <w:r w:rsidR="00D5422B" w:rsidRPr="00F4584E">
        <w:rPr>
          <w:sz w:val="24"/>
          <w:szCs w:val="24"/>
        </w:rPr>
        <w:t xml:space="preserve"> the procedures for </w:t>
      </w:r>
      <w:r w:rsidR="009D6C5F" w:rsidRPr="00F4584E">
        <w:rPr>
          <w:sz w:val="24"/>
          <w:szCs w:val="24"/>
        </w:rPr>
        <w:t>post-market surveillance</w:t>
      </w:r>
      <w:r w:rsidR="009D6C5F" w:rsidRPr="00F4584E" w:rsidDel="009D6C5F">
        <w:rPr>
          <w:sz w:val="24"/>
          <w:szCs w:val="24"/>
        </w:rPr>
        <w:t xml:space="preserve"> </w:t>
      </w:r>
      <w:r w:rsidR="002C23DB" w:rsidRPr="00F4584E">
        <w:rPr>
          <w:sz w:val="24"/>
          <w:szCs w:val="24"/>
        </w:rPr>
        <w:t xml:space="preserve">etc. </w:t>
      </w:r>
      <w:r w:rsidR="00D5422B" w:rsidRPr="00F4584E">
        <w:rPr>
          <w:sz w:val="24"/>
          <w:szCs w:val="24"/>
        </w:rPr>
        <w:t xml:space="preserve">(see section 3) in line with the MDR or </w:t>
      </w:r>
      <w:r w:rsidR="001A78C5">
        <w:rPr>
          <w:sz w:val="24"/>
          <w:szCs w:val="24"/>
        </w:rPr>
        <w:t xml:space="preserve">has </w:t>
      </w:r>
      <w:r w:rsidR="00D5422B" w:rsidRPr="00F4584E">
        <w:rPr>
          <w:sz w:val="24"/>
          <w:szCs w:val="24"/>
        </w:rPr>
        <w:t>chang</w:t>
      </w:r>
      <w:r w:rsidR="001A78C5">
        <w:rPr>
          <w:sz w:val="24"/>
          <w:szCs w:val="24"/>
        </w:rPr>
        <w:t>ed</w:t>
      </w:r>
      <w:r w:rsidR="00D5422B" w:rsidRPr="00F4584E">
        <w:rPr>
          <w:sz w:val="24"/>
          <w:szCs w:val="24"/>
        </w:rPr>
        <w:t xml:space="preserve"> its </w:t>
      </w:r>
      <w:r w:rsidR="00C378D9">
        <w:rPr>
          <w:sz w:val="24"/>
          <w:szCs w:val="24"/>
        </w:rPr>
        <w:t>quality management system</w:t>
      </w:r>
      <w:r w:rsidR="00C378D9" w:rsidRPr="00F4584E">
        <w:rPr>
          <w:sz w:val="24"/>
          <w:szCs w:val="24"/>
        </w:rPr>
        <w:t xml:space="preserve"> </w:t>
      </w:r>
      <w:r w:rsidR="00D5422B" w:rsidRPr="00F4584E">
        <w:rPr>
          <w:sz w:val="24"/>
          <w:szCs w:val="24"/>
        </w:rPr>
        <w:t xml:space="preserve">completely to </w:t>
      </w:r>
      <w:r w:rsidR="00F36E06" w:rsidRPr="00F4584E">
        <w:rPr>
          <w:sz w:val="24"/>
          <w:szCs w:val="24"/>
        </w:rPr>
        <w:t>adapt to</w:t>
      </w:r>
      <w:r w:rsidR="00D5422B" w:rsidRPr="00F4584E">
        <w:rPr>
          <w:sz w:val="24"/>
          <w:szCs w:val="24"/>
        </w:rPr>
        <w:t xml:space="preserve"> MDR requirements</w:t>
      </w:r>
      <w:r w:rsidR="00F36E06" w:rsidRPr="00F4584E">
        <w:rPr>
          <w:sz w:val="24"/>
          <w:szCs w:val="24"/>
        </w:rPr>
        <w:t>,</w:t>
      </w:r>
      <w:r w:rsidR="00D5422B" w:rsidRPr="00F4584E">
        <w:rPr>
          <w:sz w:val="24"/>
          <w:szCs w:val="24"/>
        </w:rPr>
        <w:t xml:space="preserve"> including the ones in the Directives</w:t>
      </w:r>
      <w:r w:rsidR="00F36E06" w:rsidRPr="00F4584E">
        <w:rPr>
          <w:sz w:val="24"/>
          <w:szCs w:val="24"/>
        </w:rPr>
        <w:t>.</w:t>
      </w:r>
      <w:r w:rsidR="002C23DB" w:rsidRPr="00F4584E">
        <w:rPr>
          <w:sz w:val="24"/>
          <w:szCs w:val="24"/>
        </w:rPr>
        <w:t xml:space="preserve"> </w:t>
      </w:r>
    </w:p>
    <w:p w14:paraId="1DC8FDC0" w14:textId="0A2F6197" w:rsidR="00591EB5" w:rsidRDefault="00591EB5" w:rsidP="00F4584E">
      <w:pPr>
        <w:spacing w:after="120" w:line="240" w:lineRule="auto"/>
        <w:ind w:left="720"/>
        <w:jc w:val="both"/>
        <w:rPr>
          <w:sz w:val="24"/>
          <w:szCs w:val="24"/>
        </w:rPr>
      </w:pPr>
      <w:r>
        <w:rPr>
          <w:sz w:val="24"/>
          <w:szCs w:val="24"/>
        </w:rPr>
        <w:t xml:space="preserve">In respect to the new </w:t>
      </w:r>
      <w:r w:rsidR="00F4584E">
        <w:rPr>
          <w:sz w:val="24"/>
          <w:szCs w:val="24"/>
        </w:rPr>
        <w:t>post-market surveillance (</w:t>
      </w:r>
      <w:r>
        <w:rPr>
          <w:sz w:val="24"/>
          <w:szCs w:val="24"/>
        </w:rPr>
        <w:t>PMS</w:t>
      </w:r>
      <w:r w:rsidR="00F4584E">
        <w:rPr>
          <w:sz w:val="24"/>
          <w:szCs w:val="24"/>
        </w:rPr>
        <w:t>)</w:t>
      </w:r>
      <w:r>
        <w:rPr>
          <w:sz w:val="24"/>
          <w:szCs w:val="24"/>
        </w:rPr>
        <w:t xml:space="preserve"> </w:t>
      </w:r>
      <w:r w:rsidR="004062C3">
        <w:rPr>
          <w:sz w:val="24"/>
          <w:szCs w:val="24"/>
        </w:rPr>
        <w:t>requirements,</w:t>
      </w:r>
      <w:r>
        <w:rPr>
          <w:sz w:val="24"/>
          <w:szCs w:val="24"/>
        </w:rPr>
        <w:t xml:space="preserve"> this includes that</w:t>
      </w:r>
    </w:p>
    <w:p w14:paraId="23871755" w14:textId="3A9BC5E0" w:rsidR="00591EB5" w:rsidRPr="00591EB5" w:rsidRDefault="00591EB5" w:rsidP="00C21476">
      <w:pPr>
        <w:spacing w:after="120" w:line="240" w:lineRule="auto"/>
        <w:ind w:left="993" w:hanging="284"/>
        <w:jc w:val="both"/>
        <w:rPr>
          <w:sz w:val="24"/>
          <w:szCs w:val="24"/>
        </w:rPr>
      </w:pPr>
      <w:r>
        <w:rPr>
          <w:sz w:val="24"/>
          <w:szCs w:val="24"/>
        </w:rPr>
        <w:t>•</w:t>
      </w:r>
      <w:r>
        <w:rPr>
          <w:sz w:val="24"/>
          <w:szCs w:val="24"/>
        </w:rPr>
        <w:tab/>
        <w:t>a</w:t>
      </w:r>
      <w:r w:rsidRPr="00591EB5">
        <w:rPr>
          <w:sz w:val="24"/>
          <w:szCs w:val="24"/>
        </w:rPr>
        <w:t>ll appropriate processes relating to post-market surveillance including risk management and clinical data feed into the post-market surveillance plan</w:t>
      </w:r>
      <w:r w:rsidR="004062C3">
        <w:rPr>
          <w:sz w:val="24"/>
          <w:szCs w:val="24"/>
        </w:rPr>
        <w:t>,</w:t>
      </w:r>
      <w:r w:rsidRPr="00591EB5">
        <w:rPr>
          <w:sz w:val="24"/>
          <w:szCs w:val="24"/>
        </w:rPr>
        <w:t xml:space="preserve"> </w:t>
      </w:r>
    </w:p>
    <w:p w14:paraId="7823B5A5" w14:textId="5D94ED12" w:rsidR="00F4584E" w:rsidRPr="00FA71B5" w:rsidRDefault="00591EB5" w:rsidP="00481F7D">
      <w:pPr>
        <w:spacing w:after="120" w:line="240" w:lineRule="auto"/>
        <w:ind w:left="993" w:hanging="284"/>
        <w:jc w:val="both"/>
        <w:rPr>
          <w:sz w:val="24"/>
          <w:szCs w:val="24"/>
        </w:rPr>
      </w:pPr>
      <w:r>
        <w:rPr>
          <w:sz w:val="24"/>
          <w:szCs w:val="24"/>
        </w:rPr>
        <w:t>•</w:t>
      </w:r>
      <w:r>
        <w:rPr>
          <w:sz w:val="24"/>
          <w:szCs w:val="24"/>
        </w:rPr>
        <w:tab/>
      </w:r>
      <w:r w:rsidR="00F134EB">
        <w:rPr>
          <w:sz w:val="24"/>
          <w:szCs w:val="24"/>
        </w:rPr>
        <w:t xml:space="preserve">if applicable, </w:t>
      </w:r>
      <w:r>
        <w:rPr>
          <w:sz w:val="24"/>
          <w:szCs w:val="24"/>
        </w:rPr>
        <w:t>t</w:t>
      </w:r>
      <w:r w:rsidRPr="00591EB5">
        <w:rPr>
          <w:sz w:val="24"/>
          <w:szCs w:val="24"/>
        </w:rPr>
        <w:t>he output of all post-market surveillance activities shall be included and reflected in a PSUR</w:t>
      </w:r>
      <w:r w:rsidR="00F4584E">
        <w:rPr>
          <w:sz w:val="24"/>
          <w:szCs w:val="24"/>
        </w:rPr>
        <w:t>,</w:t>
      </w:r>
      <w:r w:rsidR="00503A02">
        <w:rPr>
          <w:sz w:val="24"/>
          <w:szCs w:val="24"/>
        </w:rPr>
        <w:t xml:space="preserve"> and that t</w:t>
      </w:r>
      <w:r w:rsidR="00F4584E" w:rsidRPr="00F4584E">
        <w:rPr>
          <w:sz w:val="24"/>
          <w:szCs w:val="24"/>
        </w:rPr>
        <w:t xml:space="preserve">he PSUR update cycle is appropriate and according to its current risk class as defined in Article 86 </w:t>
      </w:r>
      <w:r w:rsidR="00086456">
        <w:rPr>
          <w:sz w:val="24"/>
          <w:szCs w:val="24"/>
        </w:rPr>
        <w:t>MDR</w:t>
      </w:r>
      <w:r w:rsidR="00F4584E" w:rsidRPr="00F4584E">
        <w:rPr>
          <w:sz w:val="24"/>
          <w:szCs w:val="24"/>
        </w:rPr>
        <w:t>.</w:t>
      </w:r>
    </w:p>
    <w:p w14:paraId="36D544EC" w14:textId="383E694C" w:rsidR="00617804" w:rsidRPr="008926DC" w:rsidRDefault="00617804" w:rsidP="00F66002">
      <w:pPr>
        <w:keepNext/>
        <w:numPr>
          <w:ilvl w:val="1"/>
          <w:numId w:val="16"/>
        </w:numPr>
        <w:spacing w:after="120" w:line="240" w:lineRule="auto"/>
        <w:ind w:left="425" w:hanging="425"/>
        <w:jc w:val="both"/>
        <w:rPr>
          <w:rFonts w:ascii="Arial" w:eastAsia="Times New Roman" w:hAnsi="Arial" w:cs="Arial"/>
          <w:b/>
          <w:lang w:val="en-US" w:eastAsia="de-DE"/>
        </w:rPr>
      </w:pPr>
      <w:r w:rsidRPr="008926DC">
        <w:rPr>
          <w:rFonts w:ascii="Arial" w:eastAsia="Times New Roman" w:hAnsi="Arial" w:cs="Arial"/>
          <w:b/>
          <w:lang w:val="en-US" w:eastAsia="de-DE"/>
        </w:rPr>
        <w:t>Audit activities</w:t>
      </w:r>
    </w:p>
    <w:p w14:paraId="19C4B4B2" w14:textId="10701F23" w:rsidR="00F709E7" w:rsidRPr="00C508CA" w:rsidRDefault="001C7200" w:rsidP="00F709E7">
      <w:pPr>
        <w:jc w:val="both"/>
        <w:rPr>
          <w:sz w:val="24"/>
          <w:szCs w:val="24"/>
        </w:rPr>
      </w:pPr>
      <w:r>
        <w:rPr>
          <w:sz w:val="24"/>
          <w:szCs w:val="24"/>
        </w:rPr>
        <w:t>Based on the outcome of the documentation review (section 4.</w:t>
      </w:r>
      <w:r w:rsidR="000C2170">
        <w:rPr>
          <w:sz w:val="24"/>
          <w:szCs w:val="24"/>
        </w:rPr>
        <w:t>3</w:t>
      </w:r>
      <w:r>
        <w:rPr>
          <w:sz w:val="24"/>
          <w:szCs w:val="24"/>
        </w:rPr>
        <w:t xml:space="preserve">) the notified body needs to </w:t>
      </w:r>
      <w:r w:rsidR="0055442A">
        <w:rPr>
          <w:sz w:val="24"/>
          <w:szCs w:val="24"/>
        </w:rPr>
        <w:t>adjust</w:t>
      </w:r>
      <w:r>
        <w:rPr>
          <w:sz w:val="24"/>
          <w:szCs w:val="24"/>
        </w:rPr>
        <w:t xml:space="preserve"> </w:t>
      </w:r>
      <w:r w:rsidR="00C91910">
        <w:rPr>
          <w:sz w:val="24"/>
          <w:szCs w:val="24"/>
        </w:rPr>
        <w:t xml:space="preserve">the </w:t>
      </w:r>
      <w:r>
        <w:rPr>
          <w:sz w:val="24"/>
          <w:szCs w:val="24"/>
        </w:rPr>
        <w:t>audit programme identifying the individual audits</w:t>
      </w:r>
      <w:r w:rsidR="00F709E7">
        <w:rPr>
          <w:sz w:val="24"/>
          <w:szCs w:val="24"/>
        </w:rPr>
        <w:t xml:space="preserve"> (scope(s), objectives, sequence)</w:t>
      </w:r>
      <w:r>
        <w:rPr>
          <w:sz w:val="24"/>
          <w:szCs w:val="24"/>
        </w:rPr>
        <w:t xml:space="preserve"> </w:t>
      </w:r>
      <w:r w:rsidR="00D77B61">
        <w:rPr>
          <w:sz w:val="24"/>
          <w:szCs w:val="24"/>
        </w:rPr>
        <w:t xml:space="preserve">and </w:t>
      </w:r>
      <w:r w:rsidR="00705CBB">
        <w:rPr>
          <w:sz w:val="24"/>
          <w:szCs w:val="24"/>
        </w:rPr>
        <w:t xml:space="preserve">the respective </w:t>
      </w:r>
      <w:r>
        <w:rPr>
          <w:sz w:val="24"/>
          <w:szCs w:val="24"/>
        </w:rPr>
        <w:t>audit activities</w:t>
      </w:r>
      <w:r w:rsidR="00D77B61">
        <w:rPr>
          <w:sz w:val="24"/>
          <w:szCs w:val="24"/>
        </w:rPr>
        <w:t>, including</w:t>
      </w:r>
      <w:r w:rsidR="00C91910">
        <w:rPr>
          <w:sz w:val="24"/>
          <w:szCs w:val="24"/>
        </w:rPr>
        <w:t>,</w:t>
      </w:r>
      <w:r w:rsidR="00D77B61">
        <w:rPr>
          <w:sz w:val="24"/>
          <w:szCs w:val="24"/>
        </w:rPr>
        <w:t xml:space="preserve"> if appropriate</w:t>
      </w:r>
      <w:r w:rsidR="00C91910">
        <w:rPr>
          <w:sz w:val="24"/>
          <w:szCs w:val="24"/>
        </w:rPr>
        <w:t>,</w:t>
      </w:r>
      <w:r w:rsidR="00D77B61">
        <w:rPr>
          <w:sz w:val="24"/>
          <w:szCs w:val="24"/>
        </w:rPr>
        <w:t xml:space="preserve"> unannounced audits</w:t>
      </w:r>
      <w:r w:rsidR="009C3C6D">
        <w:rPr>
          <w:sz w:val="24"/>
          <w:szCs w:val="24"/>
        </w:rPr>
        <w:t xml:space="preserve">. This includes </w:t>
      </w:r>
      <w:r w:rsidR="00F709E7">
        <w:rPr>
          <w:sz w:val="24"/>
          <w:szCs w:val="24"/>
        </w:rPr>
        <w:t xml:space="preserve">especially </w:t>
      </w:r>
      <w:r w:rsidR="00F709E7" w:rsidRPr="000C2170">
        <w:rPr>
          <w:sz w:val="24"/>
          <w:szCs w:val="24"/>
        </w:rPr>
        <w:t>the t</w:t>
      </w:r>
      <w:r w:rsidR="00617804" w:rsidRPr="000C2170">
        <w:rPr>
          <w:sz w:val="24"/>
          <w:szCs w:val="24"/>
        </w:rPr>
        <w:t>echnical documentation assessment</w:t>
      </w:r>
      <w:r w:rsidR="00F709E7" w:rsidRPr="000C2170">
        <w:rPr>
          <w:sz w:val="24"/>
          <w:szCs w:val="24"/>
        </w:rPr>
        <w:t>s</w:t>
      </w:r>
      <w:r w:rsidR="00617804" w:rsidRPr="000C2170">
        <w:rPr>
          <w:sz w:val="24"/>
          <w:szCs w:val="24"/>
        </w:rPr>
        <w:t xml:space="preserve"> on a sampling basis</w:t>
      </w:r>
      <w:r w:rsidR="00F709E7" w:rsidRPr="000C2170">
        <w:rPr>
          <w:sz w:val="24"/>
          <w:szCs w:val="24"/>
        </w:rPr>
        <w:t>,</w:t>
      </w:r>
      <w:r w:rsidR="00F709E7">
        <w:rPr>
          <w:i/>
          <w:sz w:val="24"/>
          <w:szCs w:val="24"/>
        </w:rPr>
        <w:t xml:space="preserve"> </w:t>
      </w:r>
      <w:r w:rsidR="00F709E7">
        <w:rPr>
          <w:sz w:val="24"/>
          <w:szCs w:val="24"/>
        </w:rPr>
        <w:t xml:space="preserve">to be </w:t>
      </w:r>
      <w:r w:rsidR="00F709E7">
        <w:rPr>
          <w:sz w:val="24"/>
          <w:szCs w:val="24"/>
        </w:rPr>
        <w:lastRenderedPageBreak/>
        <w:t>performed until the end of the transition period</w:t>
      </w:r>
      <w:r w:rsidR="00922928">
        <w:rPr>
          <w:sz w:val="24"/>
          <w:szCs w:val="24"/>
        </w:rPr>
        <w:t xml:space="preserve"> or</w:t>
      </w:r>
      <w:r w:rsidR="009C3C6D">
        <w:rPr>
          <w:sz w:val="24"/>
          <w:szCs w:val="24"/>
        </w:rPr>
        <w:t>, in case the certificate(s) expires before 26 May 2024, until the end of</w:t>
      </w:r>
      <w:r w:rsidR="00922928" w:rsidRPr="00922928">
        <w:rPr>
          <w:sz w:val="24"/>
          <w:szCs w:val="24"/>
        </w:rPr>
        <w:t xml:space="preserve"> validity of the certificate(s) issued in accordance with the MDD or AIMDD</w:t>
      </w:r>
      <w:r w:rsidR="00F709E7">
        <w:rPr>
          <w:sz w:val="24"/>
          <w:szCs w:val="24"/>
        </w:rPr>
        <w:t xml:space="preserve">. </w:t>
      </w:r>
    </w:p>
    <w:p w14:paraId="1408CB7B" w14:textId="38674394" w:rsidR="003E4643" w:rsidRDefault="00617C2E" w:rsidP="00617C2E">
      <w:pPr>
        <w:jc w:val="both"/>
        <w:rPr>
          <w:sz w:val="24"/>
          <w:szCs w:val="24"/>
        </w:rPr>
      </w:pPr>
      <w:r>
        <w:rPr>
          <w:sz w:val="24"/>
          <w:szCs w:val="24"/>
        </w:rPr>
        <w:t>C</w:t>
      </w:r>
      <w:r w:rsidRPr="00617C2E">
        <w:rPr>
          <w:sz w:val="24"/>
          <w:szCs w:val="24"/>
        </w:rPr>
        <w:t xml:space="preserve">onsidering </w:t>
      </w:r>
      <w:r>
        <w:rPr>
          <w:sz w:val="24"/>
          <w:szCs w:val="24"/>
        </w:rPr>
        <w:t xml:space="preserve">the </w:t>
      </w:r>
      <w:r w:rsidRPr="00617C2E">
        <w:rPr>
          <w:sz w:val="24"/>
          <w:szCs w:val="24"/>
        </w:rPr>
        <w:t>overall intention of Art</w:t>
      </w:r>
      <w:r w:rsidR="00972E67">
        <w:rPr>
          <w:sz w:val="24"/>
          <w:szCs w:val="24"/>
        </w:rPr>
        <w:t>icle</w:t>
      </w:r>
      <w:r w:rsidRPr="00617C2E">
        <w:rPr>
          <w:sz w:val="24"/>
          <w:szCs w:val="24"/>
        </w:rPr>
        <w:t xml:space="preserve"> 120(3) </w:t>
      </w:r>
      <w:r w:rsidR="00972E67">
        <w:rPr>
          <w:sz w:val="24"/>
          <w:szCs w:val="24"/>
        </w:rPr>
        <w:t xml:space="preserve">MDR </w:t>
      </w:r>
      <w:r>
        <w:rPr>
          <w:sz w:val="24"/>
          <w:szCs w:val="24"/>
        </w:rPr>
        <w:t xml:space="preserve">that not </w:t>
      </w:r>
      <w:r w:rsidRPr="00617C2E">
        <w:rPr>
          <w:sz w:val="24"/>
          <w:szCs w:val="24"/>
        </w:rPr>
        <w:t xml:space="preserve">all MDR provisions </w:t>
      </w:r>
      <w:r>
        <w:rPr>
          <w:sz w:val="24"/>
          <w:szCs w:val="24"/>
        </w:rPr>
        <w:t xml:space="preserve">will </w:t>
      </w:r>
      <w:r w:rsidRPr="00617C2E">
        <w:rPr>
          <w:sz w:val="24"/>
          <w:szCs w:val="24"/>
        </w:rPr>
        <w:t>already appl</w:t>
      </w:r>
      <w:r w:rsidR="0095047B">
        <w:rPr>
          <w:sz w:val="24"/>
          <w:szCs w:val="24"/>
        </w:rPr>
        <w:t>y</w:t>
      </w:r>
      <w:r w:rsidRPr="00617C2E">
        <w:rPr>
          <w:sz w:val="24"/>
          <w:szCs w:val="24"/>
        </w:rPr>
        <w:t xml:space="preserve"> to </w:t>
      </w:r>
      <w:r w:rsidR="00AC5A8D" w:rsidRPr="00D71161">
        <w:rPr>
          <w:sz w:val="24"/>
          <w:szCs w:val="24"/>
        </w:rPr>
        <w:t>‘legacy devices’</w:t>
      </w:r>
      <w:r>
        <w:rPr>
          <w:sz w:val="24"/>
          <w:szCs w:val="24"/>
        </w:rPr>
        <w:t xml:space="preserve">, the </w:t>
      </w:r>
      <w:r w:rsidRPr="00617C2E">
        <w:rPr>
          <w:sz w:val="24"/>
          <w:szCs w:val="24"/>
        </w:rPr>
        <w:t xml:space="preserve">activities to be performed by notified bodies should </w:t>
      </w:r>
      <w:r w:rsidR="003E4643">
        <w:rPr>
          <w:sz w:val="24"/>
          <w:szCs w:val="24"/>
        </w:rPr>
        <w:t xml:space="preserve">be a continuation of the previous surveillance activities with a </w:t>
      </w:r>
      <w:r w:rsidRPr="00617C2E">
        <w:rPr>
          <w:sz w:val="24"/>
          <w:szCs w:val="24"/>
        </w:rPr>
        <w:t xml:space="preserve">focus on </w:t>
      </w:r>
      <w:r w:rsidR="003E4643">
        <w:rPr>
          <w:sz w:val="24"/>
          <w:szCs w:val="24"/>
        </w:rPr>
        <w:t xml:space="preserve">the new </w:t>
      </w:r>
      <w:r w:rsidRPr="00617C2E">
        <w:rPr>
          <w:sz w:val="24"/>
          <w:szCs w:val="24"/>
        </w:rPr>
        <w:t>provisions</w:t>
      </w:r>
      <w:r>
        <w:rPr>
          <w:sz w:val="24"/>
          <w:szCs w:val="24"/>
        </w:rPr>
        <w:t>.</w:t>
      </w:r>
      <w:r w:rsidR="003E4643" w:rsidRPr="003E4643">
        <w:rPr>
          <w:sz w:val="24"/>
          <w:szCs w:val="24"/>
        </w:rPr>
        <w:t xml:space="preserve"> </w:t>
      </w:r>
    </w:p>
    <w:p w14:paraId="0E9D59F4" w14:textId="51E63E77" w:rsidR="00617C2E" w:rsidRDefault="003E4643" w:rsidP="00617C2E">
      <w:pPr>
        <w:jc w:val="both"/>
        <w:rPr>
          <w:sz w:val="24"/>
          <w:szCs w:val="24"/>
        </w:rPr>
      </w:pPr>
      <w:r w:rsidRPr="003E4643">
        <w:rPr>
          <w:sz w:val="24"/>
          <w:szCs w:val="24"/>
        </w:rPr>
        <w:t>Concerning PSURs</w:t>
      </w:r>
      <w:r>
        <w:rPr>
          <w:sz w:val="24"/>
          <w:szCs w:val="24"/>
        </w:rPr>
        <w:t xml:space="preserve"> and </w:t>
      </w:r>
      <w:r w:rsidR="00F13F32">
        <w:rPr>
          <w:sz w:val="24"/>
          <w:szCs w:val="24"/>
        </w:rPr>
        <w:t>other new elements required</w:t>
      </w:r>
      <w:r w:rsidRPr="003E4643">
        <w:rPr>
          <w:sz w:val="24"/>
          <w:szCs w:val="24"/>
        </w:rPr>
        <w:t xml:space="preserve">, manufacturers </w:t>
      </w:r>
      <w:r w:rsidR="00856E1B">
        <w:rPr>
          <w:sz w:val="24"/>
          <w:szCs w:val="24"/>
        </w:rPr>
        <w:t>should</w:t>
      </w:r>
      <w:r w:rsidRPr="003E4643">
        <w:rPr>
          <w:sz w:val="24"/>
          <w:szCs w:val="24"/>
        </w:rPr>
        <w:t xml:space="preserve"> make available PSURs</w:t>
      </w:r>
      <w:r w:rsidR="00AC5A8D">
        <w:rPr>
          <w:sz w:val="24"/>
          <w:szCs w:val="24"/>
        </w:rPr>
        <w:t> </w:t>
      </w:r>
      <w:r w:rsidR="00C0640A" w:rsidRPr="003E4643">
        <w:rPr>
          <w:sz w:val="24"/>
          <w:szCs w:val="24"/>
        </w:rPr>
        <w:t>(outside EUDAMED)</w:t>
      </w:r>
      <w:r w:rsidR="00C0640A">
        <w:rPr>
          <w:sz w:val="24"/>
          <w:szCs w:val="24"/>
        </w:rPr>
        <w:t>,</w:t>
      </w:r>
      <w:r w:rsidR="00F13F32">
        <w:rPr>
          <w:sz w:val="24"/>
          <w:szCs w:val="24"/>
        </w:rPr>
        <w:t xml:space="preserve"> PMS plans and PMS reports</w:t>
      </w:r>
      <w:r w:rsidRPr="003E4643">
        <w:rPr>
          <w:sz w:val="24"/>
          <w:szCs w:val="24"/>
        </w:rPr>
        <w:t xml:space="preserve"> to their notified bodies in the framework of surveillance audits in order to allow the notified body to verify that the quality </w:t>
      </w:r>
      <w:r w:rsidR="00972E67">
        <w:rPr>
          <w:sz w:val="24"/>
          <w:szCs w:val="24"/>
        </w:rPr>
        <w:t xml:space="preserve">management </w:t>
      </w:r>
      <w:r w:rsidRPr="003E4643">
        <w:rPr>
          <w:sz w:val="24"/>
          <w:szCs w:val="24"/>
        </w:rPr>
        <w:t xml:space="preserve">system </w:t>
      </w:r>
      <w:r>
        <w:rPr>
          <w:sz w:val="24"/>
          <w:szCs w:val="24"/>
        </w:rPr>
        <w:t xml:space="preserve">has been appropriately adapted and </w:t>
      </w:r>
      <w:r w:rsidRPr="003E4643">
        <w:rPr>
          <w:sz w:val="24"/>
          <w:szCs w:val="24"/>
        </w:rPr>
        <w:t>remain</w:t>
      </w:r>
      <w:r>
        <w:rPr>
          <w:sz w:val="24"/>
          <w:szCs w:val="24"/>
        </w:rPr>
        <w:t>s</w:t>
      </w:r>
      <w:r w:rsidRPr="003E4643">
        <w:rPr>
          <w:sz w:val="24"/>
          <w:szCs w:val="24"/>
        </w:rPr>
        <w:t xml:space="preserve"> compliant </w:t>
      </w:r>
      <w:r>
        <w:rPr>
          <w:sz w:val="24"/>
          <w:szCs w:val="24"/>
        </w:rPr>
        <w:t xml:space="preserve">for </w:t>
      </w:r>
      <w:r w:rsidRPr="003E4643">
        <w:rPr>
          <w:sz w:val="24"/>
          <w:szCs w:val="24"/>
        </w:rPr>
        <w:t>the certificate</w:t>
      </w:r>
      <w:r>
        <w:rPr>
          <w:sz w:val="24"/>
          <w:szCs w:val="24"/>
        </w:rPr>
        <w:t>(s)</w:t>
      </w:r>
      <w:r w:rsidRPr="003E4643">
        <w:rPr>
          <w:sz w:val="24"/>
          <w:szCs w:val="24"/>
        </w:rPr>
        <w:t xml:space="preserve"> issued under the MDD or </w:t>
      </w:r>
      <w:r w:rsidR="00972E67">
        <w:rPr>
          <w:sz w:val="24"/>
          <w:szCs w:val="24"/>
        </w:rPr>
        <w:t xml:space="preserve">the </w:t>
      </w:r>
      <w:r w:rsidRPr="003E4643">
        <w:rPr>
          <w:sz w:val="24"/>
          <w:szCs w:val="24"/>
        </w:rPr>
        <w:t>AIMDD.</w:t>
      </w:r>
      <w:r w:rsidR="001715A7">
        <w:rPr>
          <w:sz w:val="24"/>
          <w:szCs w:val="24"/>
        </w:rPr>
        <w:t xml:space="preserve"> </w:t>
      </w:r>
    </w:p>
    <w:p w14:paraId="2833B563" w14:textId="6C9851A4" w:rsidR="00591EB5" w:rsidRDefault="00040DB8" w:rsidP="00591EB5">
      <w:pPr>
        <w:jc w:val="both"/>
        <w:rPr>
          <w:sz w:val="24"/>
          <w:szCs w:val="24"/>
        </w:rPr>
      </w:pPr>
      <w:r>
        <w:rPr>
          <w:sz w:val="24"/>
          <w:szCs w:val="24"/>
        </w:rPr>
        <w:t xml:space="preserve">Based on the audit programme individual audit plans have to be drafted (for </w:t>
      </w:r>
      <w:r w:rsidR="000C2170">
        <w:rPr>
          <w:sz w:val="24"/>
          <w:szCs w:val="24"/>
        </w:rPr>
        <w:t>individual</w:t>
      </w:r>
      <w:r>
        <w:rPr>
          <w:sz w:val="24"/>
          <w:szCs w:val="24"/>
        </w:rPr>
        <w:t xml:space="preserve"> scenarios see section 5.1) and the audits performed accordingly. </w:t>
      </w:r>
      <w:r w:rsidR="003C1C33">
        <w:rPr>
          <w:sz w:val="24"/>
          <w:szCs w:val="24"/>
        </w:rPr>
        <w:t>In respect to PSURs, notified bodies should verify PSUR procedures and availability</w:t>
      </w:r>
      <w:r w:rsidR="008B5172">
        <w:rPr>
          <w:sz w:val="24"/>
          <w:szCs w:val="24"/>
        </w:rPr>
        <w:t xml:space="preserve"> and </w:t>
      </w:r>
      <w:r w:rsidR="003C1C33">
        <w:rPr>
          <w:sz w:val="24"/>
          <w:szCs w:val="24"/>
        </w:rPr>
        <w:t>update</w:t>
      </w:r>
      <w:r w:rsidR="008B5172">
        <w:rPr>
          <w:sz w:val="24"/>
          <w:szCs w:val="24"/>
        </w:rPr>
        <w:t>s</w:t>
      </w:r>
      <w:r w:rsidR="003C1C33">
        <w:rPr>
          <w:sz w:val="24"/>
          <w:szCs w:val="24"/>
        </w:rPr>
        <w:t xml:space="preserve"> of individual PSURs in the context of its auditing activities.</w:t>
      </w:r>
    </w:p>
    <w:p w14:paraId="76589633" w14:textId="2A80E85B" w:rsidR="00687EDF" w:rsidRDefault="002C0BB3" w:rsidP="00370D50">
      <w:pPr>
        <w:jc w:val="both"/>
        <w:rPr>
          <w:sz w:val="24"/>
          <w:szCs w:val="24"/>
        </w:rPr>
      </w:pPr>
      <w:r>
        <w:rPr>
          <w:sz w:val="24"/>
          <w:szCs w:val="24"/>
        </w:rPr>
        <w:t xml:space="preserve">In case of </w:t>
      </w:r>
      <w:r w:rsidR="00D41F92">
        <w:rPr>
          <w:sz w:val="24"/>
          <w:szCs w:val="24"/>
        </w:rPr>
        <w:t xml:space="preserve">MDD </w:t>
      </w:r>
      <w:r>
        <w:rPr>
          <w:sz w:val="24"/>
          <w:szCs w:val="24"/>
        </w:rPr>
        <w:t>devices f</w:t>
      </w:r>
      <w:r w:rsidR="00D41F92">
        <w:rPr>
          <w:sz w:val="24"/>
          <w:szCs w:val="24"/>
        </w:rPr>
        <w:t xml:space="preserve">alling </w:t>
      </w:r>
      <w:r>
        <w:rPr>
          <w:sz w:val="24"/>
          <w:szCs w:val="24"/>
        </w:rPr>
        <w:t xml:space="preserve">under classes IIa and IIb, notified bodies are requested to continue </w:t>
      </w:r>
      <w:r w:rsidRPr="00C508CA">
        <w:rPr>
          <w:sz w:val="24"/>
          <w:szCs w:val="24"/>
        </w:rPr>
        <w:t>the technical documentation assessments</w:t>
      </w:r>
      <w:r w:rsidR="00D41F92">
        <w:rPr>
          <w:sz w:val="24"/>
          <w:szCs w:val="24"/>
        </w:rPr>
        <w:t xml:space="preserve"> on a sampling basis</w:t>
      </w:r>
      <w:r w:rsidRPr="00C508CA">
        <w:rPr>
          <w:sz w:val="24"/>
          <w:szCs w:val="24"/>
        </w:rPr>
        <w:t xml:space="preserve"> according to the existing sampling plan (see NBOG BPG 2009-4</w:t>
      </w:r>
      <w:r w:rsidR="00F225D8">
        <w:rPr>
          <w:rStyle w:val="FootnoteReference"/>
          <w:sz w:val="24"/>
          <w:szCs w:val="24"/>
        </w:rPr>
        <w:footnoteReference w:id="11"/>
      </w:r>
      <w:r w:rsidRPr="00C508CA">
        <w:rPr>
          <w:sz w:val="24"/>
          <w:szCs w:val="24"/>
        </w:rPr>
        <w:t>)</w:t>
      </w:r>
      <w:r>
        <w:rPr>
          <w:sz w:val="24"/>
          <w:szCs w:val="24"/>
        </w:rPr>
        <w:t xml:space="preserve">. </w:t>
      </w:r>
      <w:r w:rsidRPr="00C508CA">
        <w:rPr>
          <w:sz w:val="24"/>
          <w:szCs w:val="24"/>
        </w:rPr>
        <w:t>Generally, th</w:t>
      </w:r>
      <w:r>
        <w:rPr>
          <w:sz w:val="24"/>
          <w:szCs w:val="24"/>
        </w:rPr>
        <w:t xml:space="preserve">is activity </w:t>
      </w:r>
      <w:r w:rsidRPr="00C508CA">
        <w:rPr>
          <w:sz w:val="24"/>
          <w:szCs w:val="24"/>
        </w:rPr>
        <w:t>needs to be continued</w:t>
      </w:r>
      <w:r>
        <w:rPr>
          <w:sz w:val="24"/>
          <w:szCs w:val="24"/>
        </w:rPr>
        <w:t xml:space="preserve"> as planned but </w:t>
      </w:r>
      <w:r w:rsidRPr="00C508CA">
        <w:rPr>
          <w:sz w:val="24"/>
          <w:szCs w:val="24"/>
        </w:rPr>
        <w:t>the plan may be adjusted</w:t>
      </w:r>
      <w:r>
        <w:rPr>
          <w:sz w:val="24"/>
          <w:szCs w:val="24"/>
        </w:rPr>
        <w:t xml:space="preserve"> d</w:t>
      </w:r>
      <w:r w:rsidRPr="00C508CA">
        <w:rPr>
          <w:sz w:val="24"/>
          <w:szCs w:val="24"/>
        </w:rPr>
        <w:t>epending on the outcome of 4.3. For details see section 5.2</w:t>
      </w:r>
      <w:r>
        <w:rPr>
          <w:sz w:val="24"/>
          <w:szCs w:val="24"/>
        </w:rPr>
        <w:t>.</w:t>
      </w:r>
      <w:r w:rsidR="00D24170" w:rsidDel="00D24170">
        <w:rPr>
          <w:i/>
          <w:sz w:val="24"/>
          <w:szCs w:val="24"/>
        </w:rPr>
        <w:t xml:space="preserve"> </w:t>
      </w:r>
      <w:r w:rsidR="00370D50">
        <w:rPr>
          <w:sz w:val="24"/>
          <w:szCs w:val="24"/>
        </w:rPr>
        <w:t>A</w:t>
      </w:r>
      <w:r w:rsidR="00370D50" w:rsidRPr="004E0C4F">
        <w:rPr>
          <w:sz w:val="24"/>
          <w:szCs w:val="24"/>
        </w:rPr>
        <w:t xml:space="preserve">s part of </w:t>
      </w:r>
      <w:r w:rsidR="00370D50" w:rsidRPr="00C508CA">
        <w:rPr>
          <w:sz w:val="24"/>
          <w:szCs w:val="24"/>
        </w:rPr>
        <w:t>technical documentation assessments</w:t>
      </w:r>
      <w:r w:rsidR="00370D50">
        <w:rPr>
          <w:sz w:val="24"/>
          <w:szCs w:val="24"/>
        </w:rPr>
        <w:t>, t</w:t>
      </w:r>
      <w:r w:rsidR="00370D50" w:rsidRPr="00C55868">
        <w:rPr>
          <w:sz w:val="24"/>
          <w:szCs w:val="24"/>
        </w:rPr>
        <w:t>he manufacturer should make the PSUR available to the notified body</w:t>
      </w:r>
      <w:r w:rsidR="00370D50">
        <w:rPr>
          <w:sz w:val="24"/>
          <w:szCs w:val="24"/>
        </w:rPr>
        <w:t xml:space="preserve"> and the</w:t>
      </w:r>
      <w:r w:rsidR="00370D50" w:rsidRPr="00C55868">
        <w:rPr>
          <w:sz w:val="24"/>
          <w:szCs w:val="24"/>
        </w:rPr>
        <w:t xml:space="preserve"> </w:t>
      </w:r>
      <w:r w:rsidR="00370D50">
        <w:rPr>
          <w:sz w:val="24"/>
          <w:szCs w:val="24"/>
        </w:rPr>
        <w:t>n</w:t>
      </w:r>
      <w:r w:rsidR="00370D50" w:rsidRPr="00C55868">
        <w:rPr>
          <w:sz w:val="24"/>
          <w:szCs w:val="24"/>
        </w:rPr>
        <w:t xml:space="preserve">otified </w:t>
      </w:r>
      <w:r w:rsidR="00370D50">
        <w:rPr>
          <w:sz w:val="24"/>
          <w:szCs w:val="24"/>
        </w:rPr>
        <w:t>b</w:t>
      </w:r>
      <w:r w:rsidR="00370D50" w:rsidRPr="00C55868">
        <w:rPr>
          <w:sz w:val="24"/>
          <w:szCs w:val="24"/>
        </w:rPr>
        <w:t xml:space="preserve">ody will document its evaluation as part of the technical file assessment. </w:t>
      </w:r>
    </w:p>
    <w:p w14:paraId="53719AE4" w14:textId="4212B3FF" w:rsidR="00687EDF" w:rsidRPr="00481F7D" w:rsidRDefault="00687EDF" w:rsidP="00481F7D">
      <w:pPr>
        <w:keepNext/>
        <w:numPr>
          <w:ilvl w:val="1"/>
          <w:numId w:val="16"/>
        </w:numPr>
        <w:spacing w:after="120" w:line="240" w:lineRule="auto"/>
        <w:ind w:left="425" w:hanging="425"/>
        <w:jc w:val="both"/>
        <w:rPr>
          <w:rFonts w:ascii="Arial" w:eastAsia="Times New Roman" w:hAnsi="Arial" w:cs="Arial"/>
          <w:b/>
          <w:lang w:val="en-US" w:eastAsia="de-DE"/>
        </w:rPr>
      </w:pPr>
      <w:r w:rsidRPr="00481F7D">
        <w:rPr>
          <w:rFonts w:ascii="Arial" w:eastAsia="Times New Roman" w:hAnsi="Arial" w:cs="Arial"/>
          <w:b/>
          <w:lang w:val="en-US" w:eastAsia="de-DE"/>
        </w:rPr>
        <w:t>Information to Competent Authorities</w:t>
      </w:r>
    </w:p>
    <w:p w14:paraId="02C28E98" w14:textId="04BCB01A" w:rsidR="00687EDF" w:rsidRDefault="00687EDF" w:rsidP="00370D50">
      <w:pPr>
        <w:jc w:val="both"/>
        <w:rPr>
          <w:sz w:val="24"/>
          <w:szCs w:val="24"/>
        </w:rPr>
      </w:pPr>
      <w:r w:rsidRPr="00687EDF">
        <w:rPr>
          <w:sz w:val="24"/>
          <w:szCs w:val="24"/>
        </w:rPr>
        <w:t>In cases where the audit activities reveal major non-</w:t>
      </w:r>
      <w:r w:rsidR="005F0330">
        <w:rPr>
          <w:sz w:val="24"/>
          <w:szCs w:val="24"/>
        </w:rPr>
        <w:t>conformity, which</w:t>
      </w:r>
      <w:r w:rsidRPr="00687EDF">
        <w:rPr>
          <w:sz w:val="24"/>
          <w:szCs w:val="24"/>
        </w:rPr>
        <w:t xml:space="preserve"> may present an unacceptable risk to the health or safety of patients, users or other persons, the notified body needs to inform the </w:t>
      </w:r>
      <w:r>
        <w:rPr>
          <w:sz w:val="24"/>
          <w:szCs w:val="24"/>
        </w:rPr>
        <w:t xml:space="preserve">relevant </w:t>
      </w:r>
      <w:r w:rsidRPr="00687EDF">
        <w:rPr>
          <w:sz w:val="24"/>
          <w:szCs w:val="24"/>
        </w:rPr>
        <w:t>competent authority.</w:t>
      </w:r>
    </w:p>
    <w:p w14:paraId="38C3ECAF" w14:textId="4633CCB3" w:rsidR="001C7200" w:rsidRPr="000F7568" w:rsidRDefault="001C7200" w:rsidP="00F66002">
      <w:pPr>
        <w:pStyle w:val="ListParagraph"/>
        <w:numPr>
          <w:ilvl w:val="0"/>
          <w:numId w:val="18"/>
        </w:numPr>
        <w:spacing w:before="360" w:after="120"/>
        <w:ind w:left="425" w:hanging="425"/>
        <w:contextualSpacing w:val="0"/>
        <w:jc w:val="both"/>
        <w:rPr>
          <w:b/>
          <w:sz w:val="28"/>
        </w:rPr>
      </w:pPr>
      <w:r>
        <w:rPr>
          <w:b/>
          <w:sz w:val="28"/>
        </w:rPr>
        <w:t>Possible scenarios for the s</w:t>
      </w:r>
      <w:r w:rsidRPr="00EC3C2D">
        <w:rPr>
          <w:b/>
          <w:sz w:val="28"/>
        </w:rPr>
        <w:t>urveillance acc</w:t>
      </w:r>
      <w:r>
        <w:rPr>
          <w:b/>
          <w:sz w:val="28"/>
        </w:rPr>
        <w:t xml:space="preserve">ording to </w:t>
      </w:r>
      <w:r w:rsidR="003C444D">
        <w:rPr>
          <w:b/>
          <w:sz w:val="28"/>
        </w:rPr>
        <w:t xml:space="preserve">Article </w:t>
      </w:r>
      <w:r>
        <w:rPr>
          <w:b/>
          <w:sz w:val="28"/>
        </w:rPr>
        <w:t>120</w:t>
      </w:r>
      <w:r w:rsidRPr="00EC3C2D">
        <w:rPr>
          <w:b/>
          <w:sz w:val="28"/>
        </w:rPr>
        <w:t>(3)</w:t>
      </w:r>
      <w:r>
        <w:rPr>
          <w:b/>
          <w:sz w:val="28"/>
        </w:rPr>
        <w:t> MDR</w:t>
      </w:r>
      <w:r w:rsidRPr="000F7568">
        <w:rPr>
          <w:b/>
          <w:sz w:val="28"/>
        </w:rPr>
        <w:t xml:space="preserve"> </w:t>
      </w:r>
    </w:p>
    <w:p w14:paraId="27605BC4" w14:textId="36DEA730" w:rsidR="00F22239" w:rsidRPr="00705CBB" w:rsidRDefault="00705CBB" w:rsidP="00F22239">
      <w:pPr>
        <w:jc w:val="both"/>
        <w:rPr>
          <w:sz w:val="24"/>
          <w:szCs w:val="24"/>
        </w:rPr>
      </w:pPr>
      <w:r>
        <w:rPr>
          <w:sz w:val="24"/>
          <w:szCs w:val="24"/>
        </w:rPr>
        <w:t xml:space="preserve">Depending on the </w:t>
      </w:r>
      <w:r w:rsidR="006B727B">
        <w:rPr>
          <w:sz w:val="24"/>
          <w:szCs w:val="24"/>
        </w:rPr>
        <w:t>specific</w:t>
      </w:r>
      <w:r>
        <w:rPr>
          <w:sz w:val="24"/>
          <w:szCs w:val="24"/>
        </w:rPr>
        <w:t xml:space="preserve"> situation </w:t>
      </w:r>
      <w:r w:rsidR="006B727B">
        <w:rPr>
          <w:sz w:val="24"/>
          <w:szCs w:val="24"/>
        </w:rPr>
        <w:t>of</w:t>
      </w:r>
      <w:r>
        <w:rPr>
          <w:sz w:val="24"/>
          <w:szCs w:val="24"/>
        </w:rPr>
        <w:t xml:space="preserve"> a manufacturer</w:t>
      </w:r>
      <w:r w:rsidR="006B727B">
        <w:rPr>
          <w:sz w:val="24"/>
          <w:szCs w:val="24"/>
        </w:rPr>
        <w:t>,</w:t>
      </w:r>
      <w:r>
        <w:rPr>
          <w:sz w:val="24"/>
          <w:szCs w:val="24"/>
        </w:rPr>
        <w:t xml:space="preserve"> the individual audits to be performed under Article 120(3) MDR may be combined with audits according to </w:t>
      </w:r>
      <w:r w:rsidRPr="00705CBB">
        <w:rPr>
          <w:sz w:val="24"/>
          <w:szCs w:val="24"/>
        </w:rPr>
        <w:t>Article 52</w:t>
      </w:r>
      <w:r>
        <w:rPr>
          <w:sz w:val="24"/>
          <w:szCs w:val="24"/>
        </w:rPr>
        <w:t xml:space="preserve"> MDR and the respective </w:t>
      </w:r>
      <w:r w:rsidRPr="00705CBB">
        <w:rPr>
          <w:sz w:val="24"/>
          <w:szCs w:val="24"/>
        </w:rPr>
        <w:t>procedures set out in Annexes IX to XI.</w:t>
      </w:r>
      <w:r w:rsidR="00F22239" w:rsidRPr="00F22239">
        <w:rPr>
          <w:sz w:val="24"/>
          <w:szCs w:val="24"/>
        </w:rPr>
        <w:t xml:space="preserve"> In order to do that, the comparison table </w:t>
      </w:r>
      <w:r w:rsidR="00F22239">
        <w:rPr>
          <w:sz w:val="24"/>
          <w:szCs w:val="24"/>
        </w:rPr>
        <w:t xml:space="preserve">in the Annex </w:t>
      </w:r>
      <w:r w:rsidR="00F22239" w:rsidRPr="00F22239">
        <w:rPr>
          <w:sz w:val="24"/>
          <w:szCs w:val="24"/>
        </w:rPr>
        <w:t>should be used to show that AIMD/MDD requirements are covered by MDR requirements.</w:t>
      </w:r>
    </w:p>
    <w:p w14:paraId="13B9AA72" w14:textId="77777777" w:rsidR="00705CBB" w:rsidRPr="00F22239" w:rsidRDefault="00705CBB" w:rsidP="00F66002">
      <w:pPr>
        <w:keepNext/>
        <w:spacing w:after="120" w:line="240" w:lineRule="auto"/>
        <w:ind w:left="425" w:hanging="425"/>
        <w:jc w:val="both"/>
        <w:rPr>
          <w:rFonts w:ascii="Arial" w:eastAsia="Times New Roman" w:hAnsi="Arial" w:cs="Arial"/>
          <w:b/>
          <w:lang w:val="en-US" w:eastAsia="de-DE"/>
        </w:rPr>
      </w:pPr>
      <w:r w:rsidRPr="00F22239">
        <w:rPr>
          <w:rFonts w:ascii="Arial" w:eastAsia="Times New Roman" w:hAnsi="Arial" w:cs="Arial"/>
          <w:b/>
          <w:lang w:val="en-US" w:eastAsia="de-DE"/>
        </w:rPr>
        <w:lastRenderedPageBreak/>
        <w:t>5.1</w:t>
      </w:r>
      <w:r w:rsidRPr="00F22239">
        <w:rPr>
          <w:rFonts w:ascii="Arial" w:eastAsia="Times New Roman" w:hAnsi="Arial" w:cs="Arial"/>
          <w:b/>
          <w:lang w:val="en-US" w:eastAsia="de-DE"/>
        </w:rPr>
        <w:tab/>
        <w:t>On-site audits</w:t>
      </w:r>
    </w:p>
    <w:p w14:paraId="0F578810" w14:textId="0241D96C" w:rsidR="00931064" w:rsidRPr="00323AF6" w:rsidRDefault="00323AF6" w:rsidP="000F7568">
      <w:pPr>
        <w:jc w:val="both"/>
        <w:rPr>
          <w:sz w:val="24"/>
          <w:szCs w:val="24"/>
        </w:rPr>
      </w:pPr>
      <w:r>
        <w:rPr>
          <w:sz w:val="24"/>
          <w:szCs w:val="24"/>
        </w:rPr>
        <w:t xml:space="preserve">When establishing procedures describing activities to be performed in the context of the appropriate surveillance </w:t>
      </w:r>
      <w:r w:rsidR="0045123B">
        <w:rPr>
          <w:sz w:val="24"/>
          <w:szCs w:val="24"/>
        </w:rPr>
        <w:t xml:space="preserve">in respect of all applicable requirements relating to the MDD </w:t>
      </w:r>
      <w:r w:rsidR="00FB6991">
        <w:rPr>
          <w:sz w:val="24"/>
          <w:szCs w:val="24"/>
        </w:rPr>
        <w:t xml:space="preserve">or the AIMDD </w:t>
      </w:r>
      <w:r w:rsidR="0045123B">
        <w:rPr>
          <w:sz w:val="24"/>
          <w:szCs w:val="24"/>
        </w:rPr>
        <w:t xml:space="preserve">certified devices, the notified body </w:t>
      </w:r>
      <w:r w:rsidR="004878DC">
        <w:rPr>
          <w:sz w:val="24"/>
          <w:szCs w:val="24"/>
        </w:rPr>
        <w:t>c</w:t>
      </w:r>
      <w:r w:rsidR="0045123B">
        <w:rPr>
          <w:sz w:val="24"/>
          <w:szCs w:val="24"/>
        </w:rPr>
        <w:t xml:space="preserve">ould distinguish between three </w:t>
      </w:r>
      <w:r w:rsidR="00931064" w:rsidRPr="00323AF6">
        <w:rPr>
          <w:sz w:val="24"/>
          <w:szCs w:val="24"/>
        </w:rPr>
        <w:t>pos</w:t>
      </w:r>
      <w:r w:rsidR="0045123B">
        <w:rPr>
          <w:sz w:val="24"/>
          <w:szCs w:val="24"/>
        </w:rPr>
        <w:t>sible scenarios presented below</w:t>
      </w:r>
      <w:r w:rsidR="00ED7C39">
        <w:rPr>
          <w:sz w:val="24"/>
          <w:szCs w:val="24"/>
        </w:rPr>
        <w:t>:</w:t>
      </w:r>
    </w:p>
    <w:p w14:paraId="153072F8" w14:textId="17B44909" w:rsidR="00931064" w:rsidRPr="00323AF6" w:rsidRDefault="00931064" w:rsidP="00931064">
      <w:pPr>
        <w:jc w:val="both"/>
        <w:rPr>
          <w:sz w:val="24"/>
          <w:szCs w:val="24"/>
        </w:rPr>
      </w:pPr>
      <w:r w:rsidRPr="00323AF6">
        <w:rPr>
          <w:sz w:val="24"/>
          <w:szCs w:val="24"/>
        </w:rPr>
        <w:t>a)</w:t>
      </w:r>
      <w:r w:rsidRPr="00323AF6">
        <w:rPr>
          <w:sz w:val="24"/>
          <w:szCs w:val="24"/>
        </w:rPr>
        <w:tab/>
        <w:t xml:space="preserve">Manufacturers </w:t>
      </w:r>
      <w:r w:rsidR="004878DC">
        <w:rPr>
          <w:sz w:val="24"/>
          <w:szCs w:val="24"/>
        </w:rPr>
        <w:t xml:space="preserve">of </w:t>
      </w:r>
      <w:r w:rsidR="004878DC" w:rsidRPr="00D71161">
        <w:rPr>
          <w:sz w:val="24"/>
          <w:szCs w:val="24"/>
        </w:rPr>
        <w:t>‘legacy devices’</w:t>
      </w:r>
      <w:r w:rsidR="004878DC">
        <w:rPr>
          <w:sz w:val="24"/>
          <w:szCs w:val="24"/>
        </w:rPr>
        <w:t xml:space="preserve"> </w:t>
      </w:r>
      <w:r w:rsidRPr="00323AF6">
        <w:rPr>
          <w:sz w:val="24"/>
          <w:szCs w:val="24"/>
        </w:rPr>
        <w:t>that have not applied for certification under the MDR (and are not going to adapt their systems to MDR</w:t>
      </w:r>
      <w:r w:rsidR="006213D4" w:rsidRPr="006213D4">
        <w:t xml:space="preserve"> </w:t>
      </w:r>
      <w:r w:rsidR="006213D4" w:rsidRPr="006213D4">
        <w:rPr>
          <w:sz w:val="24"/>
          <w:szCs w:val="24"/>
        </w:rPr>
        <w:t xml:space="preserve">with the exception to those requirements specified under </w:t>
      </w:r>
      <w:r w:rsidR="006374BD">
        <w:rPr>
          <w:sz w:val="24"/>
          <w:szCs w:val="24"/>
        </w:rPr>
        <w:t>A</w:t>
      </w:r>
      <w:r w:rsidR="006213D4" w:rsidRPr="006213D4">
        <w:rPr>
          <w:sz w:val="24"/>
          <w:szCs w:val="24"/>
        </w:rPr>
        <w:t>rt</w:t>
      </w:r>
      <w:r w:rsidR="006374BD">
        <w:rPr>
          <w:sz w:val="24"/>
          <w:szCs w:val="24"/>
        </w:rPr>
        <w:t xml:space="preserve">icle </w:t>
      </w:r>
      <w:r w:rsidR="006213D4" w:rsidRPr="006213D4">
        <w:rPr>
          <w:sz w:val="24"/>
          <w:szCs w:val="24"/>
        </w:rPr>
        <w:t>120</w:t>
      </w:r>
      <w:r w:rsidR="006374BD">
        <w:rPr>
          <w:sz w:val="24"/>
          <w:szCs w:val="24"/>
        </w:rPr>
        <w:t>(</w:t>
      </w:r>
      <w:r w:rsidR="006213D4" w:rsidRPr="006213D4">
        <w:rPr>
          <w:sz w:val="24"/>
          <w:szCs w:val="24"/>
        </w:rPr>
        <w:t>3</w:t>
      </w:r>
      <w:r w:rsidR="006374BD">
        <w:rPr>
          <w:sz w:val="24"/>
          <w:szCs w:val="24"/>
        </w:rPr>
        <w:t>)</w:t>
      </w:r>
      <w:r w:rsidR="003C444D">
        <w:rPr>
          <w:sz w:val="24"/>
          <w:szCs w:val="24"/>
        </w:rPr>
        <w:t xml:space="preserve"> MDR</w:t>
      </w:r>
      <w:r w:rsidRPr="00323AF6">
        <w:rPr>
          <w:sz w:val="24"/>
          <w:szCs w:val="24"/>
        </w:rPr>
        <w:t>)</w:t>
      </w:r>
      <w:r w:rsidR="00ED7C39">
        <w:rPr>
          <w:sz w:val="24"/>
          <w:szCs w:val="24"/>
        </w:rPr>
        <w:t>,</w:t>
      </w:r>
    </w:p>
    <w:p w14:paraId="7EB74132" w14:textId="7A62A4A0" w:rsidR="00931064" w:rsidRPr="00323AF6" w:rsidRDefault="00931064" w:rsidP="00931064">
      <w:pPr>
        <w:jc w:val="both"/>
        <w:rPr>
          <w:sz w:val="24"/>
          <w:szCs w:val="24"/>
        </w:rPr>
      </w:pPr>
      <w:r w:rsidRPr="00323AF6">
        <w:rPr>
          <w:sz w:val="24"/>
          <w:szCs w:val="24"/>
        </w:rPr>
        <w:t>b)</w:t>
      </w:r>
      <w:r w:rsidRPr="00323AF6">
        <w:rPr>
          <w:sz w:val="24"/>
          <w:szCs w:val="24"/>
        </w:rPr>
        <w:tab/>
        <w:t xml:space="preserve">Manufacturers </w:t>
      </w:r>
      <w:r w:rsidR="004878DC">
        <w:rPr>
          <w:sz w:val="24"/>
          <w:szCs w:val="24"/>
        </w:rPr>
        <w:t xml:space="preserve">of </w:t>
      </w:r>
      <w:r w:rsidR="004878DC" w:rsidRPr="00D71161">
        <w:rPr>
          <w:sz w:val="24"/>
          <w:szCs w:val="24"/>
        </w:rPr>
        <w:t>‘legacy devices’</w:t>
      </w:r>
      <w:r w:rsidR="004878DC">
        <w:rPr>
          <w:sz w:val="24"/>
          <w:szCs w:val="24"/>
        </w:rPr>
        <w:t xml:space="preserve"> and MDR devices </w:t>
      </w:r>
      <w:r w:rsidRPr="00323AF6">
        <w:rPr>
          <w:sz w:val="24"/>
          <w:szCs w:val="24"/>
        </w:rPr>
        <w:t>having already implemented the MDR requirements in their systems and whose application for MDR certification is being reviewed by the notified body having issued the MDD</w:t>
      </w:r>
      <w:r w:rsidR="00D34403">
        <w:rPr>
          <w:sz w:val="24"/>
          <w:szCs w:val="24"/>
        </w:rPr>
        <w:t xml:space="preserve"> or the </w:t>
      </w:r>
      <w:r w:rsidRPr="00323AF6">
        <w:rPr>
          <w:sz w:val="24"/>
          <w:szCs w:val="24"/>
        </w:rPr>
        <w:t>AIMDD certificate(s)</w:t>
      </w:r>
      <w:r w:rsidR="00ED7C39">
        <w:rPr>
          <w:sz w:val="24"/>
          <w:szCs w:val="24"/>
        </w:rPr>
        <w:t>,</w:t>
      </w:r>
    </w:p>
    <w:p w14:paraId="4C966B87" w14:textId="33C32946" w:rsidR="0034417A" w:rsidRPr="00323AF6" w:rsidRDefault="00931064" w:rsidP="00931064">
      <w:pPr>
        <w:jc w:val="both"/>
        <w:rPr>
          <w:sz w:val="24"/>
          <w:szCs w:val="24"/>
        </w:rPr>
      </w:pPr>
      <w:r w:rsidRPr="00323AF6">
        <w:rPr>
          <w:sz w:val="24"/>
          <w:szCs w:val="24"/>
        </w:rPr>
        <w:t>c)</w:t>
      </w:r>
      <w:r w:rsidRPr="00323AF6">
        <w:rPr>
          <w:sz w:val="24"/>
          <w:szCs w:val="24"/>
        </w:rPr>
        <w:tab/>
        <w:t xml:space="preserve">Manufacturers </w:t>
      </w:r>
      <w:r w:rsidR="004878DC">
        <w:rPr>
          <w:sz w:val="24"/>
          <w:szCs w:val="24"/>
        </w:rPr>
        <w:t xml:space="preserve">of </w:t>
      </w:r>
      <w:r w:rsidR="004878DC" w:rsidRPr="00D71161">
        <w:rPr>
          <w:sz w:val="24"/>
          <w:szCs w:val="24"/>
        </w:rPr>
        <w:t>‘legacy devices’</w:t>
      </w:r>
      <w:r w:rsidR="004878DC">
        <w:rPr>
          <w:sz w:val="24"/>
          <w:szCs w:val="24"/>
        </w:rPr>
        <w:t xml:space="preserve"> and MDR devices </w:t>
      </w:r>
      <w:r w:rsidRPr="00323AF6">
        <w:rPr>
          <w:sz w:val="24"/>
          <w:szCs w:val="24"/>
        </w:rPr>
        <w:t>already certified by a notified body under MDR for the same/different types of devices.</w:t>
      </w:r>
    </w:p>
    <w:p w14:paraId="1169AF6E" w14:textId="3B20FDFA" w:rsidR="00AB460C" w:rsidRPr="00323AF6" w:rsidRDefault="00ED7C39" w:rsidP="00AB460C">
      <w:pPr>
        <w:jc w:val="both"/>
        <w:rPr>
          <w:sz w:val="24"/>
          <w:szCs w:val="24"/>
        </w:rPr>
      </w:pPr>
      <w:r>
        <w:rPr>
          <w:sz w:val="24"/>
          <w:szCs w:val="24"/>
        </w:rPr>
        <w:t>For scenario (a), notified bodies</w:t>
      </w:r>
      <w:r w:rsidR="00AB460C" w:rsidRPr="00323AF6">
        <w:rPr>
          <w:sz w:val="24"/>
          <w:szCs w:val="24"/>
        </w:rPr>
        <w:t xml:space="preserve"> should </w:t>
      </w:r>
      <w:r>
        <w:rPr>
          <w:sz w:val="24"/>
          <w:szCs w:val="24"/>
        </w:rPr>
        <w:t>ensure</w:t>
      </w:r>
      <w:r w:rsidR="00AB460C" w:rsidRPr="00323AF6">
        <w:rPr>
          <w:sz w:val="24"/>
          <w:szCs w:val="24"/>
        </w:rPr>
        <w:t xml:space="preserve"> that criteria already used for surveillance assessment under the Directives should </w:t>
      </w:r>
      <w:r>
        <w:rPr>
          <w:sz w:val="24"/>
          <w:szCs w:val="24"/>
        </w:rPr>
        <w:t xml:space="preserve">apply in addition to </w:t>
      </w:r>
      <w:r w:rsidR="00AB460C" w:rsidRPr="00323AF6">
        <w:rPr>
          <w:sz w:val="24"/>
          <w:szCs w:val="24"/>
        </w:rPr>
        <w:t>specific verification of MDR requirements “relating to post-market surveillance, market surveillance, vigilance, registration of economic operators”.</w:t>
      </w:r>
    </w:p>
    <w:p w14:paraId="6E3E520D" w14:textId="6829179E" w:rsidR="001C5115" w:rsidRPr="00323AF6" w:rsidRDefault="0034724F" w:rsidP="001C5115">
      <w:pPr>
        <w:jc w:val="both"/>
        <w:rPr>
          <w:sz w:val="24"/>
          <w:szCs w:val="24"/>
        </w:rPr>
      </w:pPr>
      <w:r>
        <w:rPr>
          <w:sz w:val="24"/>
          <w:szCs w:val="24"/>
        </w:rPr>
        <w:t>For scenarios</w:t>
      </w:r>
      <w:r w:rsidR="00AB460C" w:rsidRPr="0034724F">
        <w:rPr>
          <w:sz w:val="24"/>
          <w:szCs w:val="24"/>
        </w:rPr>
        <w:t xml:space="preserve"> </w:t>
      </w:r>
      <w:r>
        <w:rPr>
          <w:sz w:val="24"/>
          <w:szCs w:val="24"/>
        </w:rPr>
        <w:t>(</w:t>
      </w:r>
      <w:r w:rsidR="00AB460C" w:rsidRPr="0034724F">
        <w:rPr>
          <w:sz w:val="24"/>
          <w:szCs w:val="24"/>
        </w:rPr>
        <w:t>b</w:t>
      </w:r>
      <w:r>
        <w:rPr>
          <w:sz w:val="24"/>
          <w:szCs w:val="24"/>
        </w:rPr>
        <w:t>)</w:t>
      </w:r>
      <w:r w:rsidR="00AB460C" w:rsidRPr="0034724F">
        <w:rPr>
          <w:sz w:val="24"/>
          <w:szCs w:val="24"/>
        </w:rPr>
        <w:t xml:space="preserve"> and </w:t>
      </w:r>
      <w:r>
        <w:rPr>
          <w:sz w:val="24"/>
          <w:szCs w:val="24"/>
        </w:rPr>
        <w:t>(</w:t>
      </w:r>
      <w:r w:rsidR="00AB460C" w:rsidRPr="0034724F">
        <w:rPr>
          <w:sz w:val="24"/>
          <w:szCs w:val="24"/>
        </w:rPr>
        <w:t>c</w:t>
      </w:r>
      <w:r>
        <w:rPr>
          <w:sz w:val="24"/>
          <w:szCs w:val="24"/>
        </w:rPr>
        <w:t>)</w:t>
      </w:r>
      <w:r w:rsidR="00AB460C" w:rsidRPr="0034724F">
        <w:rPr>
          <w:sz w:val="24"/>
          <w:szCs w:val="24"/>
        </w:rPr>
        <w:t xml:space="preserve">, </w:t>
      </w:r>
      <w:r>
        <w:rPr>
          <w:sz w:val="24"/>
          <w:szCs w:val="24"/>
        </w:rPr>
        <w:t>in case</w:t>
      </w:r>
      <w:r w:rsidR="00AB460C" w:rsidRPr="0034724F">
        <w:rPr>
          <w:sz w:val="24"/>
          <w:szCs w:val="24"/>
        </w:rPr>
        <w:t xml:space="preserve"> the </w:t>
      </w:r>
      <w:r w:rsidR="00ED7C39" w:rsidRPr="0034724F">
        <w:rPr>
          <w:sz w:val="24"/>
          <w:szCs w:val="24"/>
        </w:rPr>
        <w:t>notified body</w:t>
      </w:r>
      <w:r w:rsidR="00AB460C" w:rsidRPr="0034724F">
        <w:rPr>
          <w:sz w:val="24"/>
          <w:szCs w:val="24"/>
        </w:rPr>
        <w:t xml:space="preserve"> is already designated under the MDR, surveillance activities </w:t>
      </w:r>
      <w:r w:rsidR="00ED7C39" w:rsidRPr="0034724F">
        <w:rPr>
          <w:sz w:val="24"/>
          <w:szCs w:val="24"/>
        </w:rPr>
        <w:t>may</w:t>
      </w:r>
      <w:r w:rsidR="00AB460C" w:rsidRPr="0034724F">
        <w:rPr>
          <w:sz w:val="24"/>
          <w:szCs w:val="24"/>
        </w:rPr>
        <w:t xml:space="preserve"> be performed according to MDR</w:t>
      </w:r>
      <w:r w:rsidRPr="0034724F">
        <w:rPr>
          <w:sz w:val="24"/>
          <w:szCs w:val="24"/>
        </w:rPr>
        <w:t xml:space="preserve">, taking into account </w:t>
      </w:r>
      <w:r w:rsidR="00AC5A8D">
        <w:rPr>
          <w:sz w:val="24"/>
          <w:szCs w:val="24"/>
        </w:rPr>
        <w:t xml:space="preserve">the </w:t>
      </w:r>
      <w:r w:rsidR="00AB460C" w:rsidRPr="0034724F">
        <w:rPr>
          <w:sz w:val="24"/>
          <w:szCs w:val="24"/>
        </w:rPr>
        <w:t>Annex to this document.</w:t>
      </w:r>
    </w:p>
    <w:p w14:paraId="1454ED03" w14:textId="35527D78" w:rsidR="006D515D" w:rsidRPr="00323AF6" w:rsidRDefault="0034724F" w:rsidP="006D515D">
      <w:pPr>
        <w:jc w:val="both"/>
        <w:rPr>
          <w:sz w:val="24"/>
          <w:szCs w:val="24"/>
        </w:rPr>
      </w:pPr>
      <w:r>
        <w:rPr>
          <w:sz w:val="24"/>
          <w:szCs w:val="24"/>
        </w:rPr>
        <w:t>In addition, for scenario</w:t>
      </w:r>
      <w:r w:rsidR="003D2325" w:rsidRPr="00323AF6">
        <w:rPr>
          <w:sz w:val="24"/>
          <w:szCs w:val="24"/>
        </w:rPr>
        <w:t xml:space="preserve"> </w:t>
      </w:r>
      <w:r>
        <w:rPr>
          <w:sz w:val="24"/>
          <w:szCs w:val="24"/>
        </w:rPr>
        <w:t>(</w:t>
      </w:r>
      <w:r w:rsidR="003D2325" w:rsidRPr="00323AF6">
        <w:rPr>
          <w:sz w:val="24"/>
          <w:szCs w:val="24"/>
        </w:rPr>
        <w:t>c</w:t>
      </w:r>
      <w:r>
        <w:rPr>
          <w:sz w:val="24"/>
          <w:szCs w:val="24"/>
        </w:rPr>
        <w:t>)</w:t>
      </w:r>
      <w:r w:rsidR="003D2325" w:rsidRPr="00323AF6">
        <w:rPr>
          <w:sz w:val="24"/>
          <w:szCs w:val="24"/>
        </w:rPr>
        <w:t xml:space="preserve">, notified bodies may decide to couple MDR audits and surveillance audits according to Article 120(3) </w:t>
      </w:r>
      <w:r w:rsidR="00F85E81">
        <w:rPr>
          <w:sz w:val="24"/>
          <w:szCs w:val="24"/>
        </w:rPr>
        <w:t xml:space="preserve">MDR </w:t>
      </w:r>
      <w:r>
        <w:rPr>
          <w:sz w:val="24"/>
          <w:szCs w:val="24"/>
        </w:rPr>
        <w:t xml:space="preserve">provided that they perform an assessment of the individual circumstances. </w:t>
      </w:r>
      <w:r w:rsidR="00B9315D">
        <w:rPr>
          <w:sz w:val="24"/>
          <w:szCs w:val="24"/>
        </w:rPr>
        <w:t>The</w:t>
      </w:r>
      <w:r>
        <w:rPr>
          <w:sz w:val="24"/>
          <w:szCs w:val="24"/>
        </w:rPr>
        <w:t xml:space="preserve"> </w:t>
      </w:r>
      <w:r w:rsidR="005C06D0">
        <w:rPr>
          <w:sz w:val="24"/>
          <w:szCs w:val="24"/>
        </w:rPr>
        <w:t xml:space="preserve">assessment and the </w:t>
      </w:r>
      <w:r>
        <w:rPr>
          <w:sz w:val="24"/>
          <w:szCs w:val="24"/>
        </w:rPr>
        <w:t xml:space="preserve">decision should be justified </w:t>
      </w:r>
      <w:r w:rsidR="005C06D0">
        <w:rPr>
          <w:sz w:val="24"/>
          <w:szCs w:val="24"/>
        </w:rPr>
        <w:t xml:space="preserve">and documented </w:t>
      </w:r>
      <w:r>
        <w:rPr>
          <w:sz w:val="24"/>
          <w:szCs w:val="24"/>
        </w:rPr>
        <w:t xml:space="preserve">taking into account </w:t>
      </w:r>
      <w:r w:rsidR="007B5EE3">
        <w:rPr>
          <w:sz w:val="24"/>
          <w:szCs w:val="24"/>
        </w:rPr>
        <w:t xml:space="preserve">elements such as </w:t>
      </w:r>
      <w:r w:rsidR="003D2325" w:rsidRPr="00323AF6">
        <w:rPr>
          <w:sz w:val="24"/>
          <w:szCs w:val="24"/>
        </w:rPr>
        <w:t>similarities on the scope covered by the MDD and MDR certificates, same manufacturing sites</w:t>
      </w:r>
      <w:r>
        <w:rPr>
          <w:sz w:val="24"/>
          <w:szCs w:val="24"/>
        </w:rPr>
        <w:t xml:space="preserve"> and other </w:t>
      </w:r>
      <w:r w:rsidR="00B9315D">
        <w:rPr>
          <w:sz w:val="24"/>
          <w:szCs w:val="24"/>
        </w:rPr>
        <w:t xml:space="preserve">relevant </w:t>
      </w:r>
      <w:r w:rsidR="007B5EE3">
        <w:rPr>
          <w:sz w:val="24"/>
          <w:szCs w:val="24"/>
        </w:rPr>
        <w:t>aspects</w:t>
      </w:r>
      <w:r w:rsidR="003D2325" w:rsidRPr="00323AF6">
        <w:rPr>
          <w:sz w:val="24"/>
          <w:szCs w:val="24"/>
        </w:rPr>
        <w:t xml:space="preserve">. </w:t>
      </w:r>
    </w:p>
    <w:p w14:paraId="3D7C13C2" w14:textId="49339A76" w:rsidR="00F27D44" w:rsidRPr="00323AF6" w:rsidRDefault="0040698B" w:rsidP="00980D5F">
      <w:pPr>
        <w:spacing w:after="120"/>
        <w:jc w:val="both"/>
        <w:rPr>
          <w:sz w:val="24"/>
          <w:szCs w:val="24"/>
        </w:rPr>
      </w:pPr>
      <w:r>
        <w:rPr>
          <w:sz w:val="24"/>
          <w:szCs w:val="24"/>
        </w:rPr>
        <w:t>Notified body’s procedures should appropriately describe how:</w:t>
      </w:r>
      <w:r w:rsidR="00F27D44" w:rsidRPr="00323AF6">
        <w:rPr>
          <w:sz w:val="24"/>
          <w:szCs w:val="24"/>
        </w:rPr>
        <w:t xml:space="preserve"> </w:t>
      </w:r>
    </w:p>
    <w:p w14:paraId="5C0EDE67" w14:textId="52E34A2D" w:rsidR="00F27D44" w:rsidRPr="0040698B" w:rsidRDefault="00F27D44" w:rsidP="00980D5F">
      <w:pPr>
        <w:pStyle w:val="ListParagraph"/>
        <w:numPr>
          <w:ilvl w:val="0"/>
          <w:numId w:val="24"/>
        </w:numPr>
        <w:ind w:left="850" w:hanging="425"/>
        <w:jc w:val="both"/>
        <w:rPr>
          <w:sz w:val="24"/>
          <w:szCs w:val="24"/>
        </w:rPr>
      </w:pPr>
      <w:r w:rsidRPr="0040698B">
        <w:rPr>
          <w:sz w:val="24"/>
          <w:szCs w:val="24"/>
        </w:rPr>
        <w:t xml:space="preserve">audit programme </w:t>
      </w:r>
      <w:r w:rsidR="0040698B" w:rsidRPr="0040698B">
        <w:rPr>
          <w:sz w:val="24"/>
          <w:szCs w:val="24"/>
        </w:rPr>
        <w:t>should be established for</w:t>
      </w:r>
      <w:r w:rsidRPr="0040698B">
        <w:rPr>
          <w:sz w:val="24"/>
          <w:szCs w:val="24"/>
        </w:rPr>
        <w:t xml:space="preserve"> individual manufacturers</w:t>
      </w:r>
      <w:r w:rsidR="0040698B" w:rsidRPr="0040698B">
        <w:rPr>
          <w:sz w:val="24"/>
          <w:szCs w:val="24"/>
        </w:rPr>
        <w:t>,</w:t>
      </w:r>
    </w:p>
    <w:p w14:paraId="417708F5" w14:textId="0FBA9D42" w:rsidR="00F27D44" w:rsidRPr="0040698B" w:rsidRDefault="00F27D44" w:rsidP="00980D5F">
      <w:pPr>
        <w:pStyle w:val="ListParagraph"/>
        <w:numPr>
          <w:ilvl w:val="0"/>
          <w:numId w:val="24"/>
        </w:numPr>
        <w:ind w:left="850" w:hanging="425"/>
        <w:jc w:val="both"/>
        <w:rPr>
          <w:sz w:val="24"/>
          <w:szCs w:val="24"/>
        </w:rPr>
      </w:pPr>
      <w:r w:rsidRPr="0040698B">
        <w:rPr>
          <w:sz w:val="24"/>
          <w:szCs w:val="24"/>
        </w:rPr>
        <w:t>audit plan</w:t>
      </w:r>
      <w:r w:rsidR="0040698B" w:rsidRPr="0040698B">
        <w:rPr>
          <w:sz w:val="24"/>
          <w:szCs w:val="24"/>
        </w:rPr>
        <w:t>s should be</w:t>
      </w:r>
      <w:r w:rsidRPr="0040698B">
        <w:rPr>
          <w:sz w:val="24"/>
          <w:szCs w:val="24"/>
        </w:rPr>
        <w:t xml:space="preserve"> drawn up and adapted for individual audits (including </w:t>
      </w:r>
      <w:r w:rsidR="0040698B" w:rsidRPr="0040698B">
        <w:rPr>
          <w:sz w:val="24"/>
          <w:szCs w:val="24"/>
        </w:rPr>
        <w:t xml:space="preserve">reference to </w:t>
      </w:r>
      <w:r w:rsidRPr="0040698B">
        <w:rPr>
          <w:sz w:val="24"/>
          <w:szCs w:val="24"/>
        </w:rPr>
        <w:t>scope, objective and duration of the audits)</w:t>
      </w:r>
    </w:p>
    <w:p w14:paraId="0E9F7C4B" w14:textId="02CF372A" w:rsidR="00F27D44" w:rsidRPr="0040698B" w:rsidRDefault="00533617" w:rsidP="00980D5F">
      <w:pPr>
        <w:pStyle w:val="ListParagraph"/>
        <w:numPr>
          <w:ilvl w:val="0"/>
          <w:numId w:val="24"/>
        </w:numPr>
        <w:ind w:left="850" w:hanging="425"/>
        <w:jc w:val="both"/>
        <w:rPr>
          <w:sz w:val="24"/>
          <w:szCs w:val="24"/>
        </w:rPr>
      </w:pPr>
      <w:r>
        <w:rPr>
          <w:sz w:val="24"/>
          <w:szCs w:val="24"/>
        </w:rPr>
        <w:t xml:space="preserve">the </w:t>
      </w:r>
      <w:r w:rsidR="00F27D44" w:rsidRPr="0040698B">
        <w:rPr>
          <w:sz w:val="24"/>
          <w:szCs w:val="24"/>
        </w:rPr>
        <w:t>comparison table</w:t>
      </w:r>
      <w:r>
        <w:rPr>
          <w:sz w:val="24"/>
          <w:szCs w:val="24"/>
        </w:rPr>
        <w:t xml:space="preserve"> reported in </w:t>
      </w:r>
      <w:r w:rsidR="005C06D0">
        <w:rPr>
          <w:sz w:val="24"/>
          <w:szCs w:val="24"/>
        </w:rPr>
        <w:t xml:space="preserve">the </w:t>
      </w:r>
      <w:r>
        <w:rPr>
          <w:sz w:val="24"/>
          <w:szCs w:val="24"/>
        </w:rPr>
        <w:t>Annex to this guidance document has been taken into account to define notified body’s activities relating to appropriate surveillance,</w:t>
      </w:r>
    </w:p>
    <w:p w14:paraId="579186E4" w14:textId="38A43B70" w:rsidR="00F27D44" w:rsidRPr="0040698B" w:rsidRDefault="005C06D0" w:rsidP="00980D5F">
      <w:pPr>
        <w:pStyle w:val="ListParagraph"/>
        <w:numPr>
          <w:ilvl w:val="0"/>
          <w:numId w:val="24"/>
        </w:numPr>
        <w:ind w:left="850" w:hanging="425"/>
        <w:jc w:val="both"/>
        <w:rPr>
          <w:sz w:val="24"/>
          <w:szCs w:val="24"/>
        </w:rPr>
      </w:pPr>
      <w:r>
        <w:rPr>
          <w:sz w:val="24"/>
          <w:szCs w:val="24"/>
        </w:rPr>
        <w:t xml:space="preserve">in case </w:t>
      </w:r>
      <w:r w:rsidR="00533617">
        <w:rPr>
          <w:sz w:val="24"/>
          <w:szCs w:val="24"/>
        </w:rPr>
        <w:t>similarities are claimed,</w:t>
      </w:r>
      <w:r w:rsidR="00533617" w:rsidRPr="0040698B">
        <w:rPr>
          <w:sz w:val="24"/>
          <w:szCs w:val="24"/>
        </w:rPr>
        <w:t xml:space="preserve"> </w:t>
      </w:r>
      <w:r w:rsidR="00533617">
        <w:rPr>
          <w:sz w:val="24"/>
          <w:szCs w:val="24"/>
        </w:rPr>
        <w:t>th</w:t>
      </w:r>
      <w:r w:rsidR="00122F61">
        <w:rPr>
          <w:sz w:val="24"/>
          <w:szCs w:val="24"/>
        </w:rPr>
        <w:t>e</w:t>
      </w:r>
      <w:r w:rsidR="00533617">
        <w:rPr>
          <w:sz w:val="24"/>
          <w:szCs w:val="24"/>
        </w:rPr>
        <w:t xml:space="preserve">se </w:t>
      </w:r>
      <w:r w:rsidR="00F27D44" w:rsidRPr="0040698B">
        <w:rPr>
          <w:sz w:val="24"/>
          <w:szCs w:val="24"/>
        </w:rPr>
        <w:t>similarities</w:t>
      </w:r>
      <w:r w:rsidR="00533617">
        <w:rPr>
          <w:sz w:val="24"/>
          <w:szCs w:val="24"/>
        </w:rPr>
        <w:t xml:space="preserve">, including </w:t>
      </w:r>
      <w:r w:rsidR="00F27D44" w:rsidRPr="0040698B">
        <w:rPr>
          <w:sz w:val="24"/>
          <w:szCs w:val="24"/>
        </w:rPr>
        <w:t>scope, manufacturing sites, processe</w:t>
      </w:r>
      <w:r w:rsidR="00533617">
        <w:rPr>
          <w:sz w:val="24"/>
          <w:szCs w:val="24"/>
        </w:rPr>
        <w:t>s, supplier/subcontractors, etc.,</w:t>
      </w:r>
      <w:r w:rsidR="00F27D44" w:rsidRPr="0040698B">
        <w:rPr>
          <w:sz w:val="24"/>
          <w:szCs w:val="24"/>
        </w:rPr>
        <w:t xml:space="preserve"> </w:t>
      </w:r>
      <w:r w:rsidR="00533617">
        <w:rPr>
          <w:sz w:val="24"/>
          <w:szCs w:val="24"/>
        </w:rPr>
        <w:t xml:space="preserve">have been </w:t>
      </w:r>
      <w:r w:rsidR="00F27D44" w:rsidRPr="0040698B">
        <w:rPr>
          <w:sz w:val="24"/>
          <w:szCs w:val="24"/>
        </w:rPr>
        <w:t>demonstrated</w:t>
      </w:r>
      <w:r w:rsidR="00533617">
        <w:rPr>
          <w:sz w:val="24"/>
          <w:szCs w:val="24"/>
        </w:rPr>
        <w:t>.</w:t>
      </w:r>
    </w:p>
    <w:p w14:paraId="1C470059" w14:textId="0255175F" w:rsidR="001C5115" w:rsidRPr="00652225" w:rsidRDefault="00652225" w:rsidP="00F66002">
      <w:pPr>
        <w:keepNext/>
        <w:spacing w:after="120" w:line="240" w:lineRule="auto"/>
        <w:ind w:left="425" w:hanging="425"/>
        <w:jc w:val="both"/>
        <w:rPr>
          <w:rFonts w:ascii="Arial" w:eastAsia="Times New Roman" w:hAnsi="Arial" w:cs="Arial"/>
          <w:b/>
          <w:lang w:val="en-US" w:eastAsia="de-DE"/>
        </w:rPr>
      </w:pPr>
      <w:r w:rsidRPr="00652225">
        <w:rPr>
          <w:rFonts w:ascii="Arial" w:eastAsia="Times New Roman" w:hAnsi="Arial" w:cs="Arial"/>
          <w:b/>
          <w:lang w:val="en-US" w:eastAsia="de-DE"/>
        </w:rPr>
        <w:lastRenderedPageBreak/>
        <w:t xml:space="preserve">5.2 Assessment </w:t>
      </w:r>
      <w:r w:rsidR="00E75352" w:rsidRPr="00652225">
        <w:rPr>
          <w:rFonts w:ascii="Arial" w:eastAsia="Times New Roman" w:hAnsi="Arial" w:cs="Arial"/>
          <w:b/>
          <w:lang w:val="en-US" w:eastAsia="de-DE"/>
        </w:rPr>
        <w:t xml:space="preserve">of technical files on a </w:t>
      </w:r>
      <w:r w:rsidRPr="00652225">
        <w:rPr>
          <w:rFonts w:ascii="Arial" w:eastAsia="Times New Roman" w:hAnsi="Arial" w:cs="Arial"/>
          <w:b/>
          <w:lang w:val="en-US" w:eastAsia="de-DE"/>
        </w:rPr>
        <w:t xml:space="preserve">sampling </w:t>
      </w:r>
      <w:r w:rsidR="00E75352" w:rsidRPr="00652225">
        <w:rPr>
          <w:rFonts w:ascii="Arial" w:eastAsia="Times New Roman" w:hAnsi="Arial" w:cs="Arial"/>
          <w:b/>
          <w:lang w:val="en-US" w:eastAsia="de-DE"/>
        </w:rPr>
        <w:t>basis</w:t>
      </w:r>
    </w:p>
    <w:p w14:paraId="03E19EE6" w14:textId="531A5FFB" w:rsidR="00F27D44" w:rsidRDefault="00E75352" w:rsidP="001C5115">
      <w:pPr>
        <w:jc w:val="both"/>
        <w:rPr>
          <w:sz w:val="24"/>
          <w:szCs w:val="24"/>
        </w:rPr>
      </w:pPr>
      <w:r>
        <w:rPr>
          <w:sz w:val="24"/>
          <w:szCs w:val="24"/>
        </w:rPr>
        <w:t xml:space="preserve">In case of </w:t>
      </w:r>
      <w:r w:rsidR="00055587">
        <w:rPr>
          <w:sz w:val="24"/>
          <w:szCs w:val="24"/>
        </w:rPr>
        <w:t>class IIa and IIb</w:t>
      </w:r>
      <w:r w:rsidR="00D41F92">
        <w:rPr>
          <w:sz w:val="24"/>
          <w:szCs w:val="24"/>
        </w:rPr>
        <w:t xml:space="preserve"> devices</w:t>
      </w:r>
      <w:r w:rsidR="00055587">
        <w:rPr>
          <w:sz w:val="24"/>
          <w:szCs w:val="24"/>
        </w:rPr>
        <w:t>, notified bodies are requested to continue applying the sampling plan established under the MDD for the assessment of the technical documentation on a representative basis.</w:t>
      </w:r>
    </w:p>
    <w:p w14:paraId="0DF099B7" w14:textId="77777777" w:rsidR="00D01202" w:rsidRDefault="00147441" w:rsidP="002A631F">
      <w:pPr>
        <w:jc w:val="both"/>
        <w:rPr>
          <w:sz w:val="24"/>
          <w:szCs w:val="24"/>
        </w:rPr>
      </w:pPr>
      <w:r>
        <w:rPr>
          <w:sz w:val="24"/>
          <w:szCs w:val="24"/>
        </w:rPr>
        <w:t xml:space="preserve">The notified body’s procedures can distinguish the different </w:t>
      </w:r>
      <w:r w:rsidR="00A12DDB">
        <w:rPr>
          <w:sz w:val="24"/>
          <w:szCs w:val="24"/>
        </w:rPr>
        <w:t xml:space="preserve">scenarios </w:t>
      </w:r>
      <w:r w:rsidR="00DB2E0F">
        <w:rPr>
          <w:sz w:val="24"/>
          <w:szCs w:val="24"/>
        </w:rPr>
        <w:t>described</w:t>
      </w:r>
      <w:r w:rsidR="00A12DDB">
        <w:rPr>
          <w:sz w:val="24"/>
          <w:szCs w:val="24"/>
        </w:rPr>
        <w:t xml:space="preserve"> in session 5.1. </w:t>
      </w:r>
    </w:p>
    <w:p w14:paraId="369B9DDB" w14:textId="0F88FF2C" w:rsidR="00EF3A5A" w:rsidRDefault="00055587" w:rsidP="00A22F62">
      <w:pPr>
        <w:spacing w:after="120"/>
        <w:jc w:val="both"/>
        <w:rPr>
          <w:sz w:val="24"/>
          <w:szCs w:val="24"/>
        </w:rPr>
      </w:pPr>
      <w:r w:rsidRPr="00506DC4">
        <w:rPr>
          <w:sz w:val="24"/>
          <w:szCs w:val="24"/>
        </w:rPr>
        <w:t>F</w:t>
      </w:r>
      <w:r w:rsidR="00A12DDB">
        <w:rPr>
          <w:sz w:val="24"/>
          <w:szCs w:val="24"/>
        </w:rPr>
        <w:t>or scenarios (</w:t>
      </w:r>
      <w:r w:rsidRPr="00506DC4">
        <w:rPr>
          <w:sz w:val="24"/>
          <w:szCs w:val="24"/>
        </w:rPr>
        <w:t>b</w:t>
      </w:r>
      <w:r w:rsidR="00A12DDB">
        <w:rPr>
          <w:sz w:val="24"/>
          <w:szCs w:val="24"/>
        </w:rPr>
        <w:t>) and (</w:t>
      </w:r>
      <w:r w:rsidRPr="00506DC4">
        <w:rPr>
          <w:sz w:val="24"/>
          <w:szCs w:val="24"/>
        </w:rPr>
        <w:t>c</w:t>
      </w:r>
      <w:r w:rsidR="00A12DDB">
        <w:rPr>
          <w:sz w:val="24"/>
          <w:szCs w:val="24"/>
        </w:rPr>
        <w:t>)</w:t>
      </w:r>
      <w:r w:rsidRPr="00506DC4">
        <w:rPr>
          <w:sz w:val="24"/>
          <w:szCs w:val="24"/>
        </w:rPr>
        <w:t xml:space="preserve">, </w:t>
      </w:r>
      <w:r w:rsidR="00A12DDB">
        <w:rPr>
          <w:sz w:val="24"/>
          <w:szCs w:val="24"/>
        </w:rPr>
        <w:t xml:space="preserve">the notified body may decide to </w:t>
      </w:r>
      <w:r w:rsidR="00147441">
        <w:rPr>
          <w:sz w:val="24"/>
          <w:szCs w:val="24"/>
        </w:rPr>
        <w:t>modify the established sampling plans</w:t>
      </w:r>
      <w:r w:rsidRPr="00506DC4">
        <w:rPr>
          <w:sz w:val="24"/>
          <w:szCs w:val="24"/>
        </w:rPr>
        <w:t xml:space="preserve"> provided that certain conditions are satisfied.</w:t>
      </w:r>
      <w:r w:rsidR="00C8529F" w:rsidRPr="00506DC4">
        <w:rPr>
          <w:sz w:val="24"/>
          <w:szCs w:val="24"/>
        </w:rPr>
        <w:t xml:space="preserve"> </w:t>
      </w:r>
      <w:r w:rsidR="00CE62CD">
        <w:rPr>
          <w:sz w:val="24"/>
          <w:szCs w:val="24"/>
        </w:rPr>
        <w:t>In particular, the</w:t>
      </w:r>
      <w:r w:rsidR="00C8529F" w:rsidRPr="00506DC4">
        <w:rPr>
          <w:sz w:val="24"/>
          <w:szCs w:val="24"/>
        </w:rPr>
        <w:t xml:space="preserve"> range of devices covered</w:t>
      </w:r>
      <w:r w:rsidR="00DB2E0F">
        <w:rPr>
          <w:sz w:val="24"/>
          <w:szCs w:val="24"/>
        </w:rPr>
        <w:t>, including the</w:t>
      </w:r>
      <w:r w:rsidR="00C8529F" w:rsidRPr="00506DC4">
        <w:rPr>
          <w:sz w:val="24"/>
          <w:szCs w:val="24"/>
        </w:rPr>
        <w:t xml:space="preserve"> intended </w:t>
      </w:r>
      <w:r w:rsidR="00FF2B77">
        <w:rPr>
          <w:sz w:val="24"/>
          <w:szCs w:val="24"/>
        </w:rPr>
        <w:t>purpose</w:t>
      </w:r>
      <w:r w:rsidR="00DB2E0F">
        <w:rPr>
          <w:sz w:val="24"/>
          <w:szCs w:val="24"/>
        </w:rPr>
        <w:t>,</w:t>
      </w:r>
      <w:r w:rsidR="00C8529F" w:rsidRPr="00506DC4">
        <w:rPr>
          <w:sz w:val="24"/>
          <w:szCs w:val="24"/>
        </w:rPr>
        <w:t xml:space="preserve"> by the MDR </w:t>
      </w:r>
      <w:r w:rsidR="002A631F">
        <w:rPr>
          <w:sz w:val="24"/>
          <w:szCs w:val="24"/>
        </w:rPr>
        <w:t xml:space="preserve">applications or </w:t>
      </w:r>
      <w:r w:rsidR="00C8529F" w:rsidRPr="00506DC4">
        <w:rPr>
          <w:sz w:val="24"/>
          <w:szCs w:val="24"/>
        </w:rPr>
        <w:t xml:space="preserve">certificates in comparison with the scope of </w:t>
      </w:r>
      <w:r w:rsidR="00DB2E0F">
        <w:rPr>
          <w:sz w:val="24"/>
          <w:szCs w:val="24"/>
        </w:rPr>
        <w:t>MDD</w:t>
      </w:r>
      <w:r w:rsidR="00C8529F" w:rsidRPr="00506DC4">
        <w:rPr>
          <w:sz w:val="24"/>
          <w:szCs w:val="24"/>
        </w:rPr>
        <w:t xml:space="preserve"> </w:t>
      </w:r>
      <w:r w:rsidR="00F85E81">
        <w:rPr>
          <w:sz w:val="24"/>
          <w:szCs w:val="24"/>
        </w:rPr>
        <w:t xml:space="preserve">or AIMDD </w:t>
      </w:r>
      <w:r w:rsidR="00C8529F" w:rsidRPr="00506DC4">
        <w:rPr>
          <w:sz w:val="24"/>
          <w:szCs w:val="24"/>
        </w:rPr>
        <w:t>certificate</w:t>
      </w:r>
      <w:r w:rsidR="00FF2B77">
        <w:rPr>
          <w:sz w:val="24"/>
          <w:szCs w:val="24"/>
        </w:rPr>
        <w:t>s</w:t>
      </w:r>
      <w:r w:rsidR="00CE62CD">
        <w:rPr>
          <w:sz w:val="24"/>
          <w:szCs w:val="24"/>
        </w:rPr>
        <w:t xml:space="preserve"> should be taken into account</w:t>
      </w:r>
      <w:r w:rsidR="00C8529F" w:rsidRPr="00506DC4">
        <w:rPr>
          <w:sz w:val="24"/>
          <w:szCs w:val="24"/>
        </w:rPr>
        <w:t xml:space="preserve">. </w:t>
      </w:r>
      <w:r w:rsidR="002A631F">
        <w:rPr>
          <w:sz w:val="24"/>
          <w:szCs w:val="24"/>
        </w:rPr>
        <w:t xml:space="preserve">Devices and their technical documentations in the MDD sampling plan which are already subject to an </w:t>
      </w:r>
      <w:r w:rsidR="005336B8">
        <w:rPr>
          <w:sz w:val="24"/>
          <w:szCs w:val="24"/>
        </w:rPr>
        <w:t xml:space="preserve">application </w:t>
      </w:r>
      <w:r w:rsidR="002A631F">
        <w:rPr>
          <w:sz w:val="24"/>
          <w:szCs w:val="24"/>
        </w:rPr>
        <w:t xml:space="preserve">under the MDR can be omitted. </w:t>
      </w:r>
      <w:r w:rsidR="005336B8">
        <w:rPr>
          <w:sz w:val="24"/>
          <w:szCs w:val="24"/>
        </w:rPr>
        <w:t xml:space="preserve">For such devices, </w:t>
      </w:r>
      <w:r w:rsidR="00EF3A5A" w:rsidRPr="002017F1">
        <w:rPr>
          <w:sz w:val="24"/>
          <w:szCs w:val="24"/>
        </w:rPr>
        <w:t>the notified body</w:t>
      </w:r>
      <w:r w:rsidR="00EB7FD6">
        <w:rPr>
          <w:sz w:val="24"/>
          <w:szCs w:val="24"/>
        </w:rPr>
        <w:t xml:space="preserve"> should</w:t>
      </w:r>
    </w:p>
    <w:p w14:paraId="617784B5" w14:textId="2F50621E" w:rsidR="00EF3A5A" w:rsidRDefault="00EB7FD6" w:rsidP="00C10CAD">
      <w:pPr>
        <w:pStyle w:val="ListParagraph"/>
        <w:numPr>
          <w:ilvl w:val="0"/>
          <w:numId w:val="24"/>
        </w:numPr>
        <w:jc w:val="both"/>
        <w:rPr>
          <w:sz w:val="24"/>
          <w:szCs w:val="24"/>
        </w:rPr>
      </w:pPr>
      <w:r>
        <w:rPr>
          <w:sz w:val="24"/>
          <w:szCs w:val="24"/>
        </w:rPr>
        <w:t xml:space="preserve">have </w:t>
      </w:r>
      <w:r w:rsidR="005336B8" w:rsidRPr="00EB7FD6">
        <w:rPr>
          <w:sz w:val="24"/>
          <w:szCs w:val="24"/>
        </w:rPr>
        <w:t>already fin</w:t>
      </w:r>
      <w:r>
        <w:rPr>
          <w:sz w:val="24"/>
          <w:szCs w:val="24"/>
        </w:rPr>
        <w:t xml:space="preserve">alised </w:t>
      </w:r>
      <w:r w:rsidR="005336B8" w:rsidRPr="00EB7FD6">
        <w:rPr>
          <w:sz w:val="24"/>
          <w:szCs w:val="24"/>
        </w:rPr>
        <w:t xml:space="preserve">the </w:t>
      </w:r>
      <w:r w:rsidR="00EF3A5A">
        <w:rPr>
          <w:sz w:val="24"/>
          <w:szCs w:val="24"/>
        </w:rPr>
        <w:t xml:space="preserve">MDR </w:t>
      </w:r>
      <w:r w:rsidR="005336B8" w:rsidRPr="00EB7FD6">
        <w:rPr>
          <w:sz w:val="24"/>
          <w:szCs w:val="24"/>
        </w:rPr>
        <w:t>application review</w:t>
      </w:r>
      <w:r w:rsidR="00C10CAD" w:rsidRPr="00C10CAD">
        <w:t xml:space="preserve"> </w:t>
      </w:r>
      <w:r w:rsidR="00C10CAD" w:rsidRPr="00C10CAD">
        <w:rPr>
          <w:sz w:val="24"/>
          <w:szCs w:val="24"/>
        </w:rPr>
        <w:t>or have issued the MDR certificates</w:t>
      </w:r>
      <w:r w:rsidR="005336B8" w:rsidRPr="00EB7FD6">
        <w:rPr>
          <w:sz w:val="24"/>
          <w:szCs w:val="24"/>
        </w:rPr>
        <w:t xml:space="preserve">, </w:t>
      </w:r>
    </w:p>
    <w:p w14:paraId="62FBAD5A" w14:textId="45BCF131" w:rsidR="00EF3A5A" w:rsidRDefault="00EB7FD6" w:rsidP="00980D5F">
      <w:pPr>
        <w:pStyle w:val="ListParagraph"/>
        <w:numPr>
          <w:ilvl w:val="0"/>
          <w:numId w:val="24"/>
        </w:numPr>
        <w:ind w:left="850" w:hanging="425"/>
        <w:jc w:val="both"/>
        <w:rPr>
          <w:sz w:val="24"/>
          <w:szCs w:val="24"/>
        </w:rPr>
      </w:pPr>
      <w:r>
        <w:rPr>
          <w:sz w:val="24"/>
          <w:szCs w:val="24"/>
        </w:rPr>
        <w:t>apply</w:t>
      </w:r>
      <w:r w:rsidR="00D01202">
        <w:rPr>
          <w:sz w:val="24"/>
          <w:szCs w:val="24"/>
        </w:rPr>
        <w:t xml:space="preserve"> </w:t>
      </w:r>
      <w:r w:rsidR="005336B8" w:rsidRPr="00EB7FD6">
        <w:rPr>
          <w:sz w:val="24"/>
          <w:szCs w:val="24"/>
        </w:rPr>
        <w:t>MDCG 2019-13 concerning sampling of devices for the assessment of the technical documentation</w:t>
      </w:r>
      <w:r w:rsidR="00EF3A5A">
        <w:rPr>
          <w:sz w:val="24"/>
          <w:szCs w:val="24"/>
        </w:rPr>
        <w:t>,</w:t>
      </w:r>
    </w:p>
    <w:p w14:paraId="5DBA5803" w14:textId="693D1FA2" w:rsidR="00EF3A5A" w:rsidRDefault="00EB7FD6" w:rsidP="00980D5F">
      <w:pPr>
        <w:pStyle w:val="ListParagraph"/>
        <w:numPr>
          <w:ilvl w:val="0"/>
          <w:numId w:val="24"/>
        </w:numPr>
        <w:ind w:left="850" w:hanging="425"/>
        <w:jc w:val="both"/>
        <w:rPr>
          <w:sz w:val="24"/>
          <w:szCs w:val="24"/>
        </w:rPr>
      </w:pPr>
      <w:r>
        <w:rPr>
          <w:sz w:val="24"/>
          <w:szCs w:val="24"/>
        </w:rPr>
        <w:t xml:space="preserve">make </w:t>
      </w:r>
      <w:r w:rsidR="005336B8" w:rsidRPr="00EB7FD6">
        <w:rPr>
          <w:sz w:val="24"/>
          <w:szCs w:val="24"/>
        </w:rPr>
        <w:t xml:space="preserve">appropriate reference to the sampling plan established under the MDR </w:t>
      </w:r>
      <w:r w:rsidR="00EF3A5A" w:rsidRPr="002017F1">
        <w:rPr>
          <w:sz w:val="24"/>
          <w:szCs w:val="24"/>
        </w:rPr>
        <w:t>in the MDD sampling plan</w:t>
      </w:r>
      <w:r w:rsidR="00EF3A5A">
        <w:rPr>
          <w:sz w:val="24"/>
          <w:szCs w:val="24"/>
        </w:rPr>
        <w:t xml:space="preserve"> and</w:t>
      </w:r>
    </w:p>
    <w:p w14:paraId="60E6688F" w14:textId="39BAD182" w:rsidR="00A7004E" w:rsidRPr="00EB7FD6" w:rsidRDefault="00A279C9" w:rsidP="00980D5F">
      <w:pPr>
        <w:pStyle w:val="ListParagraph"/>
        <w:numPr>
          <w:ilvl w:val="0"/>
          <w:numId w:val="24"/>
        </w:numPr>
        <w:ind w:left="850" w:hanging="425"/>
        <w:jc w:val="both"/>
        <w:rPr>
          <w:sz w:val="24"/>
          <w:szCs w:val="24"/>
        </w:rPr>
      </w:pPr>
      <w:r>
        <w:rPr>
          <w:sz w:val="24"/>
          <w:szCs w:val="24"/>
        </w:rPr>
        <w:t xml:space="preserve">if applicable, </w:t>
      </w:r>
      <w:r w:rsidR="00EF3A5A" w:rsidRPr="00E42FA8">
        <w:rPr>
          <w:sz w:val="24"/>
          <w:szCs w:val="24"/>
        </w:rPr>
        <w:t xml:space="preserve">inform the competent authority </w:t>
      </w:r>
      <w:r>
        <w:rPr>
          <w:sz w:val="24"/>
          <w:szCs w:val="24"/>
        </w:rPr>
        <w:t>according to se</w:t>
      </w:r>
      <w:r w:rsidR="006374BD">
        <w:rPr>
          <w:sz w:val="24"/>
          <w:szCs w:val="24"/>
        </w:rPr>
        <w:t>ct</w:t>
      </w:r>
      <w:r>
        <w:rPr>
          <w:sz w:val="24"/>
          <w:szCs w:val="24"/>
        </w:rPr>
        <w:t>ion 4.5</w:t>
      </w:r>
      <w:r w:rsidR="005336B8" w:rsidRPr="00EB7FD6">
        <w:rPr>
          <w:sz w:val="24"/>
          <w:szCs w:val="24"/>
        </w:rPr>
        <w:t xml:space="preserve">. </w:t>
      </w:r>
    </w:p>
    <w:p w14:paraId="065DBDDF" w14:textId="583FB9C2" w:rsidR="004B1701" w:rsidRPr="00FF2B77" w:rsidRDefault="00CE62CD" w:rsidP="00867ADE">
      <w:pPr>
        <w:jc w:val="both"/>
        <w:rPr>
          <w:sz w:val="24"/>
          <w:szCs w:val="24"/>
        </w:rPr>
      </w:pPr>
      <w:r>
        <w:rPr>
          <w:sz w:val="24"/>
          <w:szCs w:val="24"/>
        </w:rPr>
        <w:t xml:space="preserve">Notified bodies procedures </w:t>
      </w:r>
      <w:r w:rsidRPr="00506DC4">
        <w:rPr>
          <w:sz w:val="24"/>
          <w:szCs w:val="24"/>
        </w:rPr>
        <w:t>should specify in which cases deviations from or adap</w:t>
      </w:r>
      <w:r>
        <w:rPr>
          <w:sz w:val="24"/>
          <w:szCs w:val="24"/>
        </w:rPr>
        <w:t xml:space="preserve">tations to the </w:t>
      </w:r>
      <w:r w:rsidR="002A631F">
        <w:rPr>
          <w:sz w:val="24"/>
          <w:szCs w:val="24"/>
        </w:rPr>
        <w:t xml:space="preserve">sampling </w:t>
      </w:r>
      <w:r>
        <w:rPr>
          <w:sz w:val="24"/>
          <w:szCs w:val="24"/>
        </w:rPr>
        <w:t>plan</w:t>
      </w:r>
      <w:r w:rsidR="002A631F">
        <w:rPr>
          <w:sz w:val="24"/>
          <w:szCs w:val="24"/>
        </w:rPr>
        <w:t>s</w:t>
      </w:r>
      <w:r>
        <w:rPr>
          <w:sz w:val="24"/>
          <w:szCs w:val="24"/>
        </w:rPr>
        <w:t xml:space="preserve"> </w:t>
      </w:r>
      <w:r w:rsidR="00DB2E0F">
        <w:rPr>
          <w:sz w:val="24"/>
          <w:szCs w:val="24"/>
        </w:rPr>
        <w:t xml:space="preserve">established under the MDD </w:t>
      </w:r>
      <w:r>
        <w:rPr>
          <w:sz w:val="24"/>
          <w:szCs w:val="24"/>
        </w:rPr>
        <w:t>may be ma</w:t>
      </w:r>
      <w:r w:rsidR="00FF2B77">
        <w:rPr>
          <w:sz w:val="24"/>
          <w:szCs w:val="24"/>
        </w:rPr>
        <w:t>de.</w:t>
      </w:r>
      <w:r w:rsidRPr="00506DC4">
        <w:rPr>
          <w:sz w:val="24"/>
          <w:szCs w:val="24"/>
        </w:rPr>
        <w:t xml:space="preserve"> </w:t>
      </w:r>
    </w:p>
    <w:p w14:paraId="5A2E9349" w14:textId="296E3578" w:rsidR="007A385C" w:rsidRPr="00652225" w:rsidRDefault="007A385C" w:rsidP="00652225">
      <w:pPr>
        <w:pageBreakBefore/>
        <w:ind w:left="1418" w:hanging="1418"/>
        <w:jc w:val="both"/>
        <w:rPr>
          <w:b/>
          <w:sz w:val="28"/>
          <w:szCs w:val="24"/>
        </w:rPr>
      </w:pPr>
      <w:r w:rsidRPr="00652225">
        <w:rPr>
          <w:b/>
          <w:sz w:val="28"/>
        </w:rPr>
        <w:lastRenderedPageBreak/>
        <w:t xml:space="preserve">Annex </w:t>
      </w:r>
      <w:r w:rsidRPr="00652225">
        <w:rPr>
          <w:b/>
          <w:sz w:val="28"/>
        </w:rPr>
        <w:tab/>
      </w:r>
      <w:r w:rsidRPr="00652225">
        <w:rPr>
          <w:b/>
          <w:sz w:val="28"/>
          <w:szCs w:val="24"/>
        </w:rPr>
        <w:t xml:space="preserve">Comparison table – quality </w:t>
      </w:r>
      <w:r w:rsidR="00511F7D" w:rsidRPr="00511F7D">
        <w:rPr>
          <w:b/>
          <w:sz w:val="28"/>
          <w:szCs w:val="24"/>
        </w:rPr>
        <w:t xml:space="preserve">management </w:t>
      </w:r>
      <w:r w:rsidRPr="00652225">
        <w:rPr>
          <w:b/>
          <w:sz w:val="28"/>
          <w:szCs w:val="24"/>
        </w:rPr>
        <w:t>system requirements in the MDD and the MDR</w:t>
      </w:r>
    </w:p>
    <w:p w14:paraId="76668F4C" w14:textId="23026050" w:rsidR="007A385C" w:rsidRDefault="007A385C" w:rsidP="00867ADE">
      <w:pPr>
        <w:jc w:val="both"/>
        <w:rPr>
          <w:sz w:val="24"/>
        </w:rPr>
      </w:pPr>
    </w:p>
    <w:p w14:paraId="51E26EB6" w14:textId="76BE12F5" w:rsidR="00F66002" w:rsidRDefault="00F66002" w:rsidP="00867ADE">
      <w:pPr>
        <w:jc w:val="both"/>
        <w:rPr>
          <w:sz w:val="24"/>
        </w:rPr>
      </w:pPr>
    </w:p>
    <w:p w14:paraId="74EA2ED9" w14:textId="2373F363" w:rsidR="00F66002" w:rsidRPr="001E3B76" w:rsidRDefault="00F66002" w:rsidP="00F66002">
      <w:pPr>
        <w:jc w:val="center"/>
        <w:rPr>
          <w:sz w:val="24"/>
        </w:rPr>
      </w:pPr>
      <w:r>
        <w:rPr>
          <w:sz w:val="24"/>
        </w:rPr>
        <w:object w:dxaOrig="1503" w:dyaOrig="982" w14:anchorId="23EE8E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2pt;height:49.55pt" o:ole="">
            <v:imagedata r:id="rId8" o:title=""/>
          </v:shape>
          <o:OLEObject Type="Embed" ProgID="Excel.Sheet.12" ShapeID="_x0000_i1025" DrawAspect="Icon" ObjectID="_1698132718" r:id="rId9"/>
        </w:object>
      </w:r>
    </w:p>
    <w:sectPr w:rsidR="00F66002" w:rsidRPr="001E3B76" w:rsidSect="00091F43">
      <w:headerReference w:type="default" r:id="rId10"/>
      <w:footerReference w:type="default" r:id="rId11"/>
      <w:pgSz w:w="11906" w:h="16838"/>
      <w:pgMar w:top="1417" w:right="1417" w:bottom="1417" w:left="1417"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3950CB" w14:textId="77777777" w:rsidR="007B38ED" w:rsidRDefault="007B38ED" w:rsidP="001E3B76">
      <w:pPr>
        <w:spacing w:after="0" w:line="240" w:lineRule="auto"/>
      </w:pPr>
      <w:r>
        <w:separator/>
      </w:r>
    </w:p>
  </w:endnote>
  <w:endnote w:type="continuationSeparator" w:id="0">
    <w:p w14:paraId="178DC8A4" w14:textId="77777777" w:rsidR="007B38ED" w:rsidRDefault="007B38ED" w:rsidP="001E3B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6587420"/>
      <w:docPartObj>
        <w:docPartGallery w:val="Page Numbers (Bottom of Page)"/>
        <w:docPartUnique/>
      </w:docPartObj>
    </w:sdtPr>
    <w:sdtEndPr>
      <w:rPr>
        <w:noProof/>
      </w:rPr>
    </w:sdtEndPr>
    <w:sdtContent>
      <w:p w14:paraId="100337AF" w14:textId="2A849EAF" w:rsidR="007B38ED" w:rsidRDefault="007B38ED" w:rsidP="00F66002">
        <w:pPr>
          <w:pStyle w:val="Footer"/>
          <w:jc w:val="right"/>
        </w:pPr>
        <w:r>
          <w:t xml:space="preserve">Page </w:t>
        </w:r>
        <w:r>
          <w:fldChar w:fldCharType="begin"/>
        </w:r>
        <w:r>
          <w:instrText xml:space="preserve"> PAGE   \* MERGEFORMAT </w:instrText>
        </w:r>
        <w:r>
          <w:fldChar w:fldCharType="separate"/>
        </w:r>
        <w:r w:rsidR="00FA65AA">
          <w:rPr>
            <w:noProof/>
          </w:rPr>
          <w:t>2</w:t>
        </w:r>
        <w:r>
          <w:rPr>
            <w:noProof/>
          </w:rPr>
          <w:fldChar w:fldCharType="end"/>
        </w:r>
        <w:r>
          <w:rPr>
            <w:noProof/>
          </w:rPr>
          <w:t xml:space="preserve"> of </w:t>
        </w:r>
        <w:r>
          <w:rPr>
            <w:noProof/>
          </w:rPr>
          <w:fldChar w:fldCharType="begin"/>
        </w:r>
        <w:r>
          <w:rPr>
            <w:noProof/>
          </w:rPr>
          <w:instrText xml:space="preserve"> NUMPAGES   \* MERGEFORMAT </w:instrText>
        </w:r>
        <w:r>
          <w:rPr>
            <w:noProof/>
          </w:rPr>
          <w:fldChar w:fldCharType="separate"/>
        </w:r>
        <w:r w:rsidR="00FA65AA">
          <w:rPr>
            <w:noProof/>
          </w:rPr>
          <w:t>8</w:t>
        </w:r>
        <w:r>
          <w:rPr>
            <w:noProof/>
          </w:rPr>
          <w:fldChar w:fldCharType="end"/>
        </w:r>
      </w:p>
    </w:sdtContent>
  </w:sdt>
  <w:p w14:paraId="4DAB1A25" w14:textId="77777777" w:rsidR="007B38ED" w:rsidRDefault="007B38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366B7B" w14:textId="77777777" w:rsidR="007B38ED" w:rsidRDefault="007B38ED" w:rsidP="001E3B76">
      <w:pPr>
        <w:spacing w:after="0" w:line="240" w:lineRule="auto"/>
      </w:pPr>
      <w:r>
        <w:separator/>
      </w:r>
    </w:p>
  </w:footnote>
  <w:footnote w:type="continuationSeparator" w:id="0">
    <w:p w14:paraId="5EFE3BD3" w14:textId="77777777" w:rsidR="007B38ED" w:rsidRDefault="007B38ED" w:rsidP="001E3B76">
      <w:pPr>
        <w:spacing w:after="0" w:line="240" w:lineRule="auto"/>
      </w:pPr>
      <w:r>
        <w:continuationSeparator/>
      </w:r>
    </w:p>
  </w:footnote>
  <w:footnote w:id="1">
    <w:p w14:paraId="38F2936D" w14:textId="570C05F9" w:rsidR="00200E44" w:rsidRPr="00200E44" w:rsidRDefault="00200E44">
      <w:pPr>
        <w:pStyle w:val="FootnoteText"/>
      </w:pPr>
      <w:r>
        <w:rPr>
          <w:rStyle w:val="FootnoteReference"/>
        </w:rPr>
        <w:footnoteRef/>
      </w:r>
      <w:r>
        <w:t xml:space="preserve"> </w:t>
      </w:r>
      <w:r w:rsidRPr="00200E44">
        <w:t>MDCG 2020-3 “Guidance on significant changes regarding the transitional provision under Article 120 of the MDR with regard to devices covered by certificates according to MDD or AIMDD” https://ec.europa.eu/health/sites/default/files/md_sector/docs/md_mdcg_guidance_significant_changes_annexes_en.pdf.</w:t>
      </w:r>
    </w:p>
  </w:footnote>
  <w:footnote w:id="2">
    <w:p w14:paraId="23563521" w14:textId="24E8FC0A" w:rsidR="00B928B4" w:rsidRPr="00B928B4" w:rsidRDefault="00B928B4">
      <w:pPr>
        <w:pStyle w:val="FootnoteText"/>
      </w:pPr>
      <w:r>
        <w:rPr>
          <w:rStyle w:val="FootnoteReference"/>
        </w:rPr>
        <w:footnoteRef/>
      </w:r>
      <w:r>
        <w:t xml:space="preserve"> </w:t>
      </w:r>
      <w:r w:rsidRPr="00B928B4">
        <w:rPr>
          <w:lang w:val="en-IE"/>
        </w:rPr>
        <w:t xml:space="preserve">See also MDCG 2021-25 “Application of MDR requirements to ‘legacy devices’ and to devices placed on the market prior to 26 May 2021 in accordance with Directives 90/385/EEC or 93/42/EEC” </w:t>
      </w:r>
      <w:hyperlink r:id="rId1" w:history="1">
        <w:r w:rsidRPr="00B928B4">
          <w:rPr>
            <w:rStyle w:val="Hyperlink"/>
            <w:lang w:val="en-IE"/>
          </w:rPr>
          <w:t>https://ec.europa.eu/health/sites/default/files/md_sector/docs/md_mdcg_2021_25_en.pdf</w:t>
        </w:r>
      </w:hyperlink>
      <w:r w:rsidRPr="00B928B4">
        <w:rPr>
          <w:lang w:val="en-IE"/>
        </w:rPr>
        <w:t>.</w:t>
      </w:r>
    </w:p>
  </w:footnote>
  <w:footnote w:id="3">
    <w:p w14:paraId="2E17AE70" w14:textId="152966FA" w:rsidR="007B38ED" w:rsidRPr="00654412" w:rsidRDefault="007B38ED" w:rsidP="00FE6348">
      <w:pPr>
        <w:pStyle w:val="FootnoteText"/>
        <w:jc w:val="both"/>
        <w:rPr>
          <w:sz w:val="16"/>
        </w:rPr>
      </w:pPr>
      <w:r w:rsidRPr="00654412">
        <w:rPr>
          <w:rStyle w:val="FootnoteReference"/>
          <w:sz w:val="16"/>
        </w:rPr>
        <w:footnoteRef/>
      </w:r>
      <w:r w:rsidRPr="00654412">
        <w:rPr>
          <w:sz w:val="16"/>
        </w:rPr>
        <w:t xml:space="preserve"> </w:t>
      </w:r>
      <w:r w:rsidRPr="00654412">
        <w:t xml:space="preserve">According to Article 120(1) MDR, from 26 May 2021 any publication of a notification in respect of a notified body in accordance with Directives 90/385/EEC and 93/42/EEC becomes void. Irrespective of this, the term “notified body” will be used throughout this document for </w:t>
      </w:r>
      <w:r w:rsidRPr="00481FB2">
        <w:t>those “previous</w:t>
      </w:r>
      <w:r w:rsidRPr="00654412">
        <w:t>” notified bodies.</w:t>
      </w:r>
    </w:p>
  </w:footnote>
  <w:footnote w:id="4">
    <w:p w14:paraId="0E072116" w14:textId="7C67CEC3" w:rsidR="00305D1C" w:rsidRPr="00305D1C" w:rsidRDefault="00305D1C">
      <w:pPr>
        <w:pStyle w:val="FootnoteText"/>
      </w:pPr>
      <w:r>
        <w:rPr>
          <w:rStyle w:val="FootnoteReference"/>
        </w:rPr>
        <w:footnoteRef/>
      </w:r>
      <w:r>
        <w:t xml:space="preserve"> </w:t>
      </w:r>
      <w:r w:rsidRPr="00305D1C">
        <w:rPr>
          <w:lang w:val="en-IE"/>
        </w:rPr>
        <w:t xml:space="preserve">MDCG 2019-10 rev.1 “Application of transitional provisions concerning validity of certificates issued in accordance to the directives” </w:t>
      </w:r>
      <w:hyperlink r:id="rId2" w:history="1">
        <w:r w:rsidRPr="00305D1C">
          <w:rPr>
            <w:rStyle w:val="Hyperlink"/>
            <w:lang w:val="en-IE"/>
          </w:rPr>
          <w:t>https://ec.europa.eu/health/sites/default/files/md_sector/docs/md_application-transitional-provisions-certificates_en.pdf</w:t>
        </w:r>
      </w:hyperlink>
      <w:r w:rsidRPr="00305D1C">
        <w:rPr>
          <w:lang w:val="en-IE"/>
        </w:rPr>
        <w:t>.</w:t>
      </w:r>
    </w:p>
  </w:footnote>
  <w:footnote w:id="5">
    <w:p w14:paraId="51CF70B8" w14:textId="06737B3E" w:rsidR="00E92B79" w:rsidRPr="00E92B79" w:rsidRDefault="00E92B79">
      <w:pPr>
        <w:pStyle w:val="FootnoteText"/>
      </w:pPr>
      <w:r>
        <w:rPr>
          <w:rStyle w:val="FootnoteReference"/>
        </w:rPr>
        <w:footnoteRef/>
      </w:r>
      <w:r>
        <w:t xml:space="preserve"> </w:t>
      </w:r>
      <w:r w:rsidRPr="00E92B79">
        <w:rPr>
          <w:lang w:val="en-IE"/>
        </w:rPr>
        <w:t xml:space="preserve">MDCG 2021-1 Rev. 1 “Guidance on harmonised administrative practices and alternative technical solutions until EUDAMED is fully functional” </w:t>
      </w:r>
      <w:hyperlink r:id="rId3" w:history="1">
        <w:r w:rsidRPr="00E92B79">
          <w:rPr>
            <w:rStyle w:val="Hyperlink"/>
            <w:lang w:val="en-IE"/>
          </w:rPr>
          <w:t>https://ec.europa.eu/health/sites/health/files/md_sector/docs/2021-1_guidance-administrative-practices_en.pdf</w:t>
        </w:r>
      </w:hyperlink>
      <w:r w:rsidRPr="00E92B79">
        <w:rPr>
          <w:lang w:val="en-IE"/>
        </w:rPr>
        <w:t>.</w:t>
      </w:r>
    </w:p>
  </w:footnote>
  <w:footnote w:id="6">
    <w:p w14:paraId="1580AD5A" w14:textId="52B52926" w:rsidR="002139F2" w:rsidRPr="002139F2" w:rsidRDefault="002139F2">
      <w:pPr>
        <w:pStyle w:val="FootnoteText"/>
      </w:pPr>
      <w:r>
        <w:rPr>
          <w:rStyle w:val="FootnoteReference"/>
        </w:rPr>
        <w:footnoteRef/>
      </w:r>
      <w:r>
        <w:t xml:space="preserve"> </w:t>
      </w:r>
      <w:r w:rsidRPr="002139F2">
        <w:rPr>
          <w:lang w:val="en-IE"/>
        </w:rPr>
        <w:t xml:space="preserve">MDCG 2019-5 “Registration of legacy devices in EUDAMED” </w:t>
      </w:r>
      <w:hyperlink r:id="rId4" w:history="1">
        <w:r w:rsidRPr="002139F2">
          <w:rPr>
            <w:rStyle w:val="Hyperlink"/>
            <w:lang w:val="en-IE"/>
          </w:rPr>
          <w:t>https://ec.europa.eu/health/sites/default/files/md_sector/docs/md_mdcg_2019_5_legacy_devices_registration_eudamed_en.pdf</w:t>
        </w:r>
      </w:hyperlink>
      <w:r w:rsidRPr="002139F2">
        <w:rPr>
          <w:lang w:val="en-IE"/>
        </w:rPr>
        <w:t>.</w:t>
      </w:r>
    </w:p>
  </w:footnote>
  <w:footnote w:id="7">
    <w:p w14:paraId="00846874" w14:textId="7916C851" w:rsidR="007B38ED" w:rsidRPr="0062469A" w:rsidRDefault="007B38ED" w:rsidP="00E6175F">
      <w:pPr>
        <w:pStyle w:val="FootnoteText"/>
        <w:jc w:val="both"/>
      </w:pPr>
      <w:r>
        <w:rPr>
          <w:rStyle w:val="FootnoteReference"/>
        </w:rPr>
        <w:footnoteRef/>
      </w:r>
      <w:r>
        <w:t xml:space="preserve"> For registration of </w:t>
      </w:r>
      <w:r w:rsidR="006610EB">
        <w:t>‘</w:t>
      </w:r>
      <w:r w:rsidR="00B145E6" w:rsidRPr="00B145E6">
        <w:t>legacy devices</w:t>
      </w:r>
      <w:r w:rsidR="006610EB">
        <w:t>’</w:t>
      </w:r>
      <w:r w:rsidR="00A0241A" w:rsidRPr="00A0241A">
        <w:t xml:space="preserve"> </w:t>
      </w:r>
      <w:r w:rsidR="00A0241A">
        <w:t>in EUDAMED</w:t>
      </w:r>
      <w:r>
        <w:t xml:space="preserve">, manufacturers as well as authorised representatives can indicate that information related to the person responsible for regulatory compliance is not applicable (e.g. “N.A.”) providing a justification in the registration request for the relevant Competent Authority. </w:t>
      </w:r>
      <w:r w:rsidR="00A0241A">
        <w:t xml:space="preserve">Given that Article 15 does not apply to </w:t>
      </w:r>
      <w:r w:rsidR="006610EB">
        <w:t>‘</w:t>
      </w:r>
      <w:r w:rsidR="00B145E6" w:rsidRPr="00B145E6">
        <w:t>legacy devices</w:t>
      </w:r>
      <w:r w:rsidR="006610EB">
        <w:t>’</w:t>
      </w:r>
      <w:r w:rsidR="00A0241A">
        <w:t>, t</w:t>
      </w:r>
      <w:r>
        <w:t xml:space="preserve">his would be applicable also in case </w:t>
      </w:r>
      <w:r w:rsidR="001A78C5">
        <w:t xml:space="preserve">of </w:t>
      </w:r>
      <w:r>
        <w:t xml:space="preserve">Member States </w:t>
      </w:r>
      <w:r w:rsidR="001A78C5">
        <w:t xml:space="preserve">having </w:t>
      </w:r>
      <w:r w:rsidRPr="00E6175F">
        <w:t>introduced the EUDAMED Actor module as compulsory for actor registration</w:t>
      </w:r>
      <w:r>
        <w:t>.</w:t>
      </w:r>
    </w:p>
  </w:footnote>
  <w:footnote w:id="8">
    <w:p w14:paraId="6F2729F3" w14:textId="26C67E68" w:rsidR="007B38ED" w:rsidRPr="00527A91" w:rsidRDefault="007B38ED" w:rsidP="00527A91">
      <w:pPr>
        <w:pStyle w:val="FootnoteText"/>
        <w:jc w:val="both"/>
      </w:pPr>
      <w:r>
        <w:rPr>
          <w:rStyle w:val="FootnoteReference"/>
        </w:rPr>
        <w:footnoteRef/>
      </w:r>
      <w:r>
        <w:t xml:space="preserve"> See </w:t>
      </w:r>
      <w:hyperlink r:id="rId5" w:history="1">
        <w:r w:rsidRPr="00527A91">
          <w:rPr>
            <w:rStyle w:val="Hyperlink"/>
          </w:rPr>
          <w:t>MDCG 2021-25</w:t>
        </w:r>
      </w:hyperlink>
      <w:r>
        <w:t xml:space="preserve"> </w:t>
      </w:r>
      <w:r w:rsidR="00E51DFC">
        <w:t>“</w:t>
      </w:r>
      <w:r>
        <w:t>Regulation (EU) 2017/745 - application of MDR requirements to ‘legacy devices’ and to devices placed on the market prior to 26 May 2021 in accordance with Directives 90/385/EEC or 93/42/EEC</w:t>
      </w:r>
      <w:r w:rsidR="00E51DFC">
        <w:t>”</w:t>
      </w:r>
      <w:r w:rsidR="00E51DFC" w:rsidRPr="00E51DFC">
        <w:rPr>
          <w:sz w:val="22"/>
          <w:szCs w:val="22"/>
          <w:lang w:val="en-IE"/>
        </w:rPr>
        <w:t xml:space="preserve"> </w:t>
      </w:r>
      <w:hyperlink r:id="rId6" w:history="1">
        <w:r w:rsidR="00E51DFC" w:rsidRPr="00E51DFC">
          <w:rPr>
            <w:rStyle w:val="Hyperlink"/>
            <w:lang w:val="en-IE"/>
          </w:rPr>
          <w:t>https://ec.europa.eu/health/sites/default/files/md_sector/docs/md_mdcg_2021_25_en.pdf</w:t>
        </w:r>
      </w:hyperlink>
      <w:r>
        <w:t>.</w:t>
      </w:r>
      <w:r>
        <w:cr/>
      </w:r>
    </w:p>
  </w:footnote>
  <w:footnote w:id="9">
    <w:p w14:paraId="3ABF261E" w14:textId="7736824C" w:rsidR="007B38ED" w:rsidRPr="00EF4D4B" w:rsidRDefault="007B38ED">
      <w:pPr>
        <w:pStyle w:val="FootnoteText"/>
      </w:pPr>
      <w:r>
        <w:rPr>
          <w:rStyle w:val="FootnoteReference"/>
        </w:rPr>
        <w:footnoteRef/>
      </w:r>
      <w:r>
        <w:t xml:space="preserve"> </w:t>
      </w:r>
      <w:r w:rsidRPr="00C6795F">
        <w:t xml:space="preserve">See </w:t>
      </w:r>
      <w:hyperlink r:id="rId7" w:history="1">
        <w:r w:rsidRPr="00D37627">
          <w:rPr>
            <w:rStyle w:val="Hyperlink"/>
          </w:rPr>
          <w:t>https://ec.europa.eu/health/sites/health/files/md_sector/docs/md_mdcg_camd_mdr_en.pdf</w:t>
        </w:r>
      </w:hyperlink>
      <w:r>
        <w:t xml:space="preserve"> </w:t>
      </w:r>
    </w:p>
  </w:footnote>
  <w:footnote w:id="10">
    <w:p w14:paraId="0191B232" w14:textId="25AFCE3E" w:rsidR="007B38ED" w:rsidRPr="00ED11AC" w:rsidRDefault="007B38ED">
      <w:pPr>
        <w:pStyle w:val="FootnoteText"/>
      </w:pPr>
      <w:r>
        <w:rPr>
          <w:rStyle w:val="FootnoteReference"/>
        </w:rPr>
        <w:footnoteRef/>
      </w:r>
      <w:r>
        <w:t xml:space="preserve"> See </w:t>
      </w:r>
      <w:hyperlink r:id="rId8" w:history="1">
        <w:r w:rsidRPr="008919EF">
          <w:rPr>
            <w:rStyle w:val="Hyperlink"/>
          </w:rPr>
          <w:t>https://ec.europa.eu/health/md_sector/new_regulations/guidance_en</w:t>
        </w:r>
      </w:hyperlink>
      <w:r>
        <w:t xml:space="preserve">, especially </w:t>
      </w:r>
      <w:r w:rsidRPr="00C6795F">
        <w:t xml:space="preserve"> </w:t>
      </w:r>
      <w:hyperlink r:id="rId9" w:history="1">
        <w:r w:rsidRPr="004C243E">
          <w:rPr>
            <w:rStyle w:val="Hyperlink"/>
          </w:rPr>
          <w:t>https://ec.europa.eu/health/sites/health/files/md_sector/docs/md_mdcg_guidance_significant_changes_annexes_en.pdf</w:t>
        </w:r>
      </w:hyperlink>
      <w:r>
        <w:t xml:space="preserve"> </w:t>
      </w:r>
    </w:p>
  </w:footnote>
  <w:footnote w:id="11">
    <w:p w14:paraId="24CF9A54" w14:textId="7EE81D5B" w:rsidR="00F225D8" w:rsidRPr="001B77AC" w:rsidRDefault="00F225D8">
      <w:pPr>
        <w:pStyle w:val="FootnoteText"/>
        <w:rPr>
          <w:lang w:val="en-IE"/>
        </w:rPr>
      </w:pPr>
      <w:r>
        <w:rPr>
          <w:rStyle w:val="FootnoteReference"/>
        </w:rPr>
        <w:footnoteRef/>
      </w:r>
      <w:r>
        <w:t xml:space="preserve"> </w:t>
      </w:r>
      <w:r w:rsidRPr="00F225D8">
        <w:rPr>
          <w:lang w:val="en-IE"/>
        </w:rPr>
        <w:t xml:space="preserve">NBOG BPG 2009-4 “Guidance on Notified Body‘s Tasks of Technical Documentation Assessment on a Representative Basis” </w:t>
      </w:r>
      <w:hyperlink r:id="rId10" w:history="1">
        <w:r w:rsidRPr="00F225D8">
          <w:rPr>
            <w:rStyle w:val="Hyperlink"/>
            <w:lang w:val="en-IE"/>
          </w:rPr>
          <w:t>http://www.doks.nbog.eu/Doks/NBOG_BPG_2009_4_EN.pdf</w:t>
        </w:r>
      </w:hyperlink>
      <w:r w:rsidRPr="00F225D8">
        <w:rPr>
          <w:lang w:val="en-I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0D7E98" w14:textId="44AEAC14" w:rsidR="007B38ED" w:rsidRDefault="007B38ED">
    <w:pPr>
      <w:pStyle w:val="Header"/>
    </w:pPr>
    <w:r>
      <w:t>DRAFT</w:t>
    </w:r>
  </w:p>
  <w:p w14:paraId="66BE895F" w14:textId="77777777" w:rsidR="007B38ED" w:rsidRDefault="007B38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32668"/>
    <w:multiLevelType w:val="hybridMultilevel"/>
    <w:tmpl w:val="59AEC8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CFC4A3A"/>
    <w:multiLevelType w:val="hybridMultilevel"/>
    <w:tmpl w:val="D316ADF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 w15:restartNumberingAfterBreak="0">
    <w:nsid w:val="18F94CCD"/>
    <w:multiLevelType w:val="hybridMultilevel"/>
    <w:tmpl w:val="438CACD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19812AF6"/>
    <w:multiLevelType w:val="hybridMultilevel"/>
    <w:tmpl w:val="5F9A1A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FE6EC5"/>
    <w:multiLevelType w:val="hybridMultilevel"/>
    <w:tmpl w:val="05529D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7257503"/>
    <w:multiLevelType w:val="hybridMultilevel"/>
    <w:tmpl w:val="7B76FB4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6" w15:restartNumberingAfterBreak="0">
    <w:nsid w:val="28091FF0"/>
    <w:multiLevelType w:val="multilevel"/>
    <w:tmpl w:val="FF6C7512"/>
    <w:lvl w:ilvl="0">
      <w:start w:val="4"/>
      <w:numFmt w:val="decimal"/>
      <w:lvlText w:val="%1"/>
      <w:lvlJc w:val="left"/>
      <w:pPr>
        <w:ind w:left="360" w:hanging="360"/>
      </w:pPr>
      <w:rPr>
        <w:rFonts w:hint="default"/>
        <w:u w:val="none"/>
      </w:rPr>
    </w:lvl>
    <w:lvl w:ilvl="1">
      <w:start w:val="1"/>
      <w:numFmt w:val="decimal"/>
      <w:lvlText w:val="%1.%2"/>
      <w:lvlJc w:val="left"/>
      <w:pPr>
        <w:ind w:left="502" w:hanging="360"/>
      </w:pPr>
      <w:rPr>
        <w:rFonts w:hint="default"/>
        <w:b/>
        <w:u w:val="none"/>
      </w:rPr>
    </w:lvl>
    <w:lvl w:ilvl="2">
      <w:start w:val="1"/>
      <w:numFmt w:val="bullet"/>
      <w:lvlText w:val=""/>
      <w:lvlJc w:val="left"/>
      <w:pPr>
        <w:ind w:left="2160" w:hanging="720"/>
      </w:pPr>
      <w:rPr>
        <w:rFonts w:ascii="Symbol" w:hAnsi="Symbol" w:hint="default"/>
        <w:sz w:val="16"/>
        <w:szCs w:val="16"/>
        <w:u w:val="none"/>
      </w:rPr>
    </w:lvl>
    <w:lvl w:ilvl="3">
      <w:start w:val="1"/>
      <w:numFmt w:val="decimal"/>
      <w:lvlText w:val="%1.%2.%3.%4"/>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200" w:hanging="1440"/>
      </w:pPr>
      <w:rPr>
        <w:rFonts w:hint="default"/>
        <w:u w:val="none"/>
      </w:rPr>
    </w:lvl>
  </w:abstractNum>
  <w:abstractNum w:abstractNumId="7" w15:restartNumberingAfterBreak="0">
    <w:nsid w:val="2DE439DF"/>
    <w:multiLevelType w:val="hybridMultilevel"/>
    <w:tmpl w:val="077ED89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3BF015C4"/>
    <w:multiLevelType w:val="hybridMultilevel"/>
    <w:tmpl w:val="6962601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2B017D0"/>
    <w:multiLevelType w:val="hybridMultilevel"/>
    <w:tmpl w:val="962A5592"/>
    <w:lvl w:ilvl="0" w:tplc="97FC2D0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8E65F0A"/>
    <w:multiLevelType w:val="hybridMultilevel"/>
    <w:tmpl w:val="92A2CD4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1" w15:restartNumberingAfterBreak="0">
    <w:nsid w:val="4F5B11B7"/>
    <w:multiLevelType w:val="hybridMultilevel"/>
    <w:tmpl w:val="C28E64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4FF0B3B"/>
    <w:multiLevelType w:val="hybridMultilevel"/>
    <w:tmpl w:val="27067FF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574C525E"/>
    <w:multiLevelType w:val="hybridMultilevel"/>
    <w:tmpl w:val="1ED2BBD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5B7D085B"/>
    <w:multiLevelType w:val="hybridMultilevel"/>
    <w:tmpl w:val="8D101C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45D146D"/>
    <w:multiLevelType w:val="multilevel"/>
    <w:tmpl w:val="909C5B5A"/>
    <w:lvl w:ilvl="0">
      <w:start w:val="1"/>
      <w:numFmt w:val="decimal"/>
      <w:lvlText w:val="%1"/>
      <w:lvlJc w:val="left"/>
      <w:pPr>
        <w:ind w:left="360" w:hanging="360"/>
      </w:pPr>
      <w:rPr>
        <w:rFonts w:hint="default"/>
        <w:u w:val="none"/>
      </w:rPr>
    </w:lvl>
    <w:lvl w:ilvl="1">
      <w:start w:val="1"/>
      <w:numFmt w:val="decimal"/>
      <w:lvlText w:val="%1.%2"/>
      <w:lvlJc w:val="left"/>
      <w:pPr>
        <w:ind w:left="928" w:hanging="360"/>
      </w:pPr>
      <w:rPr>
        <w:rFonts w:hint="default"/>
        <w:b/>
        <w:u w:val="none"/>
        <w:lang w:val="de-DE"/>
      </w:rPr>
    </w:lvl>
    <w:lvl w:ilvl="2">
      <w:start w:val="1"/>
      <w:numFmt w:val="bullet"/>
      <w:lvlText w:val=""/>
      <w:lvlJc w:val="left"/>
      <w:pPr>
        <w:ind w:left="2160" w:hanging="720"/>
      </w:pPr>
      <w:rPr>
        <w:rFonts w:ascii="Symbol" w:hAnsi="Symbol" w:hint="default"/>
        <w:sz w:val="16"/>
        <w:u w:val="none"/>
      </w:rPr>
    </w:lvl>
    <w:lvl w:ilvl="3">
      <w:start w:val="1"/>
      <w:numFmt w:val="decimal"/>
      <w:lvlText w:val="%1.%2.%3.%4"/>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200" w:hanging="1440"/>
      </w:pPr>
      <w:rPr>
        <w:rFonts w:hint="default"/>
        <w:u w:val="none"/>
      </w:rPr>
    </w:lvl>
  </w:abstractNum>
  <w:abstractNum w:abstractNumId="16" w15:restartNumberingAfterBreak="0">
    <w:nsid w:val="67E4505C"/>
    <w:multiLevelType w:val="hybridMultilevel"/>
    <w:tmpl w:val="24AAF1BE"/>
    <w:lvl w:ilvl="0" w:tplc="D6FABAD4">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6933209D"/>
    <w:multiLevelType w:val="multilevel"/>
    <w:tmpl w:val="876A8AB4"/>
    <w:lvl w:ilvl="0">
      <w:start w:val="4"/>
      <w:numFmt w:val="decimal"/>
      <w:lvlText w:val="%1"/>
      <w:lvlJc w:val="left"/>
      <w:pPr>
        <w:ind w:left="360" w:hanging="360"/>
      </w:pPr>
      <w:rPr>
        <w:rFonts w:hint="default"/>
        <w:u w:val="none"/>
      </w:rPr>
    </w:lvl>
    <w:lvl w:ilvl="1">
      <w:start w:val="1"/>
      <w:numFmt w:val="decimal"/>
      <w:lvlText w:val="%1.%2"/>
      <w:lvlJc w:val="left"/>
      <w:pPr>
        <w:ind w:left="502" w:hanging="360"/>
      </w:pPr>
      <w:rPr>
        <w:rFonts w:hint="default"/>
        <w:b/>
        <w:u w:val="none"/>
      </w:rPr>
    </w:lvl>
    <w:lvl w:ilvl="2">
      <w:start w:val="1"/>
      <w:numFmt w:val="bullet"/>
      <w:lvlText w:val=""/>
      <w:lvlJc w:val="left"/>
      <w:pPr>
        <w:ind w:left="2160" w:hanging="720"/>
      </w:pPr>
      <w:rPr>
        <w:rFonts w:ascii="Symbol" w:hAnsi="Symbol" w:hint="default"/>
        <w:sz w:val="16"/>
        <w:szCs w:val="16"/>
        <w:u w:val="none"/>
      </w:rPr>
    </w:lvl>
    <w:lvl w:ilvl="3">
      <w:start w:val="1"/>
      <w:numFmt w:val="decimal"/>
      <w:lvlText w:val="%1.%2.%3.%4"/>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200" w:hanging="1440"/>
      </w:pPr>
      <w:rPr>
        <w:rFonts w:hint="default"/>
        <w:u w:val="none"/>
      </w:rPr>
    </w:lvl>
  </w:abstractNum>
  <w:abstractNum w:abstractNumId="18" w15:restartNumberingAfterBreak="0">
    <w:nsid w:val="6A406A62"/>
    <w:multiLevelType w:val="multilevel"/>
    <w:tmpl w:val="909C5B5A"/>
    <w:lvl w:ilvl="0">
      <w:start w:val="1"/>
      <w:numFmt w:val="decimal"/>
      <w:lvlText w:val="%1"/>
      <w:lvlJc w:val="left"/>
      <w:pPr>
        <w:ind w:left="360" w:hanging="360"/>
      </w:pPr>
      <w:rPr>
        <w:rFonts w:hint="default"/>
        <w:u w:val="none"/>
      </w:rPr>
    </w:lvl>
    <w:lvl w:ilvl="1">
      <w:start w:val="1"/>
      <w:numFmt w:val="decimal"/>
      <w:lvlText w:val="%1.%2"/>
      <w:lvlJc w:val="left"/>
      <w:pPr>
        <w:ind w:left="928" w:hanging="360"/>
      </w:pPr>
      <w:rPr>
        <w:rFonts w:hint="default"/>
        <w:b/>
        <w:u w:val="none"/>
        <w:lang w:val="de-DE"/>
      </w:rPr>
    </w:lvl>
    <w:lvl w:ilvl="2">
      <w:start w:val="1"/>
      <w:numFmt w:val="bullet"/>
      <w:lvlText w:val=""/>
      <w:lvlJc w:val="left"/>
      <w:pPr>
        <w:ind w:left="2160" w:hanging="720"/>
      </w:pPr>
      <w:rPr>
        <w:rFonts w:ascii="Symbol" w:hAnsi="Symbol" w:hint="default"/>
        <w:sz w:val="16"/>
        <w:u w:val="none"/>
      </w:rPr>
    </w:lvl>
    <w:lvl w:ilvl="3">
      <w:start w:val="1"/>
      <w:numFmt w:val="decimal"/>
      <w:lvlText w:val="%1.%2.%3.%4"/>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200" w:hanging="1440"/>
      </w:pPr>
      <w:rPr>
        <w:rFonts w:hint="default"/>
        <w:u w:val="none"/>
      </w:rPr>
    </w:lvl>
  </w:abstractNum>
  <w:abstractNum w:abstractNumId="19" w15:restartNumberingAfterBreak="0">
    <w:nsid w:val="70554262"/>
    <w:multiLevelType w:val="hybridMultilevel"/>
    <w:tmpl w:val="E8F2441A"/>
    <w:lvl w:ilvl="0" w:tplc="DE10C6A2">
      <w:start w:val="1"/>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758F39C1"/>
    <w:multiLevelType w:val="multilevel"/>
    <w:tmpl w:val="0407001F"/>
    <w:lvl w:ilvl="0">
      <w:start w:val="1"/>
      <w:numFmt w:val="decimal"/>
      <w:lvlText w:val="%1."/>
      <w:lvlJc w:val="left"/>
      <w:pPr>
        <w:ind w:left="1800" w:hanging="360"/>
      </w:pPr>
    </w:lvl>
    <w:lvl w:ilvl="1">
      <w:start w:val="1"/>
      <w:numFmt w:val="decimal"/>
      <w:lvlText w:val="%1.%2."/>
      <w:lvlJc w:val="left"/>
      <w:pPr>
        <w:ind w:left="2232" w:hanging="432"/>
      </w:pPr>
    </w:lvl>
    <w:lvl w:ilvl="2">
      <w:start w:val="1"/>
      <w:numFmt w:val="decimal"/>
      <w:lvlText w:val="%1.%2.%3."/>
      <w:lvlJc w:val="left"/>
      <w:pPr>
        <w:ind w:left="2664" w:hanging="504"/>
      </w:pPr>
    </w:lvl>
    <w:lvl w:ilvl="3">
      <w:start w:val="1"/>
      <w:numFmt w:val="decimal"/>
      <w:lvlText w:val="%1.%2.%3.%4."/>
      <w:lvlJc w:val="left"/>
      <w:pPr>
        <w:ind w:left="3168" w:hanging="648"/>
      </w:pPr>
    </w:lvl>
    <w:lvl w:ilvl="4">
      <w:start w:val="1"/>
      <w:numFmt w:val="decimal"/>
      <w:lvlText w:val="%1.%2.%3.%4.%5."/>
      <w:lvlJc w:val="left"/>
      <w:pPr>
        <w:ind w:left="3672" w:hanging="792"/>
      </w:pPr>
    </w:lvl>
    <w:lvl w:ilvl="5">
      <w:start w:val="1"/>
      <w:numFmt w:val="decimal"/>
      <w:lvlText w:val="%1.%2.%3.%4.%5.%6."/>
      <w:lvlJc w:val="left"/>
      <w:pPr>
        <w:ind w:left="4176" w:hanging="936"/>
      </w:pPr>
    </w:lvl>
    <w:lvl w:ilvl="6">
      <w:start w:val="1"/>
      <w:numFmt w:val="decimal"/>
      <w:lvlText w:val="%1.%2.%3.%4.%5.%6.%7."/>
      <w:lvlJc w:val="left"/>
      <w:pPr>
        <w:ind w:left="4680" w:hanging="1080"/>
      </w:pPr>
    </w:lvl>
    <w:lvl w:ilvl="7">
      <w:start w:val="1"/>
      <w:numFmt w:val="decimal"/>
      <w:lvlText w:val="%1.%2.%3.%4.%5.%6.%7.%8."/>
      <w:lvlJc w:val="left"/>
      <w:pPr>
        <w:ind w:left="5184" w:hanging="1224"/>
      </w:pPr>
    </w:lvl>
    <w:lvl w:ilvl="8">
      <w:start w:val="1"/>
      <w:numFmt w:val="decimal"/>
      <w:lvlText w:val="%1.%2.%3.%4.%5.%6.%7.%8.%9."/>
      <w:lvlJc w:val="left"/>
      <w:pPr>
        <w:ind w:left="5760" w:hanging="1440"/>
      </w:pPr>
    </w:lvl>
  </w:abstractNum>
  <w:abstractNum w:abstractNumId="21" w15:restartNumberingAfterBreak="0">
    <w:nsid w:val="78B34AD3"/>
    <w:multiLevelType w:val="hybridMultilevel"/>
    <w:tmpl w:val="A5A4219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15:restartNumberingAfterBreak="0">
    <w:nsid w:val="7D3E119A"/>
    <w:multiLevelType w:val="hybridMultilevel"/>
    <w:tmpl w:val="444EC8D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4"/>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8"/>
  </w:num>
  <w:num w:numId="9">
    <w:abstractNumId w:val="3"/>
  </w:num>
  <w:num w:numId="10">
    <w:abstractNumId w:val="14"/>
  </w:num>
  <w:num w:numId="11">
    <w:abstractNumId w:val="9"/>
  </w:num>
  <w:num w:numId="12">
    <w:abstractNumId w:val="22"/>
  </w:num>
  <w:num w:numId="13">
    <w:abstractNumId w:val="19"/>
  </w:num>
  <w:num w:numId="14">
    <w:abstractNumId w:val="20"/>
  </w:num>
  <w:num w:numId="15">
    <w:abstractNumId w:val="18"/>
  </w:num>
  <w:num w:numId="16">
    <w:abstractNumId w:val="6"/>
  </w:num>
  <w:num w:numId="17">
    <w:abstractNumId w:val="11"/>
  </w:num>
  <w:num w:numId="18">
    <w:abstractNumId w:val="15"/>
  </w:num>
  <w:num w:numId="19">
    <w:abstractNumId w:val="17"/>
  </w:num>
  <w:num w:numId="20">
    <w:abstractNumId w:val="1"/>
  </w:num>
  <w:num w:numId="21">
    <w:abstractNumId w:val="21"/>
  </w:num>
  <w:num w:numId="22">
    <w:abstractNumId w:val="10"/>
  </w:num>
  <w:num w:numId="23">
    <w:abstractNumId w:val="5"/>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defaultTabStop w:val="720"/>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3B76"/>
    <w:rsid w:val="00022C55"/>
    <w:rsid w:val="00023CE9"/>
    <w:rsid w:val="0003125A"/>
    <w:rsid w:val="0003214D"/>
    <w:rsid w:val="000379A8"/>
    <w:rsid w:val="00037A15"/>
    <w:rsid w:val="000401FE"/>
    <w:rsid w:val="00040DB8"/>
    <w:rsid w:val="00055587"/>
    <w:rsid w:val="00060677"/>
    <w:rsid w:val="00064AB6"/>
    <w:rsid w:val="00074354"/>
    <w:rsid w:val="00086456"/>
    <w:rsid w:val="00091711"/>
    <w:rsid w:val="00091F43"/>
    <w:rsid w:val="0009316C"/>
    <w:rsid w:val="00097F36"/>
    <w:rsid w:val="000A022A"/>
    <w:rsid w:val="000A0B9C"/>
    <w:rsid w:val="000A1E4D"/>
    <w:rsid w:val="000B3E25"/>
    <w:rsid w:val="000B6BFF"/>
    <w:rsid w:val="000C0884"/>
    <w:rsid w:val="000C2170"/>
    <w:rsid w:val="000C6C25"/>
    <w:rsid w:val="000C77DD"/>
    <w:rsid w:val="000D244A"/>
    <w:rsid w:val="000E0A61"/>
    <w:rsid w:val="000F5DDF"/>
    <w:rsid w:val="000F7568"/>
    <w:rsid w:val="00101E09"/>
    <w:rsid w:val="00104367"/>
    <w:rsid w:val="00112870"/>
    <w:rsid w:val="001131D3"/>
    <w:rsid w:val="00113DB8"/>
    <w:rsid w:val="001203FF"/>
    <w:rsid w:val="00121D68"/>
    <w:rsid w:val="00122F61"/>
    <w:rsid w:val="00125A0F"/>
    <w:rsid w:val="0014257D"/>
    <w:rsid w:val="00143EFC"/>
    <w:rsid w:val="00147441"/>
    <w:rsid w:val="001511D2"/>
    <w:rsid w:val="00151644"/>
    <w:rsid w:val="001527F5"/>
    <w:rsid w:val="00154C1C"/>
    <w:rsid w:val="001561AA"/>
    <w:rsid w:val="001617E2"/>
    <w:rsid w:val="00161B29"/>
    <w:rsid w:val="001650D9"/>
    <w:rsid w:val="0016546D"/>
    <w:rsid w:val="001715A7"/>
    <w:rsid w:val="0017687C"/>
    <w:rsid w:val="00176D93"/>
    <w:rsid w:val="00182A41"/>
    <w:rsid w:val="00184E8A"/>
    <w:rsid w:val="00185FA5"/>
    <w:rsid w:val="00197D47"/>
    <w:rsid w:val="001A043A"/>
    <w:rsid w:val="001A57A8"/>
    <w:rsid w:val="001A5C3C"/>
    <w:rsid w:val="001A5C75"/>
    <w:rsid w:val="001A78C5"/>
    <w:rsid w:val="001B77AC"/>
    <w:rsid w:val="001C0A9B"/>
    <w:rsid w:val="001C3100"/>
    <w:rsid w:val="001C5115"/>
    <w:rsid w:val="001C7200"/>
    <w:rsid w:val="001D21DD"/>
    <w:rsid w:val="001E1C6D"/>
    <w:rsid w:val="001E3B76"/>
    <w:rsid w:val="001E4706"/>
    <w:rsid w:val="001F3AE7"/>
    <w:rsid w:val="00200CD2"/>
    <w:rsid w:val="00200E44"/>
    <w:rsid w:val="002139F2"/>
    <w:rsid w:val="00213C73"/>
    <w:rsid w:val="00216B20"/>
    <w:rsid w:val="00220229"/>
    <w:rsid w:val="002241A4"/>
    <w:rsid w:val="0023047D"/>
    <w:rsid w:val="00230967"/>
    <w:rsid w:val="00233B54"/>
    <w:rsid w:val="00233D9D"/>
    <w:rsid w:val="00234667"/>
    <w:rsid w:val="00250EE8"/>
    <w:rsid w:val="0025723D"/>
    <w:rsid w:val="00272DDD"/>
    <w:rsid w:val="00274AB5"/>
    <w:rsid w:val="002766DC"/>
    <w:rsid w:val="0028010F"/>
    <w:rsid w:val="002A631F"/>
    <w:rsid w:val="002C0BB3"/>
    <w:rsid w:val="002C23DB"/>
    <w:rsid w:val="002D23EA"/>
    <w:rsid w:val="002D6AEC"/>
    <w:rsid w:val="002E2D71"/>
    <w:rsid w:val="002E47E8"/>
    <w:rsid w:val="002F21A4"/>
    <w:rsid w:val="002F2F5B"/>
    <w:rsid w:val="0030318C"/>
    <w:rsid w:val="003059ED"/>
    <w:rsid w:val="00305D1C"/>
    <w:rsid w:val="003138CB"/>
    <w:rsid w:val="00323AF6"/>
    <w:rsid w:val="00324AF8"/>
    <w:rsid w:val="00324C5E"/>
    <w:rsid w:val="0034417A"/>
    <w:rsid w:val="00346070"/>
    <w:rsid w:val="0034724F"/>
    <w:rsid w:val="00350D98"/>
    <w:rsid w:val="00353062"/>
    <w:rsid w:val="00353C0A"/>
    <w:rsid w:val="00355545"/>
    <w:rsid w:val="00356AEA"/>
    <w:rsid w:val="00367B05"/>
    <w:rsid w:val="00370D50"/>
    <w:rsid w:val="0037328A"/>
    <w:rsid w:val="00376E2D"/>
    <w:rsid w:val="00377186"/>
    <w:rsid w:val="003776DA"/>
    <w:rsid w:val="00380209"/>
    <w:rsid w:val="003827C6"/>
    <w:rsid w:val="003870B6"/>
    <w:rsid w:val="003A2EB6"/>
    <w:rsid w:val="003B1A74"/>
    <w:rsid w:val="003B2343"/>
    <w:rsid w:val="003B41F9"/>
    <w:rsid w:val="003C1C33"/>
    <w:rsid w:val="003C3676"/>
    <w:rsid w:val="003C444D"/>
    <w:rsid w:val="003C5B70"/>
    <w:rsid w:val="003D2325"/>
    <w:rsid w:val="003D29DB"/>
    <w:rsid w:val="003D52C9"/>
    <w:rsid w:val="003E4643"/>
    <w:rsid w:val="003F4490"/>
    <w:rsid w:val="0040514D"/>
    <w:rsid w:val="004062C3"/>
    <w:rsid w:val="0040698B"/>
    <w:rsid w:val="004120B1"/>
    <w:rsid w:val="004267E7"/>
    <w:rsid w:val="00431495"/>
    <w:rsid w:val="0043294F"/>
    <w:rsid w:val="0043440A"/>
    <w:rsid w:val="004348AD"/>
    <w:rsid w:val="00436624"/>
    <w:rsid w:val="004376C6"/>
    <w:rsid w:val="004378A2"/>
    <w:rsid w:val="004408F8"/>
    <w:rsid w:val="0045123B"/>
    <w:rsid w:val="00454328"/>
    <w:rsid w:val="0046127A"/>
    <w:rsid w:val="00462105"/>
    <w:rsid w:val="0046429F"/>
    <w:rsid w:val="00464AF8"/>
    <w:rsid w:val="00471382"/>
    <w:rsid w:val="0047428F"/>
    <w:rsid w:val="00481D33"/>
    <w:rsid w:val="00481F7D"/>
    <w:rsid w:val="00481FB2"/>
    <w:rsid w:val="004878DC"/>
    <w:rsid w:val="00490C57"/>
    <w:rsid w:val="004A627A"/>
    <w:rsid w:val="004A7865"/>
    <w:rsid w:val="004B1701"/>
    <w:rsid w:val="004B2A73"/>
    <w:rsid w:val="004C5BA6"/>
    <w:rsid w:val="004D0B38"/>
    <w:rsid w:val="004E3029"/>
    <w:rsid w:val="004E473A"/>
    <w:rsid w:val="004E5A70"/>
    <w:rsid w:val="00503A02"/>
    <w:rsid w:val="005056D4"/>
    <w:rsid w:val="00506DC4"/>
    <w:rsid w:val="00511E0B"/>
    <w:rsid w:val="00511F7D"/>
    <w:rsid w:val="005148B8"/>
    <w:rsid w:val="00517C67"/>
    <w:rsid w:val="00527A91"/>
    <w:rsid w:val="00533617"/>
    <w:rsid w:val="005336B8"/>
    <w:rsid w:val="005349BB"/>
    <w:rsid w:val="0053544D"/>
    <w:rsid w:val="00535B1C"/>
    <w:rsid w:val="00551E34"/>
    <w:rsid w:val="0055442A"/>
    <w:rsid w:val="00563ED1"/>
    <w:rsid w:val="0056777C"/>
    <w:rsid w:val="0057448A"/>
    <w:rsid w:val="00577CDF"/>
    <w:rsid w:val="00581148"/>
    <w:rsid w:val="00591095"/>
    <w:rsid w:val="00591EB5"/>
    <w:rsid w:val="00592047"/>
    <w:rsid w:val="0059252F"/>
    <w:rsid w:val="005A23D0"/>
    <w:rsid w:val="005A392B"/>
    <w:rsid w:val="005A76DD"/>
    <w:rsid w:val="005A7D17"/>
    <w:rsid w:val="005B021E"/>
    <w:rsid w:val="005B1328"/>
    <w:rsid w:val="005B6BF4"/>
    <w:rsid w:val="005B7B5C"/>
    <w:rsid w:val="005C06D0"/>
    <w:rsid w:val="005C4A57"/>
    <w:rsid w:val="005C5FAC"/>
    <w:rsid w:val="005C63AE"/>
    <w:rsid w:val="005E05EA"/>
    <w:rsid w:val="005E6C6E"/>
    <w:rsid w:val="005F0330"/>
    <w:rsid w:val="00603F95"/>
    <w:rsid w:val="0060440C"/>
    <w:rsid w:val="0060503F"/>
    <w:rsid w:val="00613D96"/>
    <w:rsid w:val="00617804"/>
    <w:rsid w:val="00617C2E"/>
    <w:rsid w:val="00617FB2"/>
    <w:rsid w:val="006213D4"/>
    <w:rsid w:val="0062469A"/>
    <w:rsid w:val="00626343"/>
    <w:rsid w:val="00632EB4"/>
    <w:rsid w:val="006345D7"/>
    <w:rsid w:val="006374BD"/>
    <w:rsid w:val="006448A6"/>
    <w:rsid w:val="006451A8"/>
    <w:rsid w:val="00652225"/>
    <w:rsid w:val="00654412"/>
    <w:rsid w:val="0065673A"/>
    <w:rsid w:val="006610EB"/>
    <w:rsid w:val="006678FD"/>
    <w:rsid w:val="00670D4F"/>
    <w:rsid w:val="00675A82"/>
    <w:rsid w:val="006815F6"/>
    <w:rsid w:val="00681669"/>
    <w:rsid w:val="00683A31"/>
    <w:rsid w:val="00687EDF"/>
    <w:rsid w:val="00691180"/>
    <w:rsid w:val="0069188D"/>
    <w:rsid w:val="00695081"/>
    <w:rsid w:val="00695B4A"/>
    <w:rsid w:val="00697175"/>
    <w:rsid w:val="006A155C"/>
    <w:rsid w:val="006B0546"/>
    <w:rsid w:val="006B727B"/>
    <w:rsid w:val="006C03B1"/>
    <w:rsid w:val="006C34FD"/>
    <w:rsid w:val="006C5E48"/>
    <w:rsid w:val="006D515D"/>
    <w:rsid w:val="006F1A52"/>
    <w:rsid w:val="006F2115"/>
    <w:rsid w:val="00702E76"/>
    <w:rsid w:val="00705CBB"/>
    <w:rsid w:val="007162E6"/>
    <w:rsid w:val="00717377"/>
    <w:rsid w:val="007300AF"/>
    <w:rsid w:val="007408F0"/>
    <w:rsid w:val="00744EB8"/>
    <w:rsid w:val="007508E1"/>
    <w:rsid w:val="007525E4"/>
    <w:rsid w:val="007534E4"/>
    <w:rsid w:val="00753B2F"/>
    <w:rsid w:val="00757929"/>
    <w:rsid w:val="00765231"/>
    <w:rsid w:val="00784AEB"/>
    <w:rsid w:val="00784F6D"/>
    <w:rsid w:val="00786E4B"/>
    <w:rsid w:val="007A17A1"/>
    <w:rsid w:val="007A385C"/>
    <w:rsid w:val="007A4860"/>
    <w:rsid w:val="007B38ED"/>
    <w:rsid w:val="007B56D4"/>
    <w:rsid w:val="007B5EE3"/>
    <w:rsid w:val="007C0F97"/>
    <w:rsid w:val="007C2E8E"/>
    <w:rsid w:val="007C6D17"/>
    <w:rsid w:val="007E137B"/>
    <w:rsid w:val="007E2F47"/>
    <w:rsid w:val="007E3ADF"/>
    <w:rsid w:val="007E51EA"/>
    <w:rsid w:val="007E5A8D"/>
    <w:rsid w:val="007E65ED"/>
    <w:rsid w:val="007E75D5"/>
    <w:rsid w:val="0080308D"/>
    <w:rsid w:val="008069CE"/>
    <w:rsid w:val="00811A04"/>
    <w:rsid w:val="00813612"/>
    <w:rsid w:val="00815C4F"/>
    <w:rsid w:val="0082600C"/>
    <w:rsid w:val="00842633"/>
    <w:rsid w:val="00843D4F"/>
    <w:rsid w:val="00847215"/>
    <w:rsid w:val="008505B2"/>
    <w:rsid w:val="00850DEC"/>
    <w:rsid w:val="0085238F"/>
    <w:rsid w:val="00855735"/>
    <w:rsid w:val="0085594C"/>
    <w:rsid w:val="00856E1B"/>
    <w:rsid w:val="0086735F"/>
    <w:rsid w:val="00867ADE"/>
    <w:rsid w:val="00870F30"/>
    <w:rsid w:val="00877923"/>
    <w:rsid w:val="00883B44"/>
    <w:rsid w:val="00887F06"/>
    <w:rsid w:val="008926DC"/>
    <w:rsid w:val="008A762F"/>
    <w:rsid w:val="008B5172"/>
    <w:rsid w:val="008B6545"/>
    <w:rsid w:val="008D4181"/>
    <w:rsid w:val="008D4EA7"/>
    <w:rsid w:val="008F25D6"/>
    <w:rsid w:val="008F6312"/>
    <w:rsid w:val="00915DB1"/>
    <w:rsid w:val="00922928"/>
    <w:rsid w:val="00923003"/>
    <w:rsid w:val="00931064"/>
    <w:rsid w:val="0095047B"/>
    <w:rsid w:val="00954CD7"/>
    <w:rsid w:val="00965C1B"/>
    <w:rsid w:val="00972E67"/>
    <w:rsid w:val="00980D5F"/>
    <w:rsid w:val="00983531"/>
    <w:rsid w:val="009923B3"/>
    <w:rsid w:val="009947A6"/>
    <w:rsid w:val="00995EA3"/>
    <w:rsid w:val="009A558B"/>
    <w:rsid w:val="009B34B8"/>
    <w:rsid w:val="009C1E6E"/>
    <w:rsid w:val="009C3C6D"/>
    <w:rsid w:val="009C618A"/>
    <w:rsid w:val="009D0E58"/>
    <w:rsid w:val="009D3115"/>
    <w:rsid w:val="009D5372"/>
    <w:rsid w:val="009D5934"/>
    <w:rsid w:val="009D6C5F"/>
    <w:rsid w:val="009F0180"/>
    <w:rsid w:val="009F2E0C"/>
    <w:rsid w:val="009F5195"/>
    <w:rsid w:val="009F58D8"/>
    <w:rsid w:val="009F7D47"/>
    <w:rsid w:val="00A0241A"/>
    <w:rsid w:val="00A07256"/>
    <w:rsid w:val="00A1101B"/>
    <w:rsid w:val="00A12DDB"/>
    <w:rsid w:val="00A13111"/>
    <w:rsid w:val="00A155E9"/>
    <w:rsid w:val="00A22F62"/>
    <w:rsid w:val="00A24321"/>
    <w:rsid w:val="00A27954"/>
    <w:rsid w:val="00A279C9"/>
    <w:rsid w:val="00A360A1"/>
    <w:rsid w:val="00A41372"/>
    <w:rsid w:val="00A45DDE"/>
    <w:rsid w:val="00A479FC"/>
    <w:rsid w:val="00A54C4D"/>
    <w:rsid w:val="00A5587D"/>
    <w:rsid w:val="00A607FC"/>
    <w:rsid w:val="00A7004E"/>
    <w:rsid w:val="00A8127D"/>
    <w:rsid w:val="00A82007"/>
    <w:rsid w:val="00A847CB"/>
    <w:rsid w:val="00A85851"/>
    <w:rsid w:val="00A86DAC"/>
    <w:rsid w:val="00A87CDB"/>
    <w:rsid w:val="00A95A8E"/>
    <w:rsid w:val="00AA6605"/>
    <w:rsid w:val="00AB1CCD"/>
    <w:rsid w:val="00AB460C"/>
    <w:rsid w:val="00AC48B1"/>
    <w:rsid w:val="00AC5A8D"/>
    <w:rsid w:val="00AC6F28"/>
    <w:rsid w:val="00AD6848"/>
    <w:rsid w:val="00AE0DED"/>
    <w:rsid w:val="00AE2779"/>
    <w:rsid w:val="00AE53EA"/>
    <w:rsid w:val="00AE7020"/>
    <w:rsid w:val="00AF1338"/>
    <w:rsid w:val="00AF5E9D"/>
    <w:rsid w:val="00B07FA4"/>
    <w:rsid w:val="00B109BF"/>
    <w:rsid w:val="00B145E6"/>
    <w:rsid w:val="00B170C9"/>
    <w:rsid w:val="00B17866"/>
    <w:rsid w:val="00B31E0D"/>
    <w:rsid w:val="00B35014"/>
    <w:rsid w:val="00B46BE0"/>
    <w:rsid w:val="00B538AF"/>
    <w:rsid w:val="00B54AEA"/>
    <w:rsid w:val="00B57249"/>
    <w:rsid w:val="00B75A5A"/>
    <w:rsid w:val="00B84491"/>
    <w:rsid w:val="00B908BC"/>
    <w:rsid w:val="00B928B4"/>
    <w:rsid w:val="00B9315D"/>
    <w:rsid w:val="00B94DD5"/>
    <w:rsid w:val="00B95EE1"/>
    <w:rsid w:val="00B964B3"/>
    <w:rsid w:val="00B977EF"/>
    <w:rsid w:val="00BA281E"/>
    <w:rsid w:val="00BA2BCE"/>
    <w:rsid w:val="00BA54A0"/>
    <w:rsid w:val="00BA64F0"/>
    <w:rsid w:val="00BB6DAC"/>
    <w:rsid w:val="00BC1D3C"/>
    <w:rsid w:val="00BC2B53"/>
    <w:rsid w:val="00BC3011"/>
    <w:rsid w:val="00BD0142"/>
    <w:rsid w:val="00BE04AB"/>
    <w:rsid w:val="00BE1EC5"/>
    <w:rsid w:val="00BF173F"/>
    <w:rsid w:val="00BF2E45"/>
    <w:rsid w:val="00C017EE"/>
    <w:rsid w:val="00C0640A"/>
    <w:rsid w:val="00C10CAD"/>
    <w:rsid w:val="00C114F0"/>
    <w:rsid w:val="00C12CE3"/>
    <w:rsid w:val="00C163E7"/>
    <w:rsid w:val="00C20FEE"/>
    <w:rsid w:val="00C21476"/>
    <w:rsid w:val="00C24215"/>
    <w:rsid w:val="00C27D06"/>
    <w:rsid w:val="00C3199C"/>
    <w:rsid w:val="00C32799"/>
    <w:rsid w:val="00C3304E"/>
    <w:rsid w:val="00C378D9"/>
    <w:rsid w:val="00C40281"/>
    <w:rsid w:val="00C40521"/>
    <w:rsid w:val="00C45D9D"/>
    <w:rsid w:val="00C6339C"/>
    <w:rsid w:val="00C6795F"/>
    <w:rsid w:val="00C7570B"/>
    <w:rsid w:val="00C80BF5"/>
    <w:rsid w:val="00C83A75"/>
    <w:rsid w:val="00C8529F"/>
    <w:rsid w:val="00C85EC1"/>
    <w:rsid w:val="00C91910"/>
    <w:rsid w:val="00C91A13"/>
    <w:rsid w:val="00CB10F4"/>
    <w:rsid w:val="00CB3871"/>
    <w:rsid w:val="00CB4DE6"/>
    <w:rsid w:val="00CB7F51"/>
    <w:rsid w:val="00CC3609"/>
    <w:rsid w:val="00CC6C08"/>
    <w:rsid w:val="00CE37F3"/>
    <w:rsid w:val="00CE62CD"/>
    <w:rsid w:val="00D00AF4"/>
    <w:rsid w:val="00D01202"/>
    <w:rsid w:val="00D12D1F"/>
    <w:rsid w:val="00D14A3E"/>
    <w:rsid w:val="00D168F0"/>
    <w:rsid w:val="00D24170"/>
    <w:rsid w:val="00D24BD5"/>
    <w:rsid w:val="00D33776"/>
    <w:rsid w:val="00D34403"/>
    <w:rsid w:val="00D3530E"/>
    <w:rsid w:val="00D41F92"/>
    <w:rsid w:val="00D44C28"/>
    <w:rsid w:val="00D45831"/>
    <w:rsid w:val="00D45CE8"/>
    <w:rsid w:val="00D50CF4"/>
    <w:rsid w:val="00D5422B"/>
    <w:rsid w:val="00D5519F"/>
    <w:rsid w:val="00D560A5"/>
    <w:rsid w:val="00D626CC"/>
    <w:rsid w:val="00D64F22"/>
    <w:rsid w:val="00D66477"/>
    <w:rsid w:val="00D708B2"/>
    <w:rsid w:val="00D71161"/>
    <w:rsid w:val="00D71F85"/>
    <w:rsid w:val="00D77B61"/>
    <w:rsid w:val="00D91EAF"/>
    <w:rsid w:val="00D96D0B"/>
    <w:rsid w:val="00DA0A81"/>
    <w:rsid w:val="00DA259D"/>
    <w:rsid w:val="00DB1357"/>
    <w:rsid w:val="00DB13B9"/>
    <w:rsid w:val="00DB2E0F"/>
    <w:rsid w:val="00DC3554"/>
    <w:rsid w:val="00DE7E1B"/>
    <w:rsid w:val="00E02CAD"/>
    <w:rsid w:val="00E04569"/>
    <w:rsid w:val="00E05CE2"/>
    <w:rsid w:val="00E07266"/>
    <w:rsid w:val="00E11286"/>
    <w:rsid w:val="00E25A06"/>
    <w:rsid w:val="00E33D52"/>
    <w:rsid w:val="00E35807"/>
    <w:rsid w:val="00E42FA8"/>
    <w:rsid w:val="00E43C09"/>
    <w:rsid w:val="00E51214"/>
    <w:rsid w:val="00E51DFC"/>
    <w:rsid w:val="00E55948"/>
    <w:rsid w:val="00E6175F"/>
    <w:rsid w:val="00E73414"/>
    <w:rsid w:val="00E75352"/>
    <w:rsid w:val="00E81CDE"/>
    <w:rsid w:val="00E82D08"/>
    <w:rsid w:val="00E92B79"/>
    <w:rsid w:val="00E94B5C"/>
    <w:rsid w:val="00EA02F6"/>
    <w:rsid w:val="00EB4FEB"/>
    <w:rsid w:val="00EB7FD6"/>
    <w:rsid w:val="00EC0875"/>
    <w:rsid w:val="00EC3C2D"/>
    <w:rsid w:val="00EC4098"/>
    <w:rsid w:val="00ED08AE"/>
    <w:rsid w:val="00ED11AC"/>
    <w:rsid w:val="00ED306A"/>
    <w:rsid w:val="00ED7163"/>
    <w:rsid w:val="00ED7C39"/>
    <w:rsid w:val="00EF0361"/>
    <w:rsid w:val="00EF3A5A"/>
    <w:rsid w:val="00EF4D4B"/>
    <w:rsid w:val="00EF6593"/>
    <w:rsid w:val="00F00ADC"/>
    <w:rsid w:val="00F06711"/>
    <w:rsid w:val="00F134EB"/>
    <w:rsid w:val="00F13F32"/>
    <w:rsid w:val="00F14C7C"/>
    <w:rsid w:val="00F22239"/>
    <w:rsid w:val="00F225D8"/>
    <w:rsid w:val="00F2528B"/>
    <w:rsid w:val="00F255F5"/>
    <w:rsid w:val="00F25838"/>
    <w:rsid w:val="00F25A1A"/>
    <w:rsid w:val="00F25ECC"/>
    <w:rsid w:val="00F26EEF"/>
    <w:rsid w:val="00F26F4C"/>
    <w:rsid w:val="00F27D44"/>
    <w:rsid w:val="00F31B69"/>
    <w:rsid w:val="00F31EB7"/>
    <w:rsid w:val="00F34826"/>
    <w:rsid w:val="00F36E06"/>
    <w:rsid w:val="00F37344"/>
    <w:rsid w:val="00F42CB3"/>
    <w:rsid w:val="00F457D3"/>
    <w:rsid w:val="00F4584E"/>
    <w:rsid w:val="00F53DEC"/>
    <w:rsid w:val="00F55848"/>
    <w:rsid w:val="00F608EB"/>
    <w:rsid w:val="00F66002"/>
    <w:rsid w:val="00F709E7"/>
    <w:rsid w:val="00F71BB1"/>
    <w:rsid w:val="00F727A8"/>
    <w:rsid w:val="00F74E12"/>
    <w:rsid w:val="00F803A7"/>
    <w:rsid w:val="00F84753"/>
    <w:rsid w:val="00F85E81"/>
    <w:rsid w:val="00F96CA8"/>
    <w:rsid w:val="00FA12D6"/>
    <w:rsid w:val="00FA1CE7"/>
    <w:rsid w:val="00FA2333"/>
    <w:rsid w:val="00FA613C"/>
    <w:rsid w:val="00FA6234"/>
    <w:rsid w:val="00FA65AA"/>
    <w:rsid w:val="00FA71B5"/>
    <w:rsid w:val="00FB1F0D"/>
    <w:rsid w:val="00FB5D17"/>
    <w:rsid w:val="00FB6991"/>
    <w:rsid w:val="00FB774D"/>
    <w:rsid w:val="00FD720C"/>
    <w:rsid w:val="00FE117C"/>
    <w:rsid w:val="00FE6348"/>
    <w:rsid w:val="00FE797D"/>
    <w:rsid w:val="00FF2B77"/>
    <w:rsid w:val="00FF47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B838AB3"/>
  <w15:chartTrackingRefBased/>
  <w15:docId w15:val="{EB59F498-3035-427B-8016-35459B937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3B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3B76"/>
  </w:style>
  <w:style w:type="paragraph" w:styleId="Footer">
    <w:name w:val="footer"/>
    <w:basedOn w:val="Normal"/>
    <w:link w:val="FooterChar"/>
    <w:uiPriority w:val="99"/>
    <w:unhideWhenUsed/>
    <w:rsid w:val="001E3B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3B76"/>
  </w:style>
  <w:style w:type="paragraph" w:styleId="ListParagraph">
    <w:name w:val="List Paragraph"/>
    <w:basedOn w:val="Normal"/>
    <w:uiPriority w:val="34"/>
    <w:qFormat/>
    <w:rsid w:val="001E3B76"/>
    <w:pPr>
      <w:ind w:left="720"/>
      <w:contextualSpacing/>
    </w:pPr>
  </w:style>
  <w:style w:type="character" w:styleId="CommentReference">
    <w:name w:val="annotation reference"/>
    <w:basedOn w:val="DefaultParagraphFont"/>
    <w:uiPriority w:val="99"/>
    <w:semiHidden/>
    <w:unhideWhenUsed/>
    <w:rsid w:val="00A5587D"/>
    <w:rPr>
      <w:sz w:val="16"/>
      <w:szCs w:val="16"/>
    </w:rPr>
  </w:style>
  <w:style w:type="paragraph" w:styleId="CommentText">
    <w:name w:val="annotation text"/>
    <w:basedOn w:val="Normal"/>
    <w:link w:val="CommentTextChar"/>
    <w:uiPriority w:val="99"/>
    <w:semiHidden/>
    <w:unhideWhenUsed/>
    <w:rsid w:val="00A5587D"/>
    <w:pPr>
      <w:spacing w:line="240" w:lineRule="auto"/>
    </w:pPr>
    <w:rPr>
      <w:sz w:val="20"/>
      <w:szCs w:val="20"/>
    </w:rPr>
  </w:style>
  <w:style w:type="character" w:customStyle="1" w:styleId="CommentTextChar">
    <w:name w:val="Comment Text Char"/>
    <w:basedOn w:val="DefaultParagraphFont"/>
    <w:link w:val="CommentText"/>
    <w:uiPriority w:val="99"/>
    <w:semiHidden/>
    <w:rsid w:val="00A5587D"/>
    <w:rPr>
      <w:sz w:val="20"/>
      <w:szCs w:val="20"/>
    </w:rPr>
  </w:style>
  <w:style w:type="paragraph" w:styleId="CommentSubject">
    <w:name w:val="annotation subject"/>
    <w:basedOn w:val="CommentText"/>
    <w:next w:val="CommentText"/>
    <w:link w:val="CommentSubjectChar"/>
    <w:uiPriority w:val="99"/>
    <w:semiHidden/>
    <w:unhideWhenUsed/>
    <w:rsid w:val="00A5587D"/>
    <w:rPr>
      <w:b/>
      <w:bCs/>
    </w:rPr>
  </w:style>
  <w:style w:type="character" w:customStyle="1" w:styleId="CommentSubjectChar">
    <w:name w:val="Comment Subject Char"/>
    <w:basedOn w:val="CommentTextChar"/>
    <w:link w:val="CommentSubject"/>
    <w:uiPriority w:val="99"/>
    <w:semiHidden/>
    <w:rsid w:val="00A5587D"/>
    <w:rPr>
      <w:b/>
      <w:bCs/>
      <w:sz w:val="20"/>
      <w:szCs w:val="20"/>
    </w:rPr>
  </w:style>
  <w:style w:type="paragraph" w:styleId="BalloonText">
    <w:name w:val="Balloon Text"/>
    <w:basedOn w:val="Normal"/>
    <w:link w:val="BalloonTextChar"/>
    <w:uiPriority w:val="99"/>
    <w:semiHidden/>
    <w:unhideWhenUsed/>
    <w:rsid w:val="00A558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587D"/>
    <w:rPr>
      <w:rFonts w:ascii="Segoe UI" w:hAnsi="Segoe UI" w:cs="Segoe UI"/>
      <w:sz w:val="18"/>
      <w:szCs w:val="18"/>
    </w:rPr>
  </w:style>
  <w:style w:type="paragraph" w:styleId="NormalWeb">
    <w:name w:val="Normal (Web)"/>
    <w:basedOn w:val="Normal"/>
    <w:uiPriority w:val="99"/>
    <w:semiHidden/>
    <w:unhideWhenUsed/>
    <w:rsid w:val="00BC1D3C"/>
    <w:pPr>
      <w:spacing w:before="100" w:beforeAutospacing="1" w:after="100" w:afterAutospacing="1" w:line="240" w:lineRule="auto"/>
    </w:pPr>
    <w:rPr>
      <w:rFonts w:ascii="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8A762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A762F"/>
    <w:rPr>
      <w:sz w:val="20"/>
      <w:szCs w:val="20"/>
    </w:rPr>
  </w:style>
  <w:style w:type="character" w:styleId="FootnoteReference">
    <w:name w:val="footnote reference"/>
    <w:basedOn w:val="DefaultParagraphFont"/>
    <w:uiPriority w:val="99"/>
    <w:semiHidden/>
    <w:unhideWhenUsed/>
    <w:rsid w:val="008A762F"/>
    <w:rPr>
      <w:vertAlign w:val="superscript"/>
    </w:rPr>
  </w:style>
  <w:style w:type="paragraph" w:styleId="Revision">
    <w:name w:val="Revision"/>
    <w:hidden/>
    <w:uiPriority w:val="99"/>
    <w:semiHidden/>
    <w:rsid w:val="00CC6C08"/>
    <w:pPr>
      <w:spacing w:after="0" w:line="240" w:lineRule="auto"/>
    </w:pPr>
  </w:style>
  <w:style w:type="paragraph" w:customStyle="1" w:styleId="CM1">
    <w:name w:val="CM1"/>
    <w:basedOn w:val="Normal"/>
    <w:next w:val="Normal"/>
    <w:uiPriority w:val="99"/>
    <w:rsid w:val="00CB7F51"/>
    <w:pPr>
      <w:autoSpaceDE w:val="0"/>
      <w:autoSpaceDN w:val="0"/>
      <w:adjustRightInd w:val="0"/>
      <w:spacing w:after="0" w:line="240" w:lineRule="auto"/>
    </w:pPr>
    <w:rPr>
      <w:rFonts w:ascii="Times New Roman" w:hAnsi="Times New Roman" w:cs="Times New Roman"/>
      <w:sz w:val="24"/>
      <w:szCs w:val="24"/>
      <w:lang w:val="de-DE"/>
    </w:rPr>
  </w:style>
  <w:style w:type="paragraph" w:customStyle="1" w:styleId="CM3">
    <w:name w:val="CM3"/>
    <w:basedOn w:val="Normal"/>
    <w:next w:val="Normal"/>
    <w:uiPriority w:val="99"/>
    <w:rsid w:val="00CB7F51"/>
    <w:pPr>
      <w:autoSpaceDE w:val="0"/>
      <w:autoSpaceDN w:val="0"/>
      <w:adjustRightInd w:val="0"/>
      <w:spacing w:after="0" w:line="240" w:lineRule="auto"/>
    </w:pPr>
    <w:rPr>
      <w:rFonts w:ascii="Times New Roman" w:hAnsi="Times New Roman" w:cs="Times New Roman"/>
      <w:sz w:val="24"/>
      <w:szCs w:val="24"/>
      <w:lang w:val="de-DE"/>
    </w:rPr>
  </w:style>
  <w:style w:type="character" w:styleId="Hyperlink">
    <w:name w:val="Hyperlink"/>
    <w:basedOn w:val="DefaultParagraphFont"/>
    <w:uiPriority w:val="99"/>
    <w:unhideWhenUsed/>
    <w:rsid w:val="00A24321"/>
    <w:rPr>
      <w:color w:val="0000FF" w:themeColor="hyperlink"/>
      <w:u w:val="single"/>
    </w:rPr>
  </w:style>
  <w:style w:type="character" w:styleId="LineNumber">
    <w:name w:val="line number"/>
    <w:basedOn w:val="DefaultParagraphFont"/>
    <w:uiPriority w:val="99"/>
    <w:semiHidden/>
    <w:unhideWhenUsed/>
    <w:rsid w:val="00091F43"/>
  </w:style>
  <w:style w:type="paragraph" w:customStyle="1" w:styleId="ISOComments">
    <w:name w:val="ISO_Comments"/>
    <w:basedOn w:val="Normal"/>
    <w:rsid w:val="004D0B38"/>
    <w:pPr>
      <w:spacing w:before="210" w:after="0" w:line="210" w:lineRule="exact"/>
    </w:pPr>
    <w:rPr>
      <w:rFonts w:ascii="Arial" w:eastAsia="Times New Roman" w:hAnsi="Arial" w:cs="Times New Roman"/>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9576223">
      <w:bodyDiv w:val="1"/>
      <w:marLeft w:val="0"/>
      <w:marRight w:val="0"/>
      <w:marTop w:val="0"/>
      <w:marBottom w:val="0"/>
      <w:divBdr>
        <w:top w:val="none" w:sz="0" w:space="0" w:color="auto"/>
        <w:left w:val="none" w:sz="0" w:space="0" w:color="auto"/>
        <w:bottom w:val="none" w:sz="0" w:space="0" w:color="auto"/>
        <w:right w:val="none" w:sz="0" w:space="0" w:color="auto"/>
      </w:divBdr>
    </w:div>
    <w:div w:id="598682298">
      <w:bodyDiv w:val="1"/>
      <w:marLeft w:val="0"/>
      <w:marRight w:val="0"/>
      <w:marTop w:val="0"/>
      <w:marBottom w:val="0"/>
      <w:divBdr>
        <w:top w:val="none" w:sz="0" w:space="0" w:color="auto"/>
        <w:left w:val="none" w:sz="0" w:space="0" w:color="auto"/>
        <w:bottom w:val="none" w:sz="0" w:space="0" w:color="auto"/>
        <w:right w:val="none" w:sz="0" w:space="0" w:color="auto"/>
      </w:divBdr>
    </w:div>
    <w:div w:id="1503736193">
      <w:bodyDiv w:val="1"/>
      <w:marLeft w:val="0"/>
      <w:marRight w:val="0"/>
      <w:marTop w:val="0"/>
      <w:marBottom w:val="0"/>
      <w:divBdr>
        <w:top w:val="none" w:sz="0" w:space="0" w:color="auto"/>
        <w:left w:val="none" w:sz="0" w:space="0" w:color="auto"/>
        <w:bottom w:val="none" w:sz="0" w:space="0" w:color="auto"/>
        <w:right w:val="none" w:sz="0" w:space="0" w:color="auto"/>
      </w:divBdr>
    </w:div>
    <w:div w:id="1879472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Microsoft_Excel_Worksheet.xlsx"/><Relationship Id="rId14"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8" Type="http://schemas.openxmlformats.org/officeDocument/2006/relationships/hyperlink" Target="https://ec.europa.eu/health/md_sector/new_regulations/guidance_en" TargetMode="External"/><Relationship Id="rId3" Type="http://schemas.openxmlformats.org/officeDocument/2006/relationships/hyperlink" Target="https://ec.europa.eu/health/sites/health/files/md_sector/docs/2021-1_guidance-administrative-practices_en.pdf" TargetMode="External"/><Relationship Id="rId7" Type="http://schemas.openxmlformats.org/officeDocument/2006/relationships/hyperlink" Target="https://ec.europa.eu/health/sites/health/files/md_sector/docs/md_mdcg_camd_mdr_en.pdf" TargetMode="External"/><Relationship Id="rId2" Type="http://schemas.openxmlformats.org/officeDocument/2006/relationships/hyperlink" Target="https://ec.europa.eu/health/sites/default/files/md_sector/docs/md_application-transitional-provisions-certificates_en.pdf" TargetMode="External"/><Relationship Id="rId1" Type="http://schemas.openxmlformats.org/officeDocument/2006/relationships/hyperlink" Target="https://ec.europa.eu/health/sites/default/files/md_sector/docs/md_mdcg_2021_25_en.pdf" TargetMode="External"/><Relationship Id="rId6" Type="http://schemas.openxmlformats.org/officeDocument/2006/relationships/hyperlink" Target="https://ec.europa.eu/health/sites/default/files/md_sector/docs/md_mdcg_2021_25_en.pdf" TargetMode="External"/><Relationship Id="rId5" Type="http://schemas.openxmlformats.org/officeDocument/2006/relationships/hyperlink" Target="https://ec.europa.eu/health/sites/default/files/md_sector/docs/md_mdcg_2021_25_en.pdf" TargetMode="External"/><Relationship Id="rId10" Type="http://schemas.openxmlformats.org/officeDocument/2006/relationships/hyperlink" Target="http://www.doks.nbog.eu/Doks/NBOG_BPG_2009_4_EN.pdf" TargetMode="External"/><Relationship Id="rId4" Type="http://schemas.openxmlformats.org/officeDocument/2006/relationships/hyperlink" Target="https://ec.europa.eu/health/sites/default/files/md_sector/docs/md_mdcg_2019_5_legacy_devices_registration_eudamed_en.pdf" TargetMode="External"/><Relationship Id="rId9" Type="http://schemas.openxmlformats.org/officeDocument/2006/relationships/hyperlink" Target="https://ec.europa.eu/health/sites/health/files/md_sector/docs/md_mdcg_guidance_significant_changes_annexes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97EAE59455871E46A9FA443D73AFE879" ma:contentTypeVersion="15" ma:contentTypeDescription="Ein neues Dokument erstellen." ma:contentTypeScope="" ma:versionID="2d5ffb53498b6a5febae7c0891ccd2eb">
  <xsd:schema xmlns:xsd="http://www.w3.org/2001/XMLSchema" xmlns:xs="http://www.w3.org/2001/XMLSchema" xmlns:p="http://schemas.microsoft.com/office/2006/metadata/properties" xmlns:ns2="8cea201b-f78e-4710-bb37-675106f3d11b" xmlns:ns3="dd687069-60a6-416c-a646-6546b9e245e1" targetNamespace="http://schemas.microsoft.com/office/2006/metadata/properties" ma:root="true" ma:fieldsID="8f09759afd8f547a7b973b3e39768049" ns2:_="" ns3:_="">
    <xsd:import namespace="8cea201b-f78e-4710-bb37-675106f3d11b"/>
    <xsd:import namespace="dd687069-60a6-416c-a646-6546b9e245e1"/>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ea201b-f78e-4710-bb37-675106f3d11b"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description="" ma:internalName="SharedWithDetails" ma:readOnly="true">
      <xsd:simpleType>
        <xsd:restriction base="dms:Note">
          <xsd:maxLength value="255"/>
        </xsd:restriction>
      </xsd:simpleType>
    </xsd:element>
    <xsd:element name="LastSharedByUser" ma:index="10" nillable="true" ma:displayName="Zuletzt freigegeben nach Benutzer" ma:description="" ma:internalName="LastSharedByUser" ma:readOnly="true">
      <xsd:simpleType>
        <xsd:restriction base="dms:Note">
          <xsd:maxLength value="255"/>
        </xsd:restriction>
      </xsd:simpleType>
    </xsd:element>
    <xsd:element name="LastSharedByTime" ma:index="11" nillable="true" ma:displayName="Zuletzt freigegeben nach Zeitpunkt"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d687069-60a6-416c-a646-6546b9e245e1"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CDD3C6-14BD-461F-B14A-2E4240109469}">
  <ds:schemaRefs>
    <ds:schemaRef ds:uri="http://schemas.openxmlformats.org/officeDocument/2006/bibliography"/>
  </ds:schemaRefs>
</ds:datastoreItem>
</file>

<file path=customXml/itemProps2.xml><?xml version="1.0" encoding="utf-8"?>
<ds:datastoreItem xmlns:ds="http://schemas.openxmlformats.org/officeDocument/2006/customXml" ds:itemID="{B22A4234-4253-40FC-8CE5-8C705B11E658}"/>
</file>

<file path=customXml/itemProps3.xml><?xml version="1.0" encoding="utf-8"?>
<ds:datastoreItem xmlns:ds="http://schemas.openxmlformats.org/officeDocument/2006/customXml" ds:itemID="{A7F08FE7-3239-481A-9B39-6ECD70CE0112}"/>
</file>

<file path=customXml/itemProps4.xml><?xml version="1.0" encoding="utf-8"?>
<ds:datastoreItem xmlns:ds="http://schemas.openxmlformats.org/officeDocument/2006/customXml" ds:itemID="{AF1819E9-14ED-4E80-8DE8-347E0226606B}"/>
</file>

<file path=docProps/app.xml><?xml version="1.0" encoding="utf-8"?>
<Properties xmlns="http://schemas.openxmlformats.org/officeDocument/2006/extended-properties" xmlns:vt="http://schemas.openxmlformats.org/officeDocument/2006/docPropsVTypes">
  <Template>Normal</Template>
  <TotalTime>0</TotalTime>
  <Pages>8</Pages>
  <Words>2282</Words>
  <Characters>13539</Characters>
  <Application>Microsoft Office Word</Application>
  <DocSecurity>0</DocSecurity>
  <Lines>180</Lines>
  <Paragraphs>34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European Commission</Company>
  <LinksUpToDate>false</LinksUpToDate>
  <CharactersWithSpaces>15787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ORLANDI Maria Chiara (SANTE)</dc:creator>
  <cp:keywords/>
  <dc:description/>
  <cp:lastModifiedBy>ORLANDI Maria Chiara (SANTE)</cp:lastModifiedBy>
  <cp:revision>2</cp:revision>
  <cp:lastPrinted>2021-10-05T09:38:00Z</cp:lastPrinted>
  <dcterms:created xsi:type="dcterms:W3CDTF">2021-11-11T09:45:00Z</dcterms:created>
  <dcterms:modified xsi:type="dcterms:W3CDTF">2021-11-11T09:45:00Z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0x01010097EAE59455871E46A9FA443D73AFE879</vt:lpwstr>
  </property>
</Properties>
</file>