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FBC92" w14:textId="77777777" w:rsidR="00464CE1" w:rsidRPr="003015CD" w:rsidRDefault="00464CE1" w:rsidP="00081885">
      <w:pPr>
        <w:pStyle w:val="Corpsdetexte"/>
        <w:jc w:val="both"/>
        <w:rPr>
          <w:rFonts w:asciiTheme="majorHAnsi" w:hAnsiTheme="majorHAnsi" w:cstheme="majorHAnsi"/>
          <w:color w:val="000000" w:themeColor="text1"/>
        </w:rPr>
      </w:pPr>
      <w:bookmarkStart w:id="0" w:name="_Hlk161851215"/>
    </w:p>
    <w:p w14:paraId="19177697" w14:textId="77777777" w:rsidR="004900F3" w:rsidRPr="003015CD" w:rsidRDefault="004900F3" w:rsidP="00081885">
      <w:pPr>
        <w:pStyle w:val="Corpsdetexte"/>
        <w:jc w:val="both"/>
        <w:rPr>
          <w:rFonts w:asciiTheme="majorHAnsi" w:hAnsiTheme="majorHAnsi" w:cstheme="majorHAnsi"/>
          <w:color w:val="000000" w:themeColor="text1"/>
        </w:rPr>
      </w:pPr>
    </w:p>
    <w:p w14:paraId="711201C8" w14:textId="77777777" w:rsidR="00464CE1" w:rsidRPr="003015CD" w:rsidRDefault="00464CE1" w:rsidP="00081885">
      <w:pPr>
        <w:pStyle w:val="Corpsdetexte"/>
        <w:jc w:val="both"/>
        <w:rPr>
          <w:rFonts w:asciiTheme="majorHAnsi" w:hAnsiTheme="majorHAnsi" w:cstheme="majorHAnsi"/>
          <w:color w:val="000000" w:themeColor="text1"/>
        </w:rPr>
      </w:pPr>
    </w:p>
    <w:p w14:paraId="5ADB4034" w14:textId="77777777" w:rsidR="00464CE1" w:rsidRPr="003015CD" w:rsidRDefault="00464CE1" w:rsidP="00081885">
      <w:pPr>
        <w:pStyle w:val="Corpsdetexte"/>
        <w:jc w:val="both"/>
        <w:rPr>
          <w:rFonts w:asciiTheme="majorHAnsi" w:hAnsiTheme="majorHAnsi" w:cstheme="majorHAnsi"/>
          <w:color w:val="000000" w:themeColor="text1"/>
        </w:rPr>
      </w:pPr>
    </w:p>
    <w:p w14:paraId="283AF01F" w14:textId="77777777" w:rsidR="00464CE1" w:rsidRPr="003015CD" w:rsidRDefault="00464CE1" w:rsidP="00081885">
      <w:pPr>
        <w:pStyle w:val="Corpsdetexte"/>
        <w:jc w:val="both"/>
        <w:rPr>
          <w:rFonts w:asciiTheme="majorHAnsi" w:hAnsiTheme="majorHAnsi" w:cstheme="majorHAnsi"/>
          <w:color w:val="000000" w:themeColor="text1"/>
        </w:rPr>
      </w:pPr>
    </w:p>
    <w:p w14:paraId="723E936E" w14:textId="77777777" w:rsidR="005D03EC" w:rsidRPr="003015CD" w:rsidRDefault="005D03EC" w:rsidP="00081885">
      <w:pPr>
        <w:jc w:val="both"/>
        <w:rPr>
          <w:rFonts w:asciiTheme="majorHAnsi" w:hAnsiTheme="majorHAnsi" w:cstheme="majorHAnsi"/>
          <w:b/>
          <w:color w:val="000000" w:themeColor="text1"/>
        </w:rPr>
      </w:pPr>
    </w:p>
    <w:p w14:paraId="65AAEAA7"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jc w:val="both"/>
        <w:rPr>
          <w:rFonts w:asciiTheme="majorHAnsi" w:hAnsiTheme="majorHAnsi" w:cstheme="majorHAnsi"/>
          <w:b/>
          <w:color w:val="000000" w:themeColor="text1"/>
          <w:sz w:val="32"/>
          <w:szCs w:val="32"/>
        </w:rPr>
      </w:pPr>
    </w:p>
    <w:p w14:paraId="68F90712"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jc w:val="both"/>
        <w:rPr>
          <w:rFonts w:asciiTheme="majorHAnsi" w:hAnsiTheme="majorHAnsi" w:cstheme="majorHAnsi"/>
          <w:b/>
          <w:color w:val="0F243E" w:themeColor="text2" w:themeShade="80"/>
          <w:sz w:val="32"/>
          <w:szCs w:val="32"/>
        </w:rPr>
      </w:pPr>
    </w:p>
    <w:p w14:paraId="349127CA" w14:textId="213AD084" w:rsidR="005D03EC" w:rsidRPr="003015CD" w:rsidRDefault="005D03EC" w:rsidP="2D4ECF1A">
      <w:pPr>
        <w:pBdr>
          <w:top w:val="single" w:sz="8" w:space="1" w:color="002060"/>
          <w:left w:val="single" w:sz="8" w:space="4" w:color="002060"/>
          <w:bottom w:val="single" w:sz="8" w:space="1" w:color="002060"/>
          <w:right w:val="single" w:sz="8" w:space="4" w:color="002060"/>
        </w:pBdr>
        <w:jc w:val="both"/>
        <w:rPr>
          <w:rFonts w:asciiTheme="majorHAnsi" w:hAnsiTheme="majorHAnsi" w:cstheme="majorBidi"/>
          <w:b/>
          <w:bCs/>
          <w:color w:val="0F243E" w:themeColor="text2" w:themeShade="80"/>
          <w:sz w:val="48"/>
          <w:szCs w:val="48"/>
        </w:rPr>
      </w:pPr>
      <w:r w:rsidRPr="003015CD">
        <w:rPr>
          <w:rFonts w:asciiTheme="majorHAnsi" w:hAnsiTheme="majorHAnsi" w:cstheme="majorBidi"/>
          <w:b/>
          <w:bCs/>
          <w:color w:val="0F243E" w:themeColor="text2" w:themeShade="80"/>
          <w:sz w:val="48"/>
          <w:szCs w:val="48"/>
        </w:rPr>
        <w:t>DRAFT MDCG 202</w:t>
      </w:r>
      <w:r w:rsidR="006C0FA4" w:rsidRPr="003015CD">
        <w:rPr>
          <w:rFonts w:asciiTheme="majorHAnsi" w:hAnsiTheme="majorHAnsi" w:cstheme="majorBidi"/>
          <w:b/>
          <w:bCs/>
          <w:color w:val="0F243E" w:themeColor="text2" w:themeShade="80"/>
          <w:sz w:val="48"/>
          <w:szCs w:val="48"/>
        </w:rPr>
        <w:t>6</w:t>
      </w:r>
      <w:r w:rsidRPr="003015CD">
        <w:rPr>
          <w:rFonts w:asciiTheme="majorHAnsi" w:hAnsiTheme="majorHAnsi" w:cstheme="majorBidi"/>
          <w:b/>
          <w:bCs/>
          <w:color w:val="0F243E" w:themeColor="text2" w:themeShade="80"/>
          <w:sz w:val="48"/>
          <w:szCs w:val="48"/>
        </w:rPr>
        <w:t>-XX</w:t>
      </w:r>
    </w:p>
    <w:p w14:paraId="3FB03997"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ind w:firstLine="720"/>
        <w:jc w:val="both"/>
        <w:rPr>
          <w:rFonts w:asciiTheme="majorHAnsi" w:hAnsiTheme="majorHAnsi" w:cstheme="majorHAnsi"/>
          <w:b/>
          <w:color w:val="0F243E" w:themeColor="text2" w:themeShade="80"/>
          <w:sz w:val="48"/>
          <w:szCs w:val="48"/>
        </w:rPr>
      </w:pPr>
    </w:p>
    <w:p w14:paraId="2AC486C9" w14:textId="6FC845BD" w:rsidR="00DA7B48" w:rsidRPr="003015CD" w:rsidRDefault="00DA7B48" w:rsidP="00081885">
      <w:pPr>
        <w:pBdr>
          <w:top w:val="single" w:sz="8" w:space="1" w:color="002060"/>
          <w:left w:val="single" w:sz="8" w:space="4" w:color="002060"/>
          <w:bottom w:val="single" w:sz="8" w:space="1" w:color="002060"/>
          <w:right w:val="single" w:sz="8" w:space="4" w:color="002060"/>
        </w:pBdr>
        <w:spacing w:after="200" w:line="276" w:lineRule="auto"/>
        <w:jc w:val="both"/>
        <w:rPr>
          <w:rFonts w:asciiTheme="majorHAnsi" w:eastAsia="Arial" w:hAnsiTheme="majorHAnsi" w:cstheme="majorHAnsi"/>
          <w:b/>
          <w:color w:val="0F243E" w:themeColor="text2" w:themeShade="80"/>
          <w:sz w:val="36"/>
          <w:szCs w:val="36"/>
        </w:rPr>
      </w:pPr>
      <w:r w:rsidRPr="003015CD">
        <w:rPr>
          <w:rFonts w:asciiTheme="majorHAnsi" w:eastAsia="Arial" w:hAnsiTheme="majorHAnsi" w:cstheme="majorHAnsi"/>
          <w:b/>
          <w:color w:val="0F243E" w:themeColor="text2" w:themeShade="80"/>
          <w:sz w:val="36"/>
          <w:szCs w:val="36"/>
        </w:rPr>
        <w:t>C</w:t>
      </w:r>
      <w:r w:rsidR="005D03EC" w:rsidRPr="003015CD">
        <w:rPr>
          <w:rFonts w:asciiTheme="majorHAnsi" w:eastAsia="Arial" w:hAnsiTheme="majorHAnsi" w:cstheme="majorHAnsi"/>
          <w:b/>
          <w:color w:val="0F243E" w:themeColor="text2" w:themeShade="80"/>
          <w:sz w:val="36"/>
          <w:szCs w:val="36"/>
        </w:rPr>
        <w:t xml:space="preserve">linical evaluation </w:t>
      </w:r>
      <w:r w:rsidRPr="003015CD">
        <w:rPr>
          <w:rFonts w:asciiTheme="majorHAnsi" w:eastAsia="Arial" w:hAnsiTheme="majorHAnsi" w:cstheme="majorHAnsi"/>
          <w:b/>
          <w:color w:val="0F243E" w:themeColor="text2" w:themeShade="80"/>
          <w:sz w:val="36"/>
          <w:szCs w:val="36"/>
        </w:rPr>
        <w:t xml:space="preserve">under </w:t>
      </w:r>
      <w:r w:rsidR="007B76AE" w:rsidRPr="003015CD">
        <w:rPr>
          <w:rFonts w:asciiTheme="majorHAnsi" w:eastAsia="Arial" w:hAnsiTheme="majorHAnsi" w:cstheme="majorHAnsi"/>
          <w:b/>
          <w:color w:val="0F243E" w:themeColor="text2" w:themeShade="80"/>
          <w:sz w:val="36"/>
          <w:szCs w:val="36"/>
        </w:rPr>
        <w:t>Regulation</w:t>
      </w:r>
      <w:r w:rsidR="002E5306" w:rsidRPr="003015CD">
        <w:rPr>
          <w:rFonts w:asciiTheme="majorHAnsi" w:eastAsia="Arial" w:hAnsiTheme="majorHAnsi" w:cstheme="majorHAnsi"/>
          <w:b/>
          <w:color w:val="0F243E" w:themeColor="text2" w:themeShade="80"/>
          <w:sz w:val="36"/>
          <w:szCs w:val="36"/>
        </w:rPr>
        <w:t xml:space="preserve"> (EU)</w:t>
      </w:r>
      <w:r w:rsidR="007B76AE" w:rsidRPr="003015CD" w:rsidDel="003F3363">
        <w:rPr>
          <w:rFonts w:asciiTheme="majorHAnsi" w:eastAsia="Arial" w:hAnsiTheme="majorHAnsi" w:cstheme="majorHAnsi"/>
          <w:b/>
          <w:color w:val="0F243E" w:themeColor="text2" w:themeShade="80"/>
          <w:sz w:val="36"/>
          <w:szCs w:val="36"/>
        </w:rPr>
        <w:t xml:space="preserve"> </w:t>
      </w:r>
      <w:r w:rsidR="002E5306" w:rsidRPr="003015CD">
        <w:rPr>
          <w:rFonts w:asciiTheme="majorHAnsi" w:eastAsia="Arial" w:hAnsiTheme="majorHAnsi" w:cstheme="majorHAnsi"/>
          <w:b/>
          <w:color w:val="0F243E" w:themeColor="text2" w:themeShade="80"/>
          <w:sz w:val="36"/>
          <w:szCs w:val="36"/>
        </w:rPr>
        <w:t>2017/745</w:t>
      </w:r>
      <w:r w:rsidR="009425BC" w:rsidRPr="003015CD">
        <w:rPr>
          <w:rFonts w:asciiTheme="majorHAnsi" w:eastAsia="Arial" w:hAnsiTheme="majorHAnsi" w:cstheme="majorHAnsi"/>
          <w:b/>
          <w:color w:val="0F243E" w:themeColor="text2" w:themeShade="80"/>
          <w:sz w:val="36"/>
          <w:szCs w:val="36"/>
        </w:rPr>
        <w:t xml:space="preserve"> a guide for manufacturers and notified bodies</w:t>
      </w:r>
      <w:r w:rsidR="002E5306" w:rsidRPr="003015CD">
        <w:rPr>
          <w:rFonts w:asciiTheme="majorHAnsi" w:eastAsia="Arial" w:hAnsiTheme="majorHAnsi" w:cstheme="majorHAnsi"/>
          <w:b/>
          <w:color w:val="0F243E" w:themeColor="text2" w:themeShade="80"/>
          <w:sz w:val="36"/>
          <w:szCs w:val="36"/>
        </w:rPr>
        <w:t xml:space="preserve"> </w:t>
      </w:r>
    </w:p>
    <w:p w14:paraId="5A8214E6"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spacing w:after="200" w:line="276" w:lineRule="auto"/>
        <w:jc w:val="both"/>
        <w:rPr>
          <w:rFonts w:asciiTheme="majorHAnsi" w:eastAsia="Arial" w:hAnsiTheme="majorHAnsi" w:cstheme="majorHAnsi"/>
          <w:b/>
          <w:color w:val="0F243E" w:themeColor="text2" w:themeShade="80"/>
          <w:sz w:val="36"/>
          <w:szCs w:val="36"/>
        </w:rPr>
      </w:pPr>
    </w:p>
    <w:p w14:paraId="4B68A9B3"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jc w:val="both"/>
        <w:rPr>
          <w:rFonts w:asciiTheme="majorHAnsi" w:hAnsiTheme="majorHAnsi" w:cstheme="majorHAnsi"/>
          <w:b/>
          <w:color w:val="0F243E" w:themeColor="text2" w:themeShade="80"/>
        </w:rPr>
      </w:pPr>
    </w:p>
    <w:p w14:paraId="09431252"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jc w:val="both"/>
        <w:rPr>
          <w:rFonts w:asciiTheme="majorHAnsi" w:hAnsiTheme="majorHAnsi" w:cstheme="majorHAnsi"/>
          <w:b/>
          <w:color w:val="0F243E" w:themeColor="text2" w:themeShade="80"/>
        </w:rPr>
      </w:pPr>
    </w:p>
    <w:p w14:paraId="6D22828B"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jc w:val="both"/>
        <w:rPr>
          <w:rFonts w:asciiTheme="majorHAnsi" w:hAnsiTheme="majorHAnsi" w:cstheme="majorHAnsi"/>
          <w:b/>
          <w:color w:val="0F243E" w:themeColor="text2" w:themeShade="80"/>
        </w:rPr>
      </w:pPr>
    </w:p>
    <w:p w14:paraId="5FF6F585" w14:textId="6DE65B8E" w:rsidR="005D03EC" w:rsidRPr="003015CD" w:rsidRDefault="005D03EC" w:rsidP="2D4ECF1A">
      <w:pPr>
        <w:pBdr>
          <w:top w:val="single" w:sz="8" w:space="1" w:color="002060"/>
          <w:left w:val="single" w:sz="8" w:space="4" w:color="002060"/>
          <w:bottom w:val="single" w:sz="8" w:space="1" w:color="002060"/>
          <w:right w:val="single" w:sz="8" w:space="4" w:color="002060"/>
        </w:pBdr>
        <w:jc w:val="both"/>
        <w:rPr>
          <w:rFonts w:asciiTheme="majorHAnsi" w:hAnsiTheme="majorHAnsi" w:cstheme="majorBidi"/>
          <w:b/>
          <w:bCs/>
          <w:color w:val="0F243E" w:themeColor="text2" w:themeShade="80"/>
          <w:sz w:val="32"/>
          <w:szCs w:val="32"/>
        </w:rPr>
      </w:pPr>
      <w:proofErr w:type="spellStart"/>
      <w:r w:rsidRPr="003015CD">
        <w:rPr>
          <w:rFonts w:asciiTheme="majorHAnsi" w:hAnsiTheme="majorHAnsi" w:cstheme="majorBidi"/>
          <w:b/>
          <w:bCs/>
          <w:color w:val="0F243E" w:themeColor="text2" w:themeShade="80"/>
          <w:sz w:val="32"/>
          <w:szCs w:val="32"/>
        </w:rPr>
        <w:t>xxxx</w:t>
      </w:r>
      <w:proofErr w:type="spellEnd"/>
      <w:r w:rsidRPr="003015CD">
        <w:rPr>
          <w:rFonts w:asciiTheme="majorHAnsi" w:hAnsiTheme="majorHAnsi" w:cstheme="majorBidi"/>
          <w:b/>
          <w:bCs/>
          <w:color w:val="0F243E" w:themeColor="text2" w:themeShade="80"/>
          <w:sz w:val="32"/>
          <w:szCs w:val="32"/>
        </w:rPr>
        <w:t xml:space="preserve"> 202</w:t>
      </w:r>
      <w:r w:rsidR="003065CA" w:rsidRPr="003015CD">
        <w:rPr>
          <w:rFonts w:asciiTheme="majorHAnsi" w:hAnsiTheme="majorHAnsi" w:cstheme="majorBidi"/>
          <w:b/>
          <w:bCs/>
          <w:color w:val="0F243E" w:themeColor="text2" w:themeShade="80"/>
          <w:sz w:val="32"/>
          <w:szCs w:val="32"/>
        </w:rPr>
        <w:t>6</w:t>
      </w:r>
    </w:p>
    <w:p w14:paraId="2035E63B" w14:textId="77777777" w:rsidR="005D03EC" w:rsidRPr="003015CD" w:rsidRDefault="005D03EC" w:rsidP="00081885">
      <w:pPr>
        <w:pBdr>
          <w:top w:val="single" w:sz="8" w:space="1" w:color="002060"/>
          <w:left w:val="single" w:sz="8" w:space="4" w:color="002060"/>
          <w:bottom w:val="single" w:sz="8" w:space="1" w:color="002060"/>
          <w:right w:val="single" w:sz="8" w:space="4" w:color="002060"/>
        </w:pBdr>
        <w:jc w:val="both"/>
        <w:rPr>
          <w:rFonts w:asciiTheme="majorHAnsi" w:hAnsiTheme="majorHAnsi" w:cstheme="majorHAnsi"/>
          <w:b/>
          <w:color w:val="000000" w:themeColor="text1"/>
        </w:rPr>
      </w:pPr>
    </w:p>
    <w:p w14:paraId="4ECE2306" w14:textId="77777777" w:rsidR="005D03EC" w:rsidRPr="003015CD" w:rsidRDefault="005D03EC" w:rsidP="00081885">
      <w:pPr>
        <w:jc w:val="both"/>
        <w:rPr>
          <w:rFonts w:asciiTheme="majorHAnsi" w:hAnsiTheme="majorHAnsi" w:cstheme="majorHAnsi"/>
          <w:b/>
          <w:color w:val="000000" w:themeColor="text1"/>
        </w:rPr>
      </w:pPr>
    </w:p>
    <w:p w14:paraId="552282DB" w14:textId="77777777" w:rsidR="005D03EC" w:rsidRPr="003015CD" w:rsidRDefault="005D03EC" w:rsidP="00081885">
      <w:pPr>
        <w:jc w:val="both"/>
        <w:rPr>
          <w:rFonts w:asciiTheme="majorHAnsi" w:hAnsiTheme="majorHAnsi" w:cstheme="majorHAnsi"/>
          <w:b/>
          <w:color w:val="000000" w:themeColor="text1"/>
        </w:rPr>
      </w:pPr>
    </w:p>
    <w:p w14:paraId="61766A25" w14:textId="77777777" w:rsidR="00464CE1" w:rsidRPr="003015CD" w:rsidRDefault="00464CE1" w:rsidP="00081885">
      <w:pPr>
        <w:pStyle w:val="Corpsdetexte"/>
        <w:jc w:val="both"/>
        <w:rPr>
          <w:rFonts w:asciiTheme="majorHAnsi" w:hAnsiTheme="majorHAnsi" w:cstheme="majorHAnsi"/>
          <w:color w:val="000000" w:themeColor="text1"/>
        </w:rPr>
      </w:pPr>
    </w:p>
    <w:p w14:paraId="16D30854" w14:textId="77777777" w:rsidR="00464CE1" w:rsidRPr="003015CD" w:rsidRDefault="00464CE1" w:rsidP="00081885">
      <w:pPr>
        <w:pStyle w:val="Corpsdetexte"/>
        <w:jc w:val="both"/>
        <w:rPr>
          <w:rFonts w:asciiTheme="majorHAnsi" w:hAnsiTheme="majorHAnsi" w:cstheme="majorHAnsi"/>
          <w:color w:val="000000" w:themeColor="text1"/>
        </w:rPr>
      </w:pPr>
    </w:p>
    <w:p w14:paraId="3B8313B2" w14:textId="190DCC09" w:rsidR="005D03EC" w:rsidRPr="003015CD" w:rsidRDefault="005D03EC" w:rsidP="00081885">
      <w:pPr>
        <w:pStyle w:val="Corpsdetexte"/>
        <w:jc w:val="both"/>
        <w:rPr>
          <w:rFonts w:asciiTheme="majorHAnsi" w:hAnsiTheme="majorHAnsi" w:cstheme="majorHAnsi"/>
          <w:color w:val="000000" w:themeColor="text1"/>
        </w:rPr>
      </w:pPr>
    </w:p>
    <w:p w14:paraId="41592A78" w14:textId="77777777" w:rsidR="006616AE" w:rsidRPr="003015CD" w:rsidRDefault="006616AE" w:rsidP="00081885">
      <w:pPr>
        <w:pStyle w:val="Corpsdetexte"/>
        <w:jc w:val="both"/>
        <w:rPr>
          <w:rFonts w:asciiTheme="majorHAnsi" w:hAnsiTheme="majorHAnsi" w:cstheme="majorHAnsi"/>
          <w:color w:val="000000" w:themeColor="text1"/>
        </w:rPr>
      </w:pPr>
    </w:p>
    <w:p w14:paraId="1B599F62" w14:textId="2A54666B" w:rsidR="005D03EC" w:rsidRPr="003015CD" w:rsidRDefault="005D03EC" w:rsidP="00081885">
      <w:pPr>
        <w:pStyle w:val="Corpsdetexte"/>
        <w:jc w:val="both"/>
        <w:rPr>
          <w:rFonts w:asciiTheme="majorHAnsi" w:hAnsiTheme="majorHAnsi" w:cstheme="majorHAnsi"/>
          <w:color w:val="000000" w:themeColor="text1"/>
        </w:rPr>
      </w:pPr>
    </w:p>
    <w:p w14:paraId="68F64AD6" w14:textId="22FF932E" w:rsidR="005D03EC" w:rsidRPr="003015CD" w:rsidRDefault="005D03EC" w:rsidP="00081885">
      <w:pPr>
        <w:pStyle w:val="Corpsdetexte"/>
        <w:jc w:val="both"/>
        <w:rPr>
          <w:rFonts w:asciiTheme="majorHAnsi" w:hAnsiTheme="majorHAnsi" w:cstheme="majorHAnsi"/>
          <w:color w:val="000000" w:themeColor="text1"/>
        </w:rPr>
      </w:pPr>
    </w:p>
    <w:p w14:paraId="41BE070E" w14:textId="325E33EF" w:rsidR="005D03EC" w:rsidRPr="003015CD" w:rsidRDefault="005D03EC" w:rsidP="00081885">
      <w:pPr>
        <w:pStyle w:val="Corpsdetexte"/>
        <w:jc w:val="both"/>
        <w:rPr>
          <w:rFonts w:asciiTheme="majorHAnsi" w:hAnsiTheme="majorHAnsi" w:cstheme="majorHAnsi"/>
          <w:color w:val="000000" w:themeColor="text1"/>
        </w:rPr>
      </w:pPr>
    </w:p>
    <w:p w14:paraId="7D331F09" w14:textId="77777777" w:rsidR="005D03EC" w:rsidRPr="003015CD" w:rsidRDefault="005D03EC" w:rsidP="00081885">
      <w:pPr>
        <w:jc w:val="both"/>
        <w:rPr>
          <w:rFonts w:asciiTheme="majorHAnsi" w:hAnsiTheme="majorHAnsi" w:cstheme="majorHAnsi"/>
          <w:b/>
          <w:color w:val="000000" w:themeColor="text1"/>
        </w:rPr>
      </w:pPr>
    </w:p>
    <w:p w14:paraId="056085DB" w14:textId="7F0CA51F" w:rsidR="005D03EC" w:rsidRPr="003015CD" w:rsidRDefault="005D03EC" w:rsidP="00081885">
      <w:pPr>
        <w:jc w:val="both"/>
        <w:rPr>
          <w:rFonts w:asciiTheme="majorHAnsi" w:hAnsiTheme="majorHAnsi" w:cstheme="majorHAnsi"/>
          <w:bCs/>
          <w:color w:val="000000" w:themeColor="text1"/>
        </w:rPr>
        <w:sectPr w:rsidR="005D03EC" w:rsidRPr="003015CD" w:rsidSect="008104E1">
          <w:headerReference w:type="default" r:id="rId11"/>
          <w:footerReference w:type="default" r:id="rId12"/>
          <w:pgSz w:w="11906" w:h="16838" w:code="9"/>
          <w:pgMar w:top="1418" w:right="851" w:bottom="993" w:left="1418" w:header="709" w:footer="709" w:gutter="0"/>
          <w:lnNumType w:countBy="1" w:restart="continuous"/>
          <w:cols w:space="708"/>
          <w:docGrid w:linePitch="360"/>
        </w:sectPr>
      </w:pPr>
      <w:r w:rsidRPr="003015CD">
        <w:rPr>
          <w:rFonts w:asciiTheme="majorHAnsi" w:hAnsiTheme="majorHAnsi" w:cstheme="majorHAnsi"/>
          <w:bCs/>
          <w:color w:val="000000" w:themeColor="text1"/>
        </w:rPr>
        <w:t>This document has been endorsed by the Medical Device Coordination Group (MDCG) established by Article 103 of Regulation (EU) 2017/745. The MDCG is composed of representatives of all Member States and it is chaired by a representative of the European Commission. The document is not a European Commission document and it cannot be regarded as reflecting the official position of the European Commission. Any views expressed in this document are not legally binding and only the Court of Justice of the European Union can give binding interpretations of Union law</w:t>
      </w:r>
    </w:p>
    <w:p w14:paraId="2F9F9DF3" w14:textId="77777777" w:rsidR="00B8162A" w:rsidRDefault="00736EC6" w:rsidP="00156390">
      <w:pPr>
        <w:rPr>
          <w:rFonts w:asciiTheme="majorHAnsi" w:hAnsiTheme="majorHAnsi" w:cstheme="majorBidi"/>
          <w:b/>
          <w:bCs/>
          <w:color w:val="0F243E" w:themeColor="text2" w:themeShade="80"/>
          <w:sz w:val="32"/>
          <w:szCs w:val="32"/>
        </w:rPr>
      </w:pPr>
      <w:r w:rsidRPr="003015CD">
        <w:rPr>
          <w:rFonts w:asciiTheme="majorHAnsi" w:hAnsiTheme="majorHAnsi" w:cstheme="majorBidi"/>
          <w:b/>
          <w:bCs/>
          <w:color w:val="0F243E" w:themeColor="text2" w:themeShade="80"/>
          <w:sz w:val="32"/>
          <w:szCs w:val="32"/>
        </w:rPr>
        <w:lastRenderedPageBreak/>
        <w:t>Table of contents</w:t>
      </w:r>
    </w:p>
    <w:sdt>
      <w:sdtPr>
        <w:rPr>
          <w:rFonts w:asciiTheme="majorHAnsi" w:hAnsiTheme="majorHAnsi" w:cstheme="majorBidi"/>
          <w:color w:val="000000" w:themeColor="text1"/>
        </w:rPr>
        <w:id w:val="721332853"/>
        <w:docPartObj>
          <w:docPartGallery w:val="Table of Contents"/>
          <w:docPartUnique/>
        </w:docPartObj>
      </w:sdtPr>
      <w:sdtEndPr>
        <w:rPr>
          <w:b/>
          <w:bCs/>
        </w:rPr>
      </w:sdtEndPr>
      <w:sdtContent>
        <w:p w14:paraId="380EF3AE" w14:textId="10BFF827" w:rsidR="00EA7AFE" w:rsidRPr="003015CD" w:rsidRDefault="00EA7AFE" w:rsidP="00156390">
          <w:pPr>
            <w:rPr>
              <w:rFonts w:asciiTheme="majorHAnsi" w:hAnsiTheme="majorHAnsi" w:cstheme="majorHAnsi"/>
              <w:color w:val="000000" w:themeColor="text1"/>
            </w:rPr>
          </w:pPr>
        </w:p>
        <w:p w14:paraId="54539376" w14:textId="6D6B1912" w:rsidR="00B8162A" w:rsidRDefault="00EA7AFE">
          <w:pPr>
            <w:pStyle w:val="TM1"/>
            <w:rPr>
              <w:rFonts w:asciiTheme="minorHAnsi" w:eastAsiaTheme="minorEastAsia" w:hAnsiTheme="minorHAnsi" w:cstheme="minorBidi"/>
              <w:b w:val="0"/>
              <w:color w:val="auto"/>
              <w:kern w:val="2"/>
              <w:sz w:val="24"/>
              <w:szCs w:val="24"/>
              <w:lang w:val="en-IE" w:eastAsia="en-IE"/>
              <w14:ligatures w14:val="standardContextual"/>
            </w:rPr>
          </w:pPr>
          <w:r w:rsidRPr="003015CD">
            <w:rPr>
              <w:noProof w:val="0"/>
            </w:rPr>
            <w:fldChar w:fldCharType="begin"/>
          </w:r>
          <w:r w:rsidRPr="003015CD">
            <w:rPr>
              <w:noProof w:val="0"/>
            </w:rPr>
            <w:instrText xml:space="preserve"> TOC \o "1-3" \h \z \u </w:instrText>
          </w:r>
          <w:r w:rsidRPr="003015CD">
            <w:rPr>
              <w:noProof w:val="0"/>
            </w:rPr>
            <w:fldChar w:fldCharType="separate"/>
          </w:r>
          <w:hyperlink w:anchor="_Toc236912863" w:history="1">
            <w:r w:rsidR="00B8162A" w:rsidRPr="005D716E">
              <w:rPr>
                <w:rStyle w:val="Lienhypertexte"/>
              </w:rPr>
              <w:t>1.</w:t>
            </w:r>
            <w:r w:rsidR="00B8162A">
              <w:rPr>
                <w:rFonts w:asciiTheme="minorHAnsi" w:eastAsiaTheme="minorEastAsia" w:hAnsiTheme="minorHAnsi" w:cstheme="minorBidi"/>
                <w:b w:val="0"/>
                <w:color w:val="auto"/>
                <w:kern w:val="2"/>
                <w:sz w:val="24"/>
                <w:szCs w:val="24"/>
                <w:lang w:val="en-IE" w:eastAsia="en-IE"/>
                <w14:ligatures w14:val="standardContextual"/>
              </w:rPr>
              <w:tab/>
            </w:r>
            <w:r w:rsidR="00B8162A" w:rsidRPr="005D716E">
              <w:rPr>
                <w:rStyle w:val="Lienhypertexte"/>
              </w:rPr>
              <w:t>Introduction</w:t>
            </w:r>
            <w:r w:rsidR="00B8162A">
              <w:rPr>
                <w:webHidden/>
              </w:rPr>
              <w:tab/>
            </w:r>
            <w:r w:rsidR="00B8162A">
              <w:rPr>
                <w:webHidden/>
              </w:rPr>
              <w:fldChar w:fldCharType="begin"/>
            </w:r>
            <w:r w:rsidR="00B8162A">
              <w:rPr>
                <w:webHidden/>
              </w:rPr>
              <w:instrText xml:space="preserve"> PAGEREF _Toc236912863 \h </w:instrText>
            </w:r>
            <w:r w:rsidR="00B8162A">
              <w:rPr>
                <w:webHidden/>
              </w:rPr>
            </w:r>
            <w:r w:rsidR="00B8162A">
              <w:rPr>
                <w:webHidden/>
              </w:rPr>
              <w:fldChar w:fldCharType="separate"/>
            </w:r>
            <w:r w:rsidR="00B8162A">
              <w:rPr>
                <w:webHidden/>
              </w:rPr>
              <w:t>5</w:t>
            </w:r>
            <w:r w:rsidR="00B8162A">
              <w:rPr>
                <w:webHidden/>
              </w:rPr>
              <w:fldChar w:fldCharType="end"/>
            </w:r>
          </w:hyperlink>
        </w:p>
        <w:p w14:paraId="254CEB70" w14:textId="65F4346C"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64" w:history="1">
            <w:r w:rsidRPr="005D716E">
              <w:rPr>
                <w:rStyle w:val="Lienhypertexte"/>
              </w:rPr>
              <w:t>2.</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Scope</w:t>
            </w:r>
            <w:r>
              <w:rPr>
                <w:webHidden/>
              </w:rPr>
              <w:tab/>
            </w:r>
            <w:r>
              <w:rPr>
                <w:webHidden/>
              </w:rPr>
              <w:fldChar w:fldCharType="begin"/>
            </w:r>
            <w:r>
              <w:rPr>
                <w:webHidden/>
              </w:rPr>
              <w:instrText xml:space="preserve"> PAGEREF _Toc236912864 \h </w:instrText>
            </w:r>
            <w:r>
              <w:rPr>
                <w:webHidden/>
              </w:rPr>
            </w:r>
            <w:r>
              <w:rPr>
                <w:webHidden/>
              </w:rPr>
              <w:fldChar w:fldCharType="separate"/>
            </w:r>
            <w:r>
              <w:rPr>
                <w:webHidden/>
              </w:rPr>
              <w:t>5</w:t>
            </w:r>
            <w:r>
              <w:rPr>
                <w:webHidden/>
              </w:rPr>
              <w:fldChar w:fldCharType="end"/>
            </w:r>
          </w:hyperlink>
        </w:p>
        <w:p w14:paraId="12F0EBCD" w14:textId="680CD852"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65" w:history="1">
            <w:r w:rsidRPr="005D716E">
              <w:rPr>
                <w:rStyle w:val="Lienhypertexte"/>
              </w:rPr>
              <w:t>3.</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References</w:t>
            </w:r>
            <w:r>
              <w:rPr>
                <w:webHidden/>
              </w:rPr>
              <w:tab/>
            </w:r>
            <w:r>
              <w:rPr>
                <w:webHidden/>
              </w:rPr>
              <w:fldChar w:fldCharType="begin"/>
            </w:r>
            <w:r>
              <w:rPr>
                <w:webHidden/>
              </w:rPr>
              <w:instrText xml:space="preserve"> PAGEREF _Toc236912865 \h </w:instrText>
            </w:r>
            <w:r>
              <w:rPr>
                <w:webHidden/>
              </w:rPr>
            </w:r>
            <w:r>
              <w:rPr>
                <w:webHidden/>
              </w:rPr>
              <w:fldChar w:fldCharType="separate"/>
            </w:r>
            <w:r>
              <w:rPr>
                <w:webHidden/>
              </w:rPr>
              <w:t>5</w:t>
            </w:r>
            <w:r>
              <w:rPr>
                <w:webHidden/>
              </w:rPr>
              <w:fldChar w:fldCharType="end"/>
            </w:r>
          </w:hyperlink>
        </w:p>
        <w:p w14:paraId="3F92CF38" w14:textId="07B7F69E"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66" w:history="1">
            <w:r w:rsidRPr="005D716E">
              <w:rPr>
                <w:rStyle w:val="Lienhypertexte"/>
              </w:rPr>
              <w:t>4.</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Definitions</w:t>
            </w:r>
            <w:r>
              <w:rPr>
                <w:webHidden/>
              </w:rPr>
              <w:tab/>
            </w:r>
            <w:r>
              <w:rPr>
                <w:webHidden/>
              </w:rPr>
              <w:fldChar w:fldCharType="begin"/>
            </w:r>
            <w:r>
              <w:rPr>
                <w:webHidden/>
              </w:rPr>
              <w:instrText xml:space="preserve"> PAGEREF _Toc236912866 \h </w:instrText>
            </w:r>
            <w:r>
              <w:rPr>
                <w:webHidden/>
              </w:rPr>
            </w:r>
            <w:r>
              <w:rPr>
                <w:webHidden/>
              </w:rPr>
              <w:fldChar w:fldCharType="separate"/>
            </w:r>
            <w:r>
              <w:rPr>
                <w:webHidden/>
              </w:rPr>
              <w:t>8</w:t>
            </w:r>
            <w:r>
              <w:rPr>
                <w:webHidden/>
              </w:rPr>
              <w:fldChar w:fldCharType="end"/>
            </w:r>
          </w:hyperlink>
        </w:p>
        <w:p w14:paraId="7E247693" w14:textId="45AB2074"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67" w:history="1">
            <w:r w:rsidRPr="005D716E">
              <w:rPr>
                <w:rStyle w:val="Lienhypertexte"/>
              </w:rPr>
              <w:t>5.</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Abbreviations</w:t>
            </w:r>
            <w:r>
              <w:rPr>
                <w:webHidden/>
              </w:rPr>
              <w:tab/>
            </w:r>
            <w:r>
              <w:rPr>
                <w:webHidden/>
              </w:rPr>
              <w:fldChar w:fldCharType="begin"/>
            </w:r>
            <w:r>
              <w:rPr>
                <w:webHidden/>
              </w:rPr>
              <w:instrText xml:space="preserve"> PAGEREF _Toc236912867 \h </w:instrText>
            </w:r>
            <w:r>
              <w:rPr>
                <w:webHidden/>
              </w:rPr>
            </w:r>
            <w:r>
              <w:rPr>
                <w:webHidden/>
              </w:rPr>
              <w:fldChar w:fldCharType="separate"/>
            </w:r>
            <w:r>
              <w:rPr>
                <w:webHidden/>
              </w:rPr>
              <w:t>13</w:t>
            </w:r>
            <w:r>
              <w:rPr>
                <w:webHidden/>
              </w:rPr>
              <w:fldChar w:fldCharType="end"/>
            </w:r>
          </w:hyperlink>
        </w:p>
        <w:p w14:paraId="57E5E06F" w14:textId="5E674146"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68" w:history="1">
            <w:r w:rsidRPr="005D716E">
              <w:rPr>
                <w:rStyle w:val="Lienhypertexte"/>
              </w:rPr>
              <w:t>6.</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General principles of clinical evaluation</w:t>
            </w:r>
            <w:r>
              <w:rPr>
                <w:webHidden/>
              </w:rPr>
              <w:tab/>
            </w:r>
            <w:r>
              <w:rPr>
                <w:webHidden/>
              </w:rPr>
              <w:fldChar w:fldCharType="begin"/>
            </w:r>
            <w:r>
              <w:rPr>
                <w:webHidden/>
              </w:rPr>
              <w:instrText xml:space="preserve"> PAGEREF _Toc236912868 \h </w:instrText>
            </w:r>
            <w:r>
              <w:rPr>
                <w:webHidden/>
              </w:rPr>
            </w:r>
            <w:r>
              <w:rPr>
                <w:webHidden/>
              </w:rPr>
              <w:fldChar w:fldCharType="separate"/>
            </w:r>
            <w:r>
              <w:rPr>
                <w:webHidden/>
              </w:rPr>
              <w:t>14</w:t>
            </w:r>
            <w:r>
              <w:rPr>
                <w:webHidden/>
              </w:rPr>
              <w:fldChar w:fldCharType="end"/>
            </w:r>
          </w:hyperlink>
        </w:p>
        <w:p w14:paraId="28DFE60E" w14:textId="43F7DC50"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69" w:history="1">
            <w:r w:rsidRPr="005D716E">
              <w:rPr>
                <w:rStyle w:val="Lienhypertexte"/>
                <w:rFonts w:asciiTheme="majorHAnsi" w:hAnsiTheme="majorHAnsi" w:cstheme="majorHAnsi"/>
              </w:rPr>
              <w:t>6.1.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What is clinical evaluation?</w:t>
            </w:r>
            <w:r>
              <w:rPr>
                <w:webHidden/>
              </w:rPr>
              <w:tab/>
            </w:r>
            <w:r>
              <w:rPr>
                <w:webHidden/>
              </w:rPr>
              <w:fldChar w:fldCharType="begin"/>
            </w:r>
            <w:r>
              <w:rPr>
                <w:webHidden/>
              </w:rPr>
              <w:instrText xml:space="preserve"> PAGEREF _Toc236912869 \h </w:instrText>
            </w:r>
            <w:r>
              <w:rPr>
                <w:webHidden/>
              </w:rPr>
            </w:r>
            <w:r>
              <w:rPr>
                <w:webHidden/>
              </w:rPr>
              <w:fldChar w:fldCharType="separate"/>
            </w:r>
            <w:r>
              <w:rPr>
                <w:webHidden/>
              </w:rPr>
              <w:t>14</w:t>
            </w:r>
            <w:r>
              <w:rPr>
                <w:webHidden/>
              </w:rPr>
              <w:fldChar w:fldCharType="end"/>
            </w:r>
          </w:hyperlink>
        </w:p>
        <w:p w14:paraId="308977DC" w14:textId="23FDB2B3"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70" w:history="1">
            <w:r w:rsidRPr="005D716E">
              <w:rPr>
                <w:rStyle w:val="Lienhypertexte"/>
                <w:rFonts w:asciiTheme="majorHAnsi" w:hAnsiTheme="majorHAnsi" w:cstheme="majorHAnsi"/>
              </w:rPr>
              <w:t>6.2.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When is clinical evaluation undertaken and why is it important?</w:t>
            </w:r>
            <w:r>
              <w:rPr>
                <w:webHidden/>
              </w:rPr>
              <w:tab/>
            </w:r>
            <w:r>
              <w:rPr>
                <w:webHidden/>
              </w:rPr>
              <w:fldChar w:fldCharType="begin"/>
            </w:r>
            <w:r>
              <w:rPr>
                <w:webHidden/>
              </w:rPr>
              <w:instrText xml:space="preserve"> PAGEREF _Toc236912870 \h </w:instrText>
            </w:r>
            <w:r>
              <w:rPr>
                <w:webHidden/>
              </w:rPr>
            </w:r>
            <w:r>
              <w:rPr>
                <w:webHidden/>
              </w:rPr>
              <w:fldChar w:fldCharType="separate"/>
            </w:r>
            <w:r>
              <w:rPr>
                <w:webHidden/>
              </w:rPr>
              <w:t>15</w:t>
            </w:r>
            <w:r>
              <w:rPr>
                <w:webHidden/>
              </w:rPr>
              <w:fldChar w:fldCharType="end"/>
            </w:r>
          </w:hyperlink>
        </w:p>
        <w:p w14:paraId="24C8056B" w14:textId="3894F601"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71" w:history="1">
            <w:r w:rsidRPr="005D716E">
              <w:rPr>
                <w:rStyle w:val="Lienhypertexte"/>
                <w:rFonts w:asciiTheme="majorHAnsi" w:hAnsiTheme="majorHAnsi" w:cstheme="majorBidi"/>
              </w:rPr>
              <w:t>6.2.1.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Bidi"/>
              </w:rPr>
              <w:t>Clinical evaluation undertaken during the development of a medical device</w:t>
            </w:r>
            <w:r>
              <w:rPr>
                <w:webHidden/>
              </w:rPr>
              <w:tab/>
            </w:r>
            <w:r>
              <w:rPr>
                <w:webHidden/>
              </w:rPr>
              <w:fldChar w:fldCharType="begin"/>
            </w:r>
            <w:r>
              <w:rPr>
                <w:webHidden/>
              </w:rPr>
              <w:instrText xml:space="preserve"> PAGEREF _Toc236912871 \h </w:instrText>
            </w:r>
            <w:r>
              <w:rPr>
                <w:webHidden/>
              </w:rPr>
            </w:r>
            <w:r>
              <w:rPr>
                <w:webHidden/>
              </w:rPr>
              <w:fldChar w:fldCharType="separate"/>
            </w:r>
            <w:r>
              <w:rPr>
                <w:webHidden/>
              </w:rPr>
              <w:t>16</w:t>
            </w:r>
            <w:r>
              <w:rPr>
                <w:webHidden/>
              </w:rPr>
              <w:fldChar w:fldCharType="end"/>
            </w:r>
          </w:hyperlink>
        </w:p>
        <w:p w14:paraId="2884B330" w14:textId="49D74B4D"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72" w:history="1">
            <w:r w:rsidRPr="005D716E">
              <w:rPr>
                <w:rStyle w:val="Lienhypertexte"/>
                <w:rFonts w:asciiTheme="majorHAnsi" w:hAnsiTheme="majorHAnsi" w:cstheme="majorBidi"/>
              </w:rPr>
              <w:t>6.2.2.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Bidi"/>
              </w:rPr>
              <w:t>Clinical evaluation for initial CE-marking</w:t>
            </w:r>
            <w:r>
              <w:rPr>
                <w:webHidden/>
              </w:rPr>
              <w:tab/>
            </w:r>
            <w:r>
              <w:rPr>
                <w:webHidden/>
              </w:rPr>
              <w:fldChar w:fldCharType="begin"/>
            </w:r>
            <w:r>
              <w:rPr>
                <w:webHidden/>
              </w:rPr>
              <w:instrText xml:space="preserve"> PAGEREF _Toc236912872 \h </w:instrText>
            </w:r>
            <w:r>
              <w:rPr>
                <w:webHidden/>
              </w:rPr>
            </w:r>
            <w:r>
              <w:rPr>
                <w:webHidden/>
              </w:rPr>
              <w:fldChar w:fldCharType="separate"/>
            </w:r>
            <w:r>
              <w:rPr>
                <w:webHidden/>
              </w:rPr>
              <w:t>16</w:t>
            </w:r>
            <w:r>
              <w:rPr>
                <w:webHidden/>
              </w:rPr>
              <w:fldChar w:fldCharType="end"/>
            </w:r>
          </w:hyperlink>
        </w:p>
        <w:p w14:paraId="05DAFFB3" w14:textId="722302BE"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73" w:history="1">
            <w:r w:rsidRPr="005D716E">
              <w:rPr>
                <w:rStyle w:val="Lienhypertexte"/>
                <w:rFonts w:asciiTheme="majorHAnsi" w:hAnsiTheme="majorHAnsi" w:cstheme="majorHAnsi"/>
              </w:rPr>
              <w:t>6.2.3.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Clinical evaluation of devices bearing a CE mark</w:t>
            </w:r>
            <w:r>
              <w:rPr>
                <w:webHidden/>
              </w:rPr>
              <w:tab/>
            </w:r>
            <w:r>
              <w:rPr>
                <w:webHidden/>
              </w:rPr>
              <w:fldChar w:fldCharType="begin"/>
            </w:r>
            <w:r>
              <w:rPr>
                <w:webHidden/>
              </w:rPr>
              <w:instrText xml:space="preserve"> PAGEREF _Toc236912873 \h </w:instrText>
            </w:r>
            <w:r>
              <w:rPr>
                <w:webHidden/>
              </w:rPr>
            </w:r>
            <w:r>
              <w:rPr>
                <w:webHidden/>
              </w:rPr>
              <w:fldChar w:fldCharType="separate"/>
            </w:r>
            <w:r>
              <w:rPr>
                <w:webHidden/>
              </w:rPr>
              <w:t>17</w:t>
            </w:r>
            <w:r>
              <w:rPr>
                <w:webHidden/>
              </w:rPr>
              <w:fldChar w:fldCharType="end"/>
            </w:r>
          </w:hyperlink>
        </w:p>
        <w:p w14:paraId="3D901F8A" w14:textId="127B079F"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74" w:history="1">
            <w:r w:rsidRPr="005D716E">
              <w:rPr>
                <w:rStyle w:val="Lienhypertexte"/>
                <w:rFonts w:asciiTheme="majorHAnsi" w:hAnsiTheme="majorHAnsi" w:cstheme="majorHAnsi"/>
              </w:rPr>
              <w:t>6.3.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How is a clinical evaluation performed?</w:t>
            </w:r>
            <w:r>
              <w:rPr>
                <w:webHidden/>
              </w:rPr>
              <w:tab/>
            </w:r>
            <w:r>
              <w:rPr>
                <w:webHidden/>
              </w:rPr>
              <w:fldChar w:fldCharType="begin"/>
            </w:r>
            <w:r>
              <w:rPr>
                <w:webHidden/>
              </w:rPr>
              <w:instrText xml:space="preserve"> PAGEREF _Toc236912874 \h </w:instrText>
            </w:r>
            <w:r>
              <w:rPr>
                <w:webHidden/>
              </w:rPr>
            </w:r>
            <w:r>
              <w:rPr>
                <w:webHidden/>
              </w:rPr>
              <w:fldChar w:fldCharType="separate"/>
            </w:r>
            <w:r>
              <w:rPr>
                <w:webHidden/>
              </w:rPr>
              <w:t>17</w:t>
            </w:r>
            <w:r>
              <w:rPr>
                <w:webHidden/>
              </w:rPr>
              <w:fldChar w:fldCharType="end"/>
            </w:r>
          </w:hyperlink>
        </w:p>
        <w:p w14:paraId="5D16BCBC" w14:textId="72062CE4"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75" w:history="1">
            <w:r w:rsidRPr="005D716E">
              <w:rPr>
                <w:rStyle w:val="Lienhypertexte"/>
                <w:rFonts w:asciiTheme="majorHAnsi" w:hAnsiTheme="majorHAnsi" w:cstheme="majorHAnsi"/>
              </w:rPr>
              <w:t>6.4.</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Who should perform the clinical evaluation?</w:t>
            </w:r>
            <w:r>
              <w:rPr>
                <w:webHidden/>
              </w:rPr>
              <w:tab/>
            </w:r>
            <w:r>
              <w:rPr>
                <w:webHidden/>
              </w:rPr>
              <w:fldChar w:fldCharType="begin"/>
            </w:r>
            <w:r>
              <w:rPr>
                <w:webHidden/>
              </w:rPr>
              <w:instrText xml:space="preserve"> PAGEREF _Toc236912875 \h </w:instrText>
            </w:r>
            <w:r>
              <w:rPr>
                <w:webHidden/>
              </w:rPr>
            </w:r>
            <w:r>
              <w:rPr>
                <w:webHidden/>
              </w:rPr>
              <w:fldChar w:fldCharType="separate"/>
            </w:r>
            <w:r>
              <w:rPr>
                <w:webHidden/>
              </w:rPr>
              <w:t>19</w:t>
            </w:r>
            <w:r>
              <w:rPr>
                <w:webHidden/>
              </w:rPr>
              <w:fldChar w:fldCharType="end"/>
            </w:r>
          </w:hyperlink>
        </w:p>
        <w:p w14:paraId="4C535CB3" w14:textId="63F89A4F"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76" w:history="1">
            <w:r w:rsidRPr="005D716E">
              <w:rPr>
                <w:rStyle w:val="Lienhypertexte"/>
              </w:rPr>
              <w:t>7.</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Establishing a clinical evaluation (Stage 0)</w:t>
            </w:r>
            <w:r>
              <w:rPr>
                <w:webHidden/>
              </w:rPr>
              <w:tab/>
            </w:r>
            <w:r>
              <w:rPr>
                <w:webHidden/>
              </w:rPr>
              <w:fldChar w:fldCharType="begin"/>
            </w:r>
            <w:r>
              <w:rPr>
                <w:webHidden/>
              </w:rPr>
              <w:instrText xml:space="preserve"> PAGEREF _Toc236912876 \h </w:instrText>
            </w:r>
            <w:r>
              <w:rPr>
                <w:webHidden/>
              </w:rPr>
            </w:r>
            <w:r>
              <w:rPr>
                <w:webHidden/>
              </w:rPr>
              <w:fldChar w:fldCharType="separate"/>
            </w:r>
            <w:r>
              <w:rPr>
                <w:webHidden/>
              </w:rPr>
              <w:t>21</w:t>
            </w:r>
            <w:r>
              <w:rPr>
                <w:webHidden/>
              </w:rPr>
              <w:fldChar w:fldCharType="end"/>
            </w:r>
          </w:hyperlink>
        </w:p>
        <w:p w14:paraId="35182827" w14:textId="10521DCD"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77" w:history="1">
            <w:r w:rsidRPr="005D716E">
              <w:rPr>
                <w:rStyle w:val="Lienhypertexte"/>
                <w:rFonts w:asciiTheme="majorHAnsi" w:hAnsiTheme="majorHAnsi" w:cstheme="majorHAnsi"/>
              </w:rPr>
              <w:t>7.1.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General considerations</w:t>
            </w:r>
            <w:r>
              <w:rPr>
                <w:webHidden/>
              </w:rPr>
              <w:tab/>
            </w:r>
            <w:r>
              <w:rPr>
                <w:webHidden/>
              </w:rPr>
              <w:fldChar w:fldCharType="begin"/>
            </w:r>
            <w:r>
              <w:rPr>
                <w:webHidden/>
              </w:rPr>
              <w:instrText xml:space="preserve"> PAGEREF _Toc236912877 \h </w:instrText>
            </w:r>
            <w:r>
              <w:rPr>
                <w:webHidden/>
              </w:rPr>
            </w:r>
            <w:r>
              <w:rPr>
                <w:webHidden/>
              </w:rPr>
              <w:fldChar w:fldCharType="separate"/>
            </w:r>
            <w:r>
              <w:rPr>
                <w:webHidden/>
              </w:rPr>
              <w:t>21</w:t>
            </w:r>
            <w:r>
              <w:rPr>
                <w:webHidden/>
              </w:rPr>
              <w:fldChar w:fldCharType="end"/>
            </w:r>
          </w:hyperlink>
        </w:p>
        <w:p w14:paraId="7AC933EF" w14:textId="7F8F9660"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78" w:history="1">
            <w:r w:rsidRPr="005D716E">
              <w:rPr>
                <w:rStyle w:val="Lienhypertexte"/>
                <w:rFonts w:asciiTheme="majorHAnsi" w:hAnsiTheme="majorHAnsi" w:cstheme="majorHAnsi"/>
              </w:rPr>
              <w:t>7.2.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Specific considerations for the clinical evaluation of certain device categories</w:t>
            </w:r>
            <w:r>
              <w:rPr>
                <w:webHidden/>
              </w:rPr>
              <w:tab/>
            </w:r>
            <w:r>
              <w:rPr>
                <w:webHidden/>
              </w:rPr>
              <w:fldChar w:fldCharType="begin"/>
            </w:r>
            <w:r>
              <w:rPr>
                <w:webHidden/>
              </w:rPr>
              <w:instrText xml:space="preserve"> PAGEREF _Toc236912878 \h </w:instrText>
            </w:r>
            <w:r>
              <w:rPr>
                <w:webHidden/>
              </w:rPr>
            </w:r>
            <w:r>
              <w:rPr>
                <w:webHidden/>
              </w:rPr>
              <w:fldChar w:fldCharType="separate"/>
            </w:r>
            <w:r>
              <w:rPr>
                <w:webHidden/>
              </w:rPr>
              <w:t>23</w:t>
            </w:r>
            <w:r>
              <w:rPr>
                <w:webHidden/>
              </w:rPr>
              <w:fldChar w:fldCharType="end"/>
            </w:r>
          </w:hyperlink>
        </w:p>
        <w:p w14:paraId="13DA5AE0" w14:textId="18690B6E"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79" w:history="1">
            <w:r w:rsidRPr="005D716E">
              <w:rPr>
                <w:rStyle w:val="Lienhypertexte"/>
                <w:rFonts w:asciiTheme="majorHAnsi" w:hAnsiTheme="majorHAnsi" w:cstheme="majorHAnsi"/>
              </w:rPr>
              <w:t>7.2.1.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Implantable and class III devices (application of art. 61 (4)-(6))</w:t>
            </w:r>
            <w:r>
              <w:rPr>
                <w:webHidden/>
              </w:rPr>
              <w:tab/>
            </w:r>
            <w:r>
              <w:rPr>
                <w:webHidden/>
              </w:rPr>
              <w:fldChar w:fldCharType="begin"/>
            </w:r>
            <w:r>
              <w:rPr>
                <w:webHidden/>
              </w:rPr>
              <w:instrText xml:space="preserve"> PAGEREF _Toc236912879 \h </w:instrText>
            </w:r>
            <w:r>
              <w:rPr>
                <w:webHidden/>
              </w:rPr>
            </w:r>
            <w:r>
              <w:rPr>
                <w:webHidden/>
              </w:rPr>
              <w:fldChar w:fldCharType="separate"/>
            </w:r>
            <w:r>
              <w:rPr>
                <w:webHidden/>
              </w:rPr>
              <w:t>23</w:t>
            </w:r>
            <w:r>
              <w:rPr>
                <w:webHidden/>
              </w:rPr>
              <w:fldChar w:fldCharType="end"/>
            </w:r>
          </w:hyperlink>
        </w:p>
        <w:p w14:paraId="3ADD1160" w14:textId="3669EEF0"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0" w:history="1">
            <w:r w:rsidRPr="005D716E">
              <w:rPr>
                <w:rStyle w:val="Lienhypertexte"/>
                <w:rFonts w:asciiTheme="majorHAnsi" w:hAnsiTheme="majorHAnsi" w:cstheme="majorHAnsi"/>
              </w:rPr>
              <w:t>7.2.2.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Annex XVI products</w:t>
            </w:r>
            <w:r>
              <w:rPr>
                <w:webHidden/>
              </w:rPr>
              <w:tab/>
            </w:r>
            <w:r>
              <w:rPr>
                <w:webHidden/>
              </w:rPr>
              <w:fldChar w:fldCharType="begin"/>
            </w:r>
            <w:r>
              <w:rPr>
                <w:webHidden/>
              </w:rPr>
              <w:instrText xml:space="preserve"> PAGEREF _Toc236912880 \h </w:instrText>
            </w:r>
            <w:r>
              <w:rPr>
                <w:webHidden/>
              </w:rPr>
            </w:r>
            <w:r>
              <w:rPr>
                <w:webHidden/>
              </w:rPr>
              <w:fldChar w:fldCharType="separate"/>
            </w:r>
            <w:r>
              <w:rPr>
                <w:webHidden/>
              </w:rPr>
              <w:t>23</w:t>
            </w:r>
            <w:r>
              <w:rPr>
                <w:webHidden/>
              </w:rPr>
              <w:fldChar w:fldCharType="end"/>
            </w:r>
          </w:hyperlink>
        </w:p>
        <w:p w14:paraId="4DF06D16" w14:textId="39951605"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1" w:history="1">
            <w:r w:rsidRPr="005D716E">
              <w:rPr>
                <w:rStyle w:val="Lienhypertexte"/>
                <w:rFonts w:asciiTheme="majorHAnsi" w:hAnsiTheme="majorHAnsi" w:cstheme="majorHAnsi"/>
              </w:rPr>
              <w:t>7.2.3.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Custom made devices</w:t>
            </w:r>
            <w:r>
              <w:rPr>
                <w:webHidden/>
              </w:rPr>
              <w:tab/>
            </w:r>
            <w:r>
              <w:rPr>
                <w:webHidden/>
              </w:rPr>
              <w:fldChar w:fldCharType="begin"/>
            </w:r>
            <w:r>
              <w:rPr>
                <w:webHidden/>
              </w:rPr>
              <w:instrText xml:space="preserve"> PAGEREF _Toc236912881 \h </w:instrText>
            </w:r>
            <w:r>
              <w:rPr>
                <w:webHidden/>
              </w:rPr>
            </w:r>
            <w:r>
              <w:rPr>
                <w:webHidden/>
              </w:rPr>
              <w:fldChar w:fldCharType="separate"/>
            </w:r>
            <w:r>
              <w:rPr>
                <w:webHidden/>
              </w:rPr>
              <w:t>23</w:t>
            </w:r>
            <w:r>
              <w:rPr>
                <w:webHidden/>
              </w:rPr>
              <w:fldChar w:fldCharType="end"/>
            </w:r>
          </w:hyperlink>
        </w:p>
        <w:p w14:paraId="1B95BD56" w14:textId="22EE12AA"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2" w:history="1">
            <w:r w:rsidRPr="005D716E">
              <w:rPr>
                <w:rStyle w:val="Lienhypertexte"/>
                <w:rFonts w:asciiTheme="majorHAnsi" w:hAnsiTheme="majorHAnsi" w:cstheme="majorHAnsi"/>
              </w:rPr>
              <w:t>7.2.4.</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Legacy devices</w:t>
            </w:r>
            <w:r>
              <w:rPr>
                <w:webHidden/>
              </w:rPr>
              <w:tab/>
            </w:r>
            <w:r>
              <w:rPr>
                <w:webHidden/>
              </w:rPr>
              <w:fldChar w:fldCharType="begin"/>
            </w:r>
            <w:r>
              <w:rPr>
                <w:webHidden/>
              </w:rPr>
              <w:instrText xml:space="preserve"> PAGEREF _Toc236912882 \h </w:instrText>
            </w:r>
            <w:r>
              <w:rPr>
                <w:webHidden/>
              </w:rPr>
            </w:r>
            <w:r>
              <w:rPr>
                <w:webHidden/>
              </w:rPr>
              <w:fldChar w:fldCharType="separate"/>
            </w:r>
            <w:r>
              <w:rPr>
                <w:webHidden/>
              </w:rPr>
              <w:t>24</w:t>
            </w:r>
            <w:r>
              <w:rPr>
                <w:webHidden/>
              </w:rPr>
              <w:fldChar w:fldCharType="end"/>
            </w:r>
          </w:hyperlink>
        </w:p>
        <w:p w14:paraId="5A8D45A3" w14:textId="44FCFABF"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3" w:history="1">
            <w:r w:rsidRPr="005D716E">
              <w:rPr>
                <w:rStyle w:val="Lienhypertexte"/>
                <w:rFonts w:asciiTheme="majorHAnsi" w:hAnsiTheme="majorHAnsi" w:cstheme="majorHAnsi"/>
              </w:rPr>
              <w:t>7.2.5.</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Medical device software</w:t>
            </w:r>
            <w:r>
              <w:rPr>
                <w:webHidden/>
              </w:rPr>
              <w:tab/>
            </w:r>
            <w:r>
              <w:rPr>
                <w:webHidden/>
              </w:rPr>
              <w:fldChar w:fldCharType="begin"/>
            </w:r>
            <w:r>
              <w:rPr>
                <w:webHidden/>
              </w:rPr>
              <w:instrText xml:space="preserve"> PAGEREF _Toc236912883 \h </w:instrText>
            </w:r>
            <w:r>
              <w:rPr>
                <w:webHidden/>
              </w:rPr>
            </w:r>
            <w:r>
              <w:rPr>
                <w:webHidden/>
              </w:rPr>
              <w:fldChar w:fldCharType="separate"/>
            </w:r>
            <w:r>
              <w:rPr>
                <w:webHidden/>
              </w:rPr>
              <w:t>24</w:t>
            </w:r>
            <w:r>
              <w:rPr>
                <w:webHidden/>
              </w:rPr>
              <w:fldChar w:fldCharType="end"/>
            </w:r>
          </w:hyperlink>
        </w:p>
        <w:p w14:paraId="78B55D4C" w14:textId="18514A98"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4" w:history="1">
            <w:r w:rsidRPr="005D716E">
              <w:rPr>
                <w:rStyle w:val="Lienhypertexte"/>
                <w:rFonts w:asciiTheme="majorHAnsi" w:hAnsiTheme="majorHAnsi" w:cstheme="majorHAnsi"/>
              </w:rPr>
              <w:t>7.2.6.</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Devices for which demonstration of conformity based on clinical data is not deemed appropriate</w:t>
            </w:r>
            <w:r>
              <w:rPr>
                <w:webHidden/>
              </w:rPr>
              <w:tab/>
            </w:r>
            <w:r>
              <w:rPr>
                <w:webHidden/>
              </w:rPr>
              <w:fldChar w:fldCharType="begin"/>
            </w:r>
            <w:r>
              <w:rPr>
                <w:webHidden/>
              </w:rPr>
              <w:instrText xml:space="preserve"> PAGEREF _Toc236912884 \h </w:instrText>
            </w:r>
            <w:r>
              <w:rPr>
                <w:webHidden/>
              </w:rPr>
            </w:r>
            <w:r>
              <w:rPr>
                <w:webHidden/>
              </w:rPr>
              <w:fldChar w:fldCharType="separate"/>
            </w:r>
            <w:r>
              <w:rPr>
                <w:webHidden/>
              </w:rPr>
              <w:t>24</w:t>
            </w:r>
            <w:r>
              <w:rPr>
                <w:webHidden/>
              </w:rPr>
              <w:fldChar w:fldCharType="end"/>
            </w:r>
          </w:hyperlink>
        </w:p>
        <w:p w14:paraId="60C919B4" w14:textId="10FA1808"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5" w:history="1">
            <w:r w:rsidRPr="005D716E">
              <w:rPr>
                <w:rStyle w:val="Lienhypertexte"/>
                <w:rFonts w:asciiTheme="majorHAnsi" w:hAnsiTheme="majorHAnsi" w:cstheme="majorHAnsi"/>
              </w:rPr>
              <w:t>7.2.7.</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Devices for unmet medical needs</w:t>
            </w:r>
            <w:r>
              <w:rPr>
                <w:webHidden/>
              </w:rPr>
              <w:tab/>
            </w:r>
            <w:r>
              <w:rPr>
                <w:webHidden/>
              </w:rPr>
              <w:fldChar w:fldCharType="begin"/>
            </w:r>
            <w:r>
              <w:rPr>
                <w:webHidden/>
              </w:rPr>
              <w:instrText xml:space="preserve"> PAGEREF _Toc236912885 \h </w:instrText>
            </w:r>
            <w:r>
              <w:rPr>
                <w:webHidden/>
              </w:rPr>
            </w:r>
            <w:r>
              <w:rPr>
                <w:webHidden/>
              </w:rPr>
              <w:fldChar w:fldCharType="separate"/>
            </w:r>
            <w:r>
              <w:rPr>
                <w:webHidden/>
              </w:rPr>
              <w:t>25</w:t>
            </w:r>
            <w:r>
              <w:rPr>
                <w:webHidden/>
              </w:rPr>
              <w:fldChar w:fldCharType="end"/>
            </w:r>
          </w:hyperlink>
        </w:p>
        <w:p w14:paraId="1DEBFA37" w14:textId="60890574"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86" w:history="1">
            <w:r w:rsidRPr="005D716E">
              <w:rPr>
                <w:rStyle w:val="Lienhypertexte"/>
                <w:rFonts w:asciiTheme="majorHAnsi" w:hAnsiTheme="majorHAnsi" w:cstheme="majorHAnsi"/>
              </w:rPr>
              <w:t>7.3.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Consultation by the manufacturer of an expert panel under Article 61(2)</w:t>
            </w:r>
            <w:r>
              <w:rPr>
                <w:webHidden/>
              </w:rPr>
              <w:tab/>
            </w:r>
            <w:r>
              <w:rPr>
                <w:webHidden/>
              </w:rPr>
              <w:fldChar w:fldCharType="begin"/>
            </w:r>
            <w:r>
              <w:rPr>
                <w:webHidden/>
              </w:rPr>
              <w:instrText xml:space="preserve"> PAGEREF _Toc236912886 \h </w:instrText>
            </w:r>
            <w:r>
              <w:rPr>
                <w:webHidden/>
              </w:rPr>
            </w:r>
            <w:r>
              <w:rPr>
                <w:webHidden/>
              </w:rPr>
              <w:fldChar w:fldCharType="separate"/>
            </w:r>
            <w:r>
              <w:rPr>
                <w:webHidden/>
              </w:rPr>
              <w:t>25</w:t>
            </w:r>
            <w:r>
              <w:rPr>
                <w:webHidden/>
              </w:rPr>
              <w:fldChar w:fldCharType="end"/>
            </w:r>
          </w:hyperlink>
        </w:p>
        <w:p w14:paraId="00EAD212" w14:textId="22F9168E"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87" w:history="1">
            <w:r w:rsidRPr="005D716E">
              <w:rPr>
                <w:rStyle w:val="Lienhypertexte"/>
              </w:rPr>
              <w:t>8.</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Identification of clinical data (Stage 1)</w:t>
            </w:r>
            <w:r>
              <w:rPr>
                <w:webHidden/>
              </w:rPr>
              <w:tab/>
            </w:r>
            <w:r>
              <w:rPr>
                <w:webHidden/>
              </w:rPr>
              <w:fldChar w:fldCharType="begin"/>
            </w:r>
            <w:r>
              <w:rPr>
                <w:webHidden/>
              </w:rPr>
              <w:instrText xml:space="preserve"> PAGEREF _Toc236912887 \h </w:instrText>
            </w:r>
            <w:r>
              <w:rPr>
                <w:webHidden/>
              </w:rPr>
            </w:r>
            <w:r>
              <w:rPr>
                <w:webHidden/>
              </w:rPr>
              <w:fldChar w:fldCharType="separate"/>
            </w:r>
            <w:r>
              <w:rPr>
                <w:webHidden/>
              </w:rPr>
              <w:t>26</w:t>
            </w:r>
            <w:r>
              <w:rPr>
                <w:webHidden/>
              </w:rPr>
              <w:fldChar w:fldCharType="end"/>
            </w:r>
          </w:hyperlink>
        </w:p>
        <w:p w14:paraId="4B89B7F5" w14:textId="472EC456"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88" w:history="1">
            <w:r w:rsidRPr="005D716E">
              <w:rPr>
                <w:rStyle w:val="Lienhypertexte"/>
              </w:rPr>
              <w:t>8.1.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Pr>
              <w:t>Clinical data – Article 2(48) in MDR</w:t>
            </w:r>
            <w:r>
              <w:rPr>
                <w:webHidden/>
              </w:rPr>
              <w:tab/>
            </w:r>
            <w:r>
              <w:rPr>
                <w:webHidden/>
              </w:rPr>
              <w:fldChar w:fldCharType="begin"/>
            </w:r>
            <w:r>
              <w:rPr>
                <w:webHidden/>
              </w:rPr>
              <w:instrText xml:space="preserve"> PAGEREF _Toc236912888 \h </w:instrText>
            </w:r>
            <w:r>
              <w:rPr>
                <w:webHidden/>
              </w:rPr>
            </w:r>
            <w:r>
              <w:rPr>
                <w:webHidden/>
              </w:rPr>
              <w:fldChar w:fldCharType="separate"/>
            </w:r>
            <w:r>
              <w:rPr>
                <w:webHidden/>
              </w:rPr>
              <w:t>26</w:t>
            </w:r>
            <w:r>
              <w:rPr>
                <w:webHidden/>
              </w:rPr>
              <w:fldChar w:fldCharType="end"/>
            </w:r>
          </w:hyperlink>
        </w:p>
        <w:p w14:paraId="7D630D6A" w14:textId="6D2855AF"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89" w:history="1">
            <w:r w:rsidRPr="005D716E">
              <w:rPr>
                <w:rStyle w:val="Lienhypertexte"/>
                <w:rFonts w:asciiTheme="majorHAnsi" w:hAnsiTheme="majorHAnsi" w:cstheme="majorHAnsi"/>
              </w:rPr>
              <w:t>8.1.1.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Source of data - clinical investigations</w:t>
            </w:r>
            <w:r>
              <w:rPr>
                <w:webHidden/>
              </w:rPr>
              <w:tab/>
            </w:r>
            <w:r>
              <w:rPr>
                <w:webHidden/>
              </w:rPr>
              <w:fldChar w:fldCharType="begin"/>
            </w:r>
            <w:r>
              <w:rPr>
                <w:webHidden/>
              </w:rPr>
              <w:instrText xml:space="preserve"> PAGEREF _Toc236912889 \h </w:instrText>
            </w:r>
            <w:r>
              <w:rPr>
                <w:webHidden/>
              </w:rPr>
            </w:r>
            <w:r>
              <w:rPr>
                <w:webHidden/>
              </w:rPr>
              <w:fldChar w:fldCharType="separate"/>
            </w:r>
            <w:r>
              <w:rPr>
                <w:webHidden/>
              </w:rPr>
              <w:t>26</w:t>
            </w:r>
            <w:r>
              <w:rPr>
                <w:webHidden/>
              </w:rPr>
              <w:fldChar w:fldCharType="end"/>
            </w:r>
          </w:hyperlink>
        </w:p>
        <w:p w14:paraId="5C0697E3" w14:textId="306EC013"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90" w:history="1">
            <w:r w:rsidRPr="005D716E">
              <w:rPr>
                <w:rStyle w:val="Lienhypertexte"/>
                <w:rFonts w:asciiTheme="majorHAnsi" w:hAnsiTheme="majorHAnsi" w:cstheme="majorHAnsi"/>
              </w:rPr>
              <w:t>8.1.2.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Source of data - studies other than clinical investigations</w:t>
            </w:r>
            <w:r>
              <w:rPr>
                <w:webHidden/>
              </w:rPr>
              <w:tab/>
            </w:r>
            <w:r>
              <w:rPr>
                <w:webHidden/>
              </w:rPr>
              <w:fldChar w:fldCharType="begin"/>
            </w:r>
            <w:r>
              <w:rPr>
                <w:webHidden/>
              </w:rPr>
              <w:instrText xml:space="preserve"> PAGEREF _Toc236912890 \h </w:instrText>
            </w:r>
            <w:r>
              <w:rPr>
                <w:webHidden/>
              </w:rPr>
            </w:r>
            <w:r>
              <w:rPr>
                <w:webHidden/>
              </w:rPr>
              <w:fldChar w:fldCharType="separate"/>
            </w:r>
            <w:r>
              <w:rPr>
                <w:webHidden/>
              </w:rPr>
              <w:t>27</w:t>
            </w:r>
            <w:r>
              <w:rPr>
                <w:webHidden/>
              </w:rPr>
              <w:fldChar w:fldCharType="end"/>
            </w:r>
          </w:hyperlink>
        </w:p>
        <w:p w14:paraId="03FDCD63" w14:textId="4CD2EDA8"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91" w:history="1">
            <w:r w:rsidRPr="005D716E">
              <w:rPr>
                <w:rStyle w:val="Lienhypertexte"/>
                <w:rFonts w:asciiTheme="majorHAnsi" w:hAnsiTheme="majorHAnsi" w:cstheme="majorHAnsi"/>
              </w:rPr>
              <w:t>8.1.3.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Source of data - reports on other clinical experience</w:t>
            </w:r>
            <w:r>
              <w:rPr>
                <w:webHidden/>
              </w:rPr>
              <w:tab/>
            </w:r>
            <w:r>
              <w:rPr>
                <w:webHidden/>
              </w:rPr>
              <w:fldChar w:fldCharType="begin"/>
            </w:r>
            <w:r>
              <w:rPr>
                <w:webHidden/>
              </w:rPr>
              <w:instrText xml:space="preserve"> PAGEREF _Toc236912891 \h </w:instrText>
            </w:r>
            <w:r>
              <w:rPr>
                <w:webHidden/>
              </w:rPr>
            </w:r>
            <w:r>
              <w:rPr>
                <w:webHidden/>
              </w:rPr>
              <w:fldChar w:fldCharType="separate"/>
            </w:r>
            <w:r>
              <w:rPr>
                <w:webHidden/>
              </w:rPr>
              <w:t>27</w:t>
            </w:r>
            <w:r>
              <w:rPr>
                <w:webHidden/>
              </w:rPr>
              <w:fldChar w:fldCharType="end"/>
            </w:r>
          </w:hyperlink>
        </w:p>
        <w:p w14:paraId="3ABD1459" w14:textId="78DC722D"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892" w:history="1">
            <w:r w:rsidRPr="005D716E">
              <w:rPr>
                <w:rStyle w:val="Lienhypertexte"/>
                <w:rFonts w:asciiTheme="majorHAnsi" w:hAnsiTheme="majorHAnsi" w:cstheme="majorHAnsi"/>
              </w:rPr>
              <w:t>8.1.4.</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Source of data - Clinically relevant information coming from the PMS system, in particular the PMCF</w:t>
            </w:r>
            <w:r>
              <w:rPr>
                <w:webHidden/>
              </w:rPr>
              <w:tab/>
            </w:r>
            <w:r>
              <w:rPr>
                <w:webHidden/>
              </w:rPr>
              <w:fldChar w:fldCharType="begin"/>
            </w:r>
            <w:r>
              <w:rPr>
                <w:webHidden/>
              </w:rPr>
              <w:instrText xml:space="preserve"> PAGEREF _Toc236912892 \h </w:instrText>
            </w:r>
            <w:r>
              <w:rPr>
                <w:webHidden/>
              </w:rPr>
            </w:r>
            <w:r>
              <w:rPr>
                <w:webHidden/>
              </w:rPr>
              <w:fldChar w:fldCharType="separate"/>
            </w:r>
            <w:r>
              <w:rPr>
                <w:webHidden/>
              </w:rPr>
              <w:t>28</w:t>
            </w:r>
            <w:r>
              <w:rPr>
                <w:webHidden/>
              </w:rPr>
              <w:fldChar w:fldCharType="end"/>
            </w:r>
          </w:hyperlink>
        </w:p>
        <w:p w14:paraId="02C27BD1" w14:textId="0F04461D"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93" w:history="1">
            <w:r w:rsidRPr="005D716E">
              <w:rPr>
                <w:rStyle w:val="Lienhypertexte"/>
              </w:rPr>
              <w:t>8.2.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Pr>
              <w:t>Real-World Data</w:t>
            </w:r>
            <w:r>
              <w:rPr>
                <w:webHidden/>
              </w:rPr>
              <w:tab/>
            </w:r>
            <w:r>
              <w:rPr>
                <w:webHidden/>
              </w:rPr>
              <w:fldChar w:fldCharType="begin"/>
            </w:r>
            <w:r>
              <w:rPr>
                <w:webHidden/>
              </w:rPr>
              <w:instrText xml:space="preserve"> PAGEREF _Toc236912893 \h </w:instrText>
            </w:r>
            <w:r>
              <w:rPr>
                <w:webHidden/>
              </w:rPr>
            </w:r>
            <w:r>
              <w:rPr>
                <w:webHidden/>
              </w:rPr>
              <w:fldChar w:fldCharType="separate"/>
            </w:r>
            <w:r>
              <w:rPr>
                <w:webHidden/>
              </w:rPr>
              <w:t>29</w:t>
            </w:r>
            <w:r>
              <w:rPr>
                <w:webHidden/>
              </w:rPr>
              <w:fldChar w:fldCharType="end"/>
            </w:r>
          </w:hyperlink>
        </w:p>
        <w:p w14:paraId="7A14C076" w14:textId="24C4AE9E"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94" w:history="1">
            <w:r w:rsidRPr="005D716E">
              <w:rPr>
                <w:rStyle w:val="Lienhypertexte"/>
                <w:rFonts w:asciiTheme="majorHAnsi" w:hAnsiTheme="majorHAnsi" w:cstheme="majorHAnsi"/>
              </w:rPr>
              <w:t>8.3.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Clinical data generated and held by the manufacturer</w:t>
            </w:r>
            <w:r>
              <w:rPr>
                <w:webHidden/>
              </w:rPr>
              <w:tab/>
            </w:r>
            <w:r>
              <w:rPr>
                <w:webHidden/>
              </w:rPr>
              <w:fldChar w:fldCharType="begin"/>
            </w:r>
            <w:r>
              <w:rPr>
                <w:webHidden/>
              </w:rPr>
              <w:instrText xml:space="preserve"> PAGEREF _Toc236912894 \h </w:instrText>
            </w:r>
            <w:r>
              <w:rPr>
                <w:webHidden/>
              </w:rPr>
            </w:r>
            <w:r>
              <w:rPr>
                <w:webHidden/>
              </w:rPr>
              <w:fldChar w:fldCharType="separate"/>
            </w:r>
            <w:r>
              <w:rPr>
                <w:webHidden/>
              </w:rPr>
              <w:t>30</w:t>
            </w:r>
            <w:r>
              <w:rPr>
                <w:webHidden/>
              </w:rPr>
              <w:fldChar w:fldCharType="end"/>
            </w:r>
          </w:hyperlink>
        </w:p>
        <w:p w14:paraId="09287046" w14:textId="43CCB26F"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95" w:history="1">
            <w:r w:rsidRPr="005D716E">
              <w:rPr>
                <w:rStyle w:val="Lienhypertexte"/>
                <w:rFonts w:asciiTheme="majorHAnsi" w:hAnsiTheme="majorHAnsi" w:cstheme="majorHAnsi"/>
              </w:rPr>
              <w:t>8.4.</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Clinical data not held by the manufacturer</w:t>
            </w:r>
            <w:r>
              <w:rPr>
                <w:webHidden/>
              </w:rPr>
              <w:tab/>
            </w:r>
            <w:r>
              <w:rPr>
                <w:webHidden/>
              </w:rPr>
              <w:fldChar w:fldCharType="begin"/>
            </w:r>
            <w:r>
              <w:rPr>
                <w:webHidden/>
              </w:rPr>
              <w:instrText xml:space="preserve"> PAGEREF _Toc236912895 \h </w:instrText>
            </w:r>
            <w:r>
              <w:rPr>
                <w:webHidden/>
              </w:rPr>
            </w:r>
            <w:r>
              <w:rPr>
                <w:webHidden/>
              </w:rPr>
              <w:fldChar w:fldCharType="separate"/>
            </w:r>
            <w:r>
              <w:rPr>
                <w:webHidden/>
              </w:rPr>
              <w:t>30</w:t>
            </w:r>
            <w:r>
              <w:rPr>
                <w:webHidden/>
              </w:rPr>
              <w:fldChar w:fldCharType="end"/>
            </w:r>
          </w:hyperlink>
        </w:p>
        <w:p w14:paraId="6F67EC24" w14:textId="7D7594E2"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96" w:history="1">
            <w:r w:rsidRPr="005D716E">
              <w:rPr>
                <w:rStyle w:val="Lienhypertexte"/>
              </w:rPr>
              <w:t>8.5.</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Pr>
              <w:t>Data outside the definition of Article 2(48)</w:t>
            </w:r>
            <w:r>
              <w:rPr>
                <w:webHidden/>
              </w:rPr>
              <w:tab/>
            </w:r>
            <w:r>
              <w:rPr>
                <w:webHidden/>
              </w:rPr>
              <w:fldChar w:fldCharType="begin"/>
            </w:r>
            <w:r>
              <w:rPr>
                <w:webHidden/>
              </w:rPr>
              <w:instrText xml:space="preserve"> PAGEREF _Toc236912896 \h </w:instrText>
            </w:r>
            <w:r>
              <w:rPr>
                <w:webHidden/>
              </w:rPr>
            </w:r>
            <w:r>
              <w:rPr>
                <w:webHidden/>
              </w:rPr>
              <w:fldChar w:fldCharType="separate"/>
            </w:r>
            <w:r>
              <w:rPr>
                <w:webHidden/>
              </w:rPr>
              <w:t>31</w:t>
            </w:r>
            <w:r>
              <w:rPr>
                <w:webHidden/>
              </w:rPr>
              <w:fldChar w:fldCharType="end"/>
            </w:r>
          </w:hyperlink>
        </w:p>
        <w:p w14:paraId="00DB228F" w14:textId="2D26AACF"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897" w:history="1">
            <w:r w:rsidRPr="005D716E">
              <w:rPr>
                <w:rStyle w:val="Lienhypertexte"/>
              </w:rPr>
              <w:t>9.</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Appraisal of relevant clinical data (Stage 2)</w:t>
            </w:r>
            <w:r>
              <w:rPr>
                <w:webHidden/>
              </w:rPr>
              <w:tab/>
            </w:r>
            <w:r>
              <w:rPr>
                <w:webHidden/>
              </w:rPr>
              <w:fldChar w:fldCharType="begin"/>
            </w:r>
            <w:r>
              <w:rPr>
                <w:webHidden/>
              </w:rPr>
              <w:instrText xml:space="preserve"> PAGEREF _Toc236912897 \h </w:instrText>
            </w:r>
            <w:r>
              <w:rPr>
                <w:webHidden/>
              </w:rPr>
            </w:r>
            <w:r>
              <w:rPr>
                <w:webHidden/>
              </w:rPr>
              <w:fldChar w:fldCharType="separate"/>
            </w:r>
            <w:r>
              <w:rPr>
                <w:webHidden/>
              </w:rPr>
              <w:t>33</w:t>
            </w:r>
            <w:r>
              <w:rPr>
                <w:webHidden/>
              </w:rPr>
              <w:fldChar w:fldCharType="end"/>
            </w:r>
          </w:hyperlink>
        </w:p>
        <w:p w14:paraId="71C976A0" w14:textId="503E0217"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98" w:history="1">
            <w:r w:rsidRPr="005D716E">
              <w:rPr>
                <w:rStyle w:val="Lienhypertexte"/>
                <w:rFonts w:asciiTheme="majorHAnsi" w:hAnsiTheme="majorHAnsi" w:cstheme="majorHAnsi"/>
              </w:rPr>
              <w:t>9.1.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General considerations</w:t>
            </w:r>
            <w:r>
              <w:rPr>
                <w:webHidden/>
              </w:rPr>
              <w:tab/>
            </w:r>
            <w:r>
              <w:rPr>
                <w:webHidden/>
              </w:rPr>
              <w:fldChar w:fldCharType="begin"/>
            </w:r>
            <w:r>
              <w:rPr>
                <w:webHidden/>
              </w:rPr>
              <w:instrText xml:space="preserve"> PAGEREF _Toc236912898 \h </w:instrText>
            </w:r>
            <w:r>
              <w:rPr>
                <w:webHidden/>
              </w:rPr>
            </w:r>
            <w:r>
              <w:rPr>
                <w:webHidden/>
              </w:rPr>
              <w:fldChar w:fldCharType="separate"/>
            </w:r>
            <w:r>
              <w:rPr>
                <w:webHidden/>
              </w:rPr>
              <w:t>33</w:t>
            </w:r>
            <w:r>
              <w:rPr>
                <w:webHidden/>
              </w:rPr>
              <w:fldChar w:fldCharType="end"/>
            </w:r>
          </w:hyperlink>
        </w:p>
        <w:p w14:paraId="58D8DE8C" w14:textId="23E141C6"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899" w:history="1">
            <w:r w:rsidRPr="005D716E">
              <w:rPr>
                <w:rStyle w:val="Lienhypertexte"/>
                <w:rFonts w:asciiTheme="majorHAnsi" w:hAnsiTheme="majorHAnsi" w:cstheme="majorHAnsi"/>
              </w:rPr>
              <w:t>9.2.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Appraisal plan</w:t>
            </w:r>
            <w:r>
              <w:rPr>
                <w:webHidden/>
              </w:rPr>
              <w:tab/>
            </w:r>
            <w:r>
              <w:rPr>
                <w:webHidden/>
              </w:rPr>
              <w:fldChar w:fldCharType="begin"/>
            </w:r>
            <w:r>
              <w:rPr>
                <w:webHidden/>
              </w:rPr>
              <w:instrText xml:space="preserve"> PAGEREF _Toc236912899 \h </w:instrText>
            </w:r>
            <w:r>
              <w:rPr>
                <w:webHidden/>
              </w:rPr>
            </w:r>
            <w:r>
              <w:rPr>
                <w:webHidden/>
              </w:rPr>
              <w:fldChar w:fldCharType="separate"/>
            </w:r>
            <w:r>
              <w:rPr>
                <w:webHidden/>
              </w:rPr>
              <w:t>33</w:t>
            </w:r>
            <w:r>
              <w:rPr>
                <w:webHidden/>
              </w:rPr>
              <w:fldChar w:fldCharType="end"/>
            </w:r>
          </w:hyperlink>
        </w:p>
        <w:p w14:paraId="12DE80FF" w14:textId="3F5C4673"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00" w:history="1">
            <w:r w:rsidRPr="005D716E">
              <w:rPr>
                <w:rStyle w:val="Lienhypertexte"/>
                <w:rFonts w:asciiTheme="majorHAnsi" w:hAnsiTheme="majorHAnsi" w:cstheme="majorHAnsi"/>
              </w:rPr>
              <w:t>9.3.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Conduct of the appraisal</w:t>
            </w:r>
            <w:r>
              <w:rPr>
                <w:webHidden/>
              </w:rPr>
              <w:tab/>
            </w:r>
            <w:r>
              <w:rPr>
                <w:webHidden/>
              </w:rPr>
              <w:fldChar w:fldCharType="begin"/>
            </w:r>
            <w:r>
              <w:rPr>
                <w:webHidden/>
              </w:rPr>
              <w:instrText xml:space="preserve"> PAGEREF _Toc236912900 \h </w:instrText>
            </w:r>
            <w:r>
              <w:rPr>
                <w:webHidden/>
              </w:rPr>
            </w:r>
            <w:r>
              <w:rPr>
                <w:webHidden/>
              </w:rPr>
              <w:fldChar w:fldCharType="separate"/>
            </w:r>
            <w:r>
              <w:rPr>
                <w:webHidden/>
              </w:rPr>
              <w:t>34</w:t>
            </w:r>
            <w:r>
              <w:rPr>
                <w:webHidden/>
              </w:rPr>
              <w:fldChar w:fldCharType="end"/>
            </w:r>
          </w:hyperlink>
        </w:p>
        <w:p w14:paraId="7D076BD5" w14:textId="030C7033"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1" w:history="1">
            <w:r w:rsidRPr="005D716E">
              <w:rPr>
                <w:rStyle w:val="Lienhypertexte"/>
                <w:rFonts w:asciiTheme="majorHAnsi" w:hAnsiTheme="majorHAnsi" w:cstheme="majorHAnsi"/>
              </w:rPr>
              <w:t>9.3.1.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Assessment of scientific validity of clinical data</w:t>
            </w:r>
            <w:r>
              <w:rPr>
                <w:webHidden/>
              </w:rPr>
              <w:tab/>
            </w:r>
            <w:r>
              <w:rPr>
                <w:webHidden/>
              </w:rPr>
              <w:fldChar w:fldCharType="begin"/>
            </w:r>
            <w:r>
              <w:rPr>
                <w:webHidden/>
              </w:rPr>
              <w:instrText xml:space="preserve"> PAGEREF _Toc236912901 \h </w:instrText>
            </w:r>
            <w:r>
              <w:rPr>
                <w:webHidden/>
              </w:rPr>
            </w:r>
            <w:r>
              <w:rPr>
                <w:webHidden/>
              </w:rPr>
              <w:fldChar w:fldCharType="separate"/>
            </w:r>
            <w:r>
              <w:rPr>
                <w:webHidden/>
              </w:rPr>
              <w:t>35</w:t>
            </w:r>
            <w:r>
              <w:rPr>
                <w:webHidden/>
              </w:rPr>
              <w:fldChar w:fldCharType="end"/>
            </w:r>
          </w:hyperlink>
        </w:p>
        <w:p w14:paraId="20C0C93C" w14:textId="1828F4BB"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2" w:history="1">
            <w:r w:rsidRPr="005D716E">
              <w:rPr>
                <w:rStyle w:val="Lienhypertexte"/>
                <w:rFonts w:asciiTheme="majorHAnsi" w:hAnsiTheme="majorHAnsi" w:cstheme="majorHAnsi"/>
              </w:rPr>
              <w:t>9.3.1.1.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Data sourced from clinical investigations</w:t>
            </w:r>
            <w:r>
              <w:rPr>
                <w:webHidden/>
              </w:rPr>
              <w:tab/>
            </w:r>
            <w:r>
              <w:rPr>
                <w:webHidden/>
              </w:rPr>
              <w:fldChar w:fldCharType="begin"/>
            </w:r>
            <w:r>
              <w:rPr>
                <w:webHidden/>
              </w:rPr>
              <w:instrText xml:space="preserve"> PAGEREF _Toc236912902 \h </w:instrText>
            </w:r>
            <w:r>
              <w:rPr>
                <w:webHidden/>
              </w:rPr>
            </w:r>
            <w:r>
              <w:rPr>
                <w:webHidden/>
              </w:rPr>
              <w:fldChar w:fldCharType="separate"/>
            </w:r>
            <w:r>
              <w:rPr>
                <w:webHidden/>
              </w:rPr>
              <w:t>35</w:t>
            </w:r>
            <w:r>
              <w:rPr>
                <w:webHidden/>
              </w:rPr>
              <w:fldChar w:fldCharType="end"/>
            </w:r>
          </w:hyperlink>
        </w:p>
        <w:p w14:paraId="1EF4CA35" w14:textId="491E8379"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3" w:history="1">
            <w:r w:rsidRPr="005D716E">
              <w:rPr>
                <w:rStyle w:val="Lienhypertexte"/>
                <w:rFonts w:asciiTheme="majorHAnsi" w:hAnsiTheme="majorHAnsi" w:cstheme="majorHAnsi"/>
              </w:rPr>
              <w:t>9.3.1.2.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Data from studies other than clinical investigations</w:t>
            </w:r>
            <w:r>
              <w:rPr>
                <w:webHidden/>
              </w:rPr>
              <w:tab/>
            </w:r>
            <w:r>
              <w:rPr>
                <w:webHidden/>
              </w:rPr>
              <w:fldChar w:fldCharType="begin"/>
            </w:r>
            <w:r>
              <w:rPr>
                <w:webHidden/>
              </w:rPr>
              <w:instrText xml:space="preserve"> PAGEREF _Toc236912903 \h </w:instrText>
            </w:r>
            <w:r>
              <w:rPr>
                <w:webHidden/>
              </w:rPr>
            </w:r>
            <w:r>
              <w:rPr>
                <w:webHidden/>
              </w:rPr>
              <w:fldChar w:fldCharType="separate"/>
            </w:r>
            <w:r>
              <w:rPr>
                <w:webHidden/>
              </w:rPr>
              <w:t>40</w:t>
            </w:r>
            <w:r>
              <w:rPr>
                <w:webHidden/>
              </w:rPr>
              <w:fldChar w:fldCharType="end"/>
            </w:r>
          </w:hyperlink>
        </w:p>
        <w:p w14:paraId="2FFE0AB4" w14:textId="3D545705"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4" w:history="1">
            <w:r w:rsidRPr="005D716E">
              <w:rPr>
                <w:rStyle w:val="Lienhypertexte"/>
                <w:rFonts w:asciiTheme="majorHAnsi" w:hAnsiTheme="majorHAnsi" w:cstheme="majorHAnsi"/>
              </w:rPr>
              <w:t>9.3.1.3.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Data from reports on other clinical experience of the device</w:t>
            </w:r>
            <w:r>
              <w:rPr>
                <w:webHidden/>
              </w:rPr>
              <w:tab/>
            </w:r>
            <w:r>
              <w:rPr>
                <w:webHidden/>
              </w:rPr>
              <w:fldChar w:fldCharType="begin"/>
            </w:r>
            <w:r>
              <w:rPr>
                <w:webHidden/>
              </w:rPr>
              <w:instrText xml:space="preserve"> PAGEREF _Toc236912904 \h </w:instrText>
            </w:r>
            <w:r>
              <w:rPr>
                <w:webHidden/>
              </w:rPr>
            </w:r>
            <w:r>
              <w:rPr>
                <w:webHidden/>
              </w:rPr>
              <w:fldChar w:fldCharType="separate"/>
            </w:r>
            <w:r>
              <w:rPr>
                <w:webHidden/>
              </w:rPr>
              <w:t>40</w:t>
            </w:r>
            <w:r>
              <w:rPr>
                <w:webHidden/>
              </w:rPr>
              <w:fldChar w:fldCharType="end"/>
            </w:r>
          </w:hyperlink>
        </w:p>
        <w:p w14:paraId="3FED5EC0" w14:textId="48B89D45"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5" w:history="1">
            <w:r w:rsidRPr="005D716E">
              <w:rPr>
                <w:rStyle w:val="Lienhypertexte"/>
                <w:rFonts w:asciiTheme="majorHAnsi" w:hAnsiTheme="majorHAnsi" w:cstheme="majorHAnsi"/>
              </w:rPr>
              <w:t>9.3.1.4.</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Data from clinically relevant information generated from the PMS system</w:t>
            </w:r>
            <w:r>
              <w:rPr>
                <w:webHidden/>
              </w:rPr>
              <w:tab/>
            </w:r>
            <w:r>
              <w:rPr>
                <w:webHidden/>
              </w:rPr>
              <w:fldChar w:fldCharType="begin"/>
            </w:r>
            <w:r>
              <w:rPr>
                <w:webHidden/>
              </w:rPr>
              <w:instrText xml:space="preserve"> PAGEREF _Toc236912905 \h </w:instrText>
            </w:r>
            <w:r>
              <w:rPr>
                <w:webHidden/>
              </w:rPr>
            </w:r>
            <w:r>
              <w:rPr>
                <w:webHidden/>
              </w:rPr>
              <w:fldChar w:fldCharType="separate"/>
            </w:r>
            <w:r>
              <w:rPr>
                <w:webHidden/>
              </w:rPr>
              <w:t>40</w:t>
            </w:r>
            <w:r>
              <w:rPr>
                <w:webHidden/>
              </w:rPr>
              <w:fldChar w:fldCharType="end"/>
            </w:r>
          </w:hyperlink>
        </w:p>
        <w:p w14:paraId="1058D0E8" w14:textId="6E55AB65"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6" w:history="1">
            <w:r w:rsidRPr="005D716E">
              <w:rPr>
                <w:rStyle w:val="Lienhypertexte"/>
                <w:rFonts w:asciiTheme="majorHAnsi" w:hAnsiTheme="majorHAnsi" w:cstheme="majorHAnsi"/>
              </w:rPr>
              <w:t>9.3.2.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Assessment of the relevance of a data set for the clinical evaluation</w:t>
            </w:r>
            <w:r>
              <w:rPr>
                <w:webHidden/>
              </w:rPr>
              <w:tab/>
            </w:r>
            <w:r>
              <w:rPr>
                <w:webHidden/>
              </w:rPr>
              <w:fldChar w:fldCharType="begin"/>
            </w:r>
            <w:r>
              <w:rPr>
                <w:webHidden/>
              </w:rPr>
              <w:instrText xml:space="preserve"> PAGEREF _Toc236912906 \h </w:instrText>
            </w:r>
            <w:r>
              <w:rPr>
                <w:webHidden/>
              </w:rPr>
            </w:r>
            <w:r>
              <w:rPr>
                <w:webHidden/>
              </w:rPr>
              <w:fldChar w:fldCharType="separate"/>
            </w:r>
            <w:r>
              <w:rPr>
                <w:webHidden/>
              </w:rPr>
              <w:t>42</w:t>
            </w:r>
            <w:r>
              <w:rPr>
                <w:webHidden/>
              </w:rPr>
              <w:fldChar w:fldCharType="end"/>
            </w:r>
          </w:hyperlink>
        </w:p>
        <w:p w14:paraId="3A531000" w14:textId="15B3CE6D"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07" w:history="1">
            <w:r w:rsidRPr="005D716E">
              <w:rPr>
                <w:rStyle w:val="Lienhypertexte"/>
                <w:rFonts w:asciiTheme="majorHAnsi" w:hAnsiTheme="majorHAnsi" w:cstheme="majorHAnsi"/>
              </w:rPr>
              <w:t>9.3.3.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How to weight the contribution of each data set</w:t>
            </w:r>
            <w:r>
              <w:rPr>
                <w:webHidden/>
              </w:rPr>
              <w:tab/>
            </w:r>
            <w:r>
              <w:rPr>
                <w:webHidden/>
              </w:rPr>
              <w:fldChar w:fldCharType="begin"/>
            </w:r>
            <w:r>
              <w:rPr>
                <w:webHidden/>
              </w:rPr>
              <w:instrText xml:space="preserve"> PAGEREF _Toc236912907 \h </w:instrText>
            </w:r>
            <w:r>
              <w:rPr>
                <w:webHidden/>
              </w:rPr>
            </w:r>
            <w:r>
              <w:rPr>
                <w:webHidden/>
              </w:rPr>
              <w:fldChar w:fldCharType="separate"/>
            </w:r>
            <w:r>
              <w:rPr>
                <w:webHidden/>
              </w:rPr>
              <w:t>44</w:t>
            </w:r>
            <w:r>
              <w:rPr>
                <w:webHidden/>
              </w:rPr>
              <w:fldChar w:fldCharType="end"/>
            </w:r>
          </w:hyperlink>
        </w:p>
        <w:p w14:paraId="1F99A0ED" w14:textId="405CC041"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08" w:history="1">
            <w:r w:rsidRPr="005D716E">
              <w:rPr>
                <w:rStyle w:val="Lienhypertexte"/>
              </w:rPr>
              <w:t>10.</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Analysis of relevant clinical data (Stage 3)</w:t>
            </w:r>
            <w:r>
              <w:rPr>
                <w:webHidden/>
              </w:rPr>
              <w:tab/>
            </w:r>
            <w:r>
              <w:rPr>
                <w:webHidden/>
              </w:rPr>
              <w:fldChar w:fldCharType="begin"/>
            </w:r>
            <w:r>
              <w:rPr>
                <w:webHidden/>
              </w:rPr>
              <w:instrText xml:space="preserve"> PAGEREF _Toc236912908 \h </w:instrText>
            </w:r>
            <w:r>
              <w:rPr>
                <w:webHidden/>
              </w:rPr>
            </w:r>
            <w:r>
              <w:rPr>
                <w:webHidden/>
              </w:rPr>
              <w:fldChar w:fldCharType="separate"/>
            </w:r>
            <w:r>
              <w:rPr>
                <w:webHidden/>
              </w:rPr>
              <w:t>48</w:t>
            </w:r>
            <w:r>
              <w:rPr>
                <w:webHidden/>
              </w:rPr>
              <w:fldChar w:fldCharType="end"/>
            </w:r>
          </w:hyperlink>
        </w:p>
        <w:p w14:paraId="63BF5E2A" w14:textId="0EDFB3DC"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09" w:history="1">
            <w:r w:rsidRPr="005D716E">
              <w:rPr>
                <w:rStyle w:val="Lienhypertexte"/>
                <w:rFonts w:asciiTheme="majorHAnsi" w:hAnsiTheme="majorHAnsi" w:cstheme="majorHAnsi"/>
              </w:rPr>
              <w:t>10.1.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Comprehensive analysis of all relevant clinical data</w:t>
            </w:r>
            <w:r>
              <w:rPr>
                <w:webHidden/>
              </w:rPr>
              <w:tab/>
            </w:r>
            <w:r>
              <w:rPr>
                <w:webHidden/>
              </w:rPr>
              <w:fldChar w:fldCharType="begin"/>
            </w:r>
            <w:r>
              <w:rPr>
                <w:webHidden/>
              </w:rPr>
              <w:instrText xml:space="preserve"> PAGEREF _Toc236912909 \h </w:instrText>
            </w:r>
            <w:r>
              <w:rPr>
                <w:webHidden/>
              </w:rPr>
            </w:r>
            <w:r>
              <w:rPr>
                <w:webHidden/>
              </w:rPr>
              <w:fldChar w:fldCharType="separate"/>
            </w:r>
            <w:r>
              <w:rPr>
                <w:webHidden/>
              </w:rPr>
              <w:t>48</w:t>
            </w:r>
            <w:r>
              <w:rPr>
                <w:webHidden/>
              </w:rPr>
              <w:fldChar w:fldCharType="end"/>
            </w:r>
          </w:hyperlink>
        </w:p>
        <w:p w14:paraId="3F8C68B2" w14:textId="24E558F6"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10" w:history="1">
            <w:r w:rsidRPr="005D716E">
              <w:rPr>
                <w:rStyle w:val="Lienhypertexte"/>
                <w:rFonts w:asciiTheme="majorHAnsi" w:hAnsiTheme="majorHAnsi" w:cstheme="majorBidi"/>
              </w:rPr>
              <w:t>10.2.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Bidi"/>
              </w:rPr>
              <w:t>Clinical evidence for conformity with relevant GSPRs</w:t>
            </w:r>
            <w:r>
              <w:rPr>
                <w:webHidden/>
              </w:rPr>
              <w:tab/>
            </w:r>
            <w:r>
              <w:rPr>
                <w:webHidden/>
              </w:rPr>
              <w:fldChar w:fldCharType="begin"/>
            </w:r>
            <w:r>
              <w:rPr>
                <w:webHidden/>
              </w:rPr>
              <w:instrText xml:space="preserve"> PAGEREF _Toc236912910 \h </w:instrText>
            </w:r>
            <w:r>
              <w:rPr>
                <w:webHidden/>
              </w:rPr>
            </w:r>
            <w:r>
              <w:rPr>
                <w:webHidden/>
              </w:rPr>
              <w:fldChar w:fldCharType="separate"/>
            </w:r>
            <w:r>
              <w:rPr>
                <w:webHidden/>
              </w:rPr>
              <w:t>49</w:t>
            </w:r>
            <w:r>
              <w:rPr>
                <w:webHidden/>
              </w:rPr>
              <w:fldChar w:fldCharType="end"/>
            </w:r>
          </w:hyperlink>
        </w:p>
        <w:p w14:paraId="08993CAD" w14:textId="4AD1EA0B"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11" w:history="1">
            <w:r w:rsidRPr="005D716E">
              <w:rPr>
                <w:rStyle w:val="Lienhypertexte"/>
                <w:rFonts w:asciiTheme="majorHAnsi" w:hAnsiTheme="majorHAnsi" w:cstheme="majorHAnsi"/>
              </w:rPr>
              <w:t>10.3.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Determining the requirement for new or additional clinical data</w:t>
            </w:r>
            <w:r>
              <w:rPr>
                <w:webHidden/>
              </w:rPr>
              <w:tab/>
            </w:r>
            <w:r>
              <w:rPr>
                <w:webHidden/>
              </w:rPr>
              <w:fldChar w:fldCharType="begin"/>
            </w:r>
            <w:r>
              <w:rPr>
                <w:webHidden/>
              </w:rPr>
              <w:instrText xml:space="preserve"> PAGEREF _Toc236912911 \h </w:instrText>
            </w:r>
            <w:r>
              <w:rPr>
                <w:webHidden/>
              </w:rPr>
            </w:r>
            <w:r>
              <w:rPr>
                <w:webHidden/>
              </w:rPr>
              <w:fldChar w:fldCharType="separate"/>
            </w:r>
            <w:r>
              <w:rPr>
                <w:webHidden/>
              </w:rPr>
              <w:t>49</w:t>
            </w:r>
            <w:r>
              <w:rPr>
                <w:webHidden/>
              </w:rPr>
              <w:fldChar w:fldCharType="end"/>
            </w:r>
          </w:hyperlink>
        </w:p>
        <w:p w14:paraId="79B95B50" w14:textId="6678CDEB"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12" w:history="1">
            <w:r w:rsidRPr="005D716E">
              <w:rPr>
                <w:rStyle w:val="Lienhypertexte"/>
              </w:rPr>
              <w:t>11.</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Generation of new or additional clinical data (Stage 4)</w:t>
            </w:r>
            <w:r>
              <w:rPr>
                <w:webHidden/>
              </w:rPr>
              <w:tab/>
            </w:r>
            <w:r>
              <w:rPr>
                <w:webHidden/>
              </w:rPr>
              <w:fldChar w:fldCharType="begin"/>
            </w:r>
            <w:r>
              <w:rPr>
                <w:webHidden/>
              </w:rPr>
              <w:instrText xml:space="preserve"> PAGEREF _Toc236912912 \h </w:instrText>
            </w:r>
            <w:r>
              <w:rPr>
                <w:webHidden/>
              </w:rPr>
            </w:r>
            <w:r>
              <w:rPr>
                <w:webHidden/>
              </w:rPr>
              <w:fldChar w:fldCharType="separate"/>
            </w:r>
            <w:r>
              <w:rPr>
                <w:webHidden/>
              </w:rPr>
              <w:t>51</w:t>
            </w:r>
            <w:r>
              <w:rPr>
                <w:webHidden/>
              </w:rPr>
              <w:fldChar w:fldCharType="end"/>
            </w:r>
          </w:hyperlink>
        </w:p>
        <w:p w14:paraId="56F0FB2E" w14:textId="38E0A1A6"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13" w:history="1">
            <w:r w:rsidRPr="005D716E">
              <w:rPr>
                <w:rStyle w:val="Lienhypertexte"/>
                <w:rFonts w:asciiTheme="majorHAnsi" w:hAnsiTheme="majorHAnsi" w:cstheme="majorHAnsi"/>
              </w:rPr>
              <w:t>11.1.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Pilot and pivotal pre-market clinical investigations</w:t>
            </w:r>
            <w:r>
              <w:rPr>
                <w:webHidden/>
              </w:rPr>
              <w:tab/>
            </w:r>
            <w:r>
              <w:rPr>
                <w:webHidden/>
              </w:rPr>
              <w:fldChar w:fldCharType="begin"/>
            </w:r>
            <w:r>
              <w:rPr>
                <w:webHidden/>
              </w:rPr>
              <w:instrText xml:space="preserve"> PAGEREF _Toc236912913 \h </w:instrText>
            </w:r>
            <w:r>
              <w:rPr>
                <w:webHidden/>
              </w:rPr>
            </w:r>
            <w:r>
              <w:rPr>
                <w:webHidden/>
              </w:rPr>
              <w:fldChar w:fldCharType="separate"/>
            </w:r>
            <w:r>
              <w:rPr>
                <w:webHidden/>
              </w:rPr>
              <w:t>51</w:t>
            </w:r>
            <w:r>
              <w:rPr>
                <w:webHidden/>
              </w:rPr>
              <w:fldChar w:fldCharType="end"/>
            </w:r>
          </w:hyperlink>
        </w:p>
        <w:p w14:paraId="75E0FBEF" w14:textId="2C28FFF2"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14" w:history="1">
            <w:r w:rsidRPr="005D716E">
              <w:rPr>
                <w:rStyle w:val="Lienhypertexte"/>
                <w:rFonts w:asciiTheme="majorHAnsi" w:hAnsiTheme="majorHAnsi" w:cstheme="majorHAnsi"/>
              </w:rPr>
              <w:t>11.1.1.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Pilot (early-stage, pre-market) clinical investigations</w:t>
            </w:r>
            <w:r>
              <w:rPr>
                <w:webHidden/>
              </w:rPr>
              <w:tab/>
            </w:r>
            <w:r>
              <w:rPr>
                <w:webHidden/>
              </w:rPr>
              <w:fldChar w:fldCharType="begin"/>
            </w:r>
            <w:r>
              <w:rPr>
                <w:webHidden/>
              </w:rPr>
              <w:instrText xml:space="preserve"> PAGEREF _Toc236912914 \h </w:instrText>
            </w:r>
            <w:r>
              <w:rPr>
                <w:webHidden/>
              </w:rPr>
            </w:r>
            <w:r>
              <w:rPr>
                <w:webHidden/>
              </w:rPr>
              <w:fldChar w:fldCharType="separate"/>
            </w:r>
            <w:r>
              <w:rPr>
                <w:webHidden/>
              </w:rPr>
              <w:t>51</w:t>
            </w:r>
            <w:r>
              <w:rPr>
                <w:webHidden/>
              </w:rPr>
              <w:fldChar w:fldCharType="end"/>
            </w:r>
          </w:hyperlink>
        </w:p>
        <w:p w14:paraId="532DF310" w14:textId="782FB8DE" w:rsidR="00B8162A" w:rsidRDefault="00B8162A">
          <w:pPr>
            <w:pStyle w:val="TM3"/>
            <w:rPr>
              <w:rFonts w:asciiTheme="minorHAnsi" w:eastAsiaTheme="minorEastAsia" w:hAnsiTheme="minorHAnsi" w:cstheme="minorBidi"/>
              <w:kern w:val="2"/>
              <w:sz w:val="24"/>
              <w:szCs w:val="24"/>
              <w:lang w:val="en-IE" w:eastAsia="en-IE"/>
              <w14:ligatures w14:val="standardContextual"/>
            </w:rPr>
          </w:pPr>
          <w:hyperlink w:anchor="_Toc236912915" w:history="1">
            <w:r w:rsidRPr="005D716E">
              <w:rPr>
                <w:rStyle w:val="Lienhypertexte"/>
                <w:rFonts w:asciiTheme="majorHAnsi" w:hAnsiTheme="majorHAnsi" w:cstheme="majorHAnsi"/>
              </w:rPr>
              <w:t>11.1.2.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Pivotal (confirmatory, pre-market) clinical investigations</w:t>
            </w:r>
            <w:r>
              <w:rPr>
                <w:webHidden/>
              </w:rPr>
              <w:tab/>
            </w:r>
            <w:r>
              <w:rPr>
                <w:webHidden/>
              </w:rPr>
              <w:fldChar w:fldCharType="begin"/>
            </w:r>
            <w:r>
              <w:rPr>
                <w:webHidden/>
              </w:rPr>
              <w:instrText xml:space="preserve"> PAGEREF _Toc236912915 \h </w:instrText>
            </w:r>
            <w:r>
              <w:rPr>
                <w:webHidden/>
              </w:rPr>
            </w:r>
            <w:r>
              <w:rPr>
                <w:webHidden/>
              </w:rPr>
              <w:fldChar w:fldCharType="separate"/>
            </w:r>
            <w:r>
              <w:rPr>
                <w:webHidden/>
              </w:rPr>
              <w:t>52</w:t>
            </w:r>
            <w:r>
              <w:rPr>
                <w:webHidden/>
              </w:rPr>
              <w:fldChar w:fldCharType="end"/>
            </w:r>
          </w:hyperlink>
        </w:p>
        <w:p w14:paraId="24D294BD" w14:textId="38D9AF27"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16" w:history="1">
            <w:r w:rsidRPr="005D716E">
              <w:rPr>
                <w:rStyle w:val="Lienhypertexte"/>
              </w:rPr>
              <w:t>12.</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The clinical evaluation report (Stage 5)</w:t>
            </w:r>
            <w:r>
              <w:rPr>
                <w:webHidden/>
              </w:rPr>
              <w:tab/>
            </w:r>
            <w:r>
              <w:rPr>
                <w:webHidden/>
              </w:rPr>
              <w:fldChar w:fldCharType="begin"/>
            </w:r>
            <w:r>
              <w:rPr>
                <w:webHidden/>
              </w:rPr>
              <w:instrText xml:space="preserve"> PAGEREF _Toc236912916 \h </w:instrText>
            </w:r>
            <w:r>
              <w:rPr>
                <w:webHidden/>
              </w:rPr>
            </w:r>
            <w:r>
              <w:rPr>
                <w:webHidden/>
              </w:rPr>
              <w:fldChar w:fldCharType="separate"/>
            </w:r>
            <w:r>
              <w:rPr>
                <w:webHidden/>
              </w:rPr>
              <w:t>53</w:t>
            </w:r>
            <w:r>
              <w:rPr>
                <w:webHidden/>
              </w:rPr>
              <w:fldChar w:fldCharType="end"/>
            </w:r>
          </w:hyperlink>
        </w:p>
        <w:p w14:paraId="3DA0EE07" w14:textId="1D817C05"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17" w:history="1">
            <w:r w:rsidRPr="005D716E">
              <w:rPr>
                <w:rStyle w:val="Lienhypertexte"/>
                <w:rFonts w:asciiTheme="majorHAnsi" w:hAnsiTheme="majorHAnsi" w:cstheme="majorBidi"/>
              </w:rPr>
              <w:t>12.1.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Bidi"/>
              </w:rPr>
              <w:t>Clinical evaluation documentation</w:t>
            </w:r>
            <w:r>
              <w:rPr>
                <w:webHidden/>
              </w:rPr>
              <w:tab/>
            </w:r>
            <w:r>
              <w:rPr>
                <w:webHidden/>
              </w:rPr>
              <w:fldChar w:fldCharType="begin"/>
            </w:r>
            <w:r>
              <w:rPr>
                <w:webHidden/>
              </w:rPr>
              <w:instrText xml:space="preserve"> PAGEREF _Toc236912917 \h </w:instrText>
            </w:r>
            <w:r>
              <w:rPr>
                <w:webHidden/>
              </w:rPr>
            </w:r>
            <w:r>
              <w:rPr>
                <w:webHidden/>
              </w:rPr>
              <w:fldChar w:fldCharType="separate"/>
            </w:r>
            <w:r>
              <w:rPr>
                <w:webHidden/>
              </w:rPr>
              <w:t>54</w:t>
            </w:r>
            <w:r>
              <w:rPr>
                <w:webHidden/>
              </w:rPr>
              <w:fldChar w:fldCharType="end"/>
            </w:r>
          </w:hyperlink>
        </w:p>
        <w:p w14:paraId="61D85470" w14:textId="358B0EB0"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18" w:history="1">
            <w:r w:rsidRPr="005D716E">
              <w:rPr>
                <w:rStyle w:val="Lienhypertexte"/>
                <w:rFonts w:cstheme="majorBidi"/>
              </w:rPr>
              <w:t>13.</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Fonts w:cstheme="majorBidi"/>
              </w:rPr>
              <w:t>Post Market Clinical Follow-Up</w:t>
            </w:r>
            <w:r>
              <w:rPr>
                <w:webHidden/>
              </w:rPr>
              <w:tab/>
            </w:r>
            <w:r>
              <w:rPr>
                <w:webHidden/>
              </w:rPr>
              <w:fldChar w:fldCharType="begin"/>
            </w:r>
            <w:r>
              <w:rPr>
                <w:webHidden/>
              </w:rPr>
              <w:instrText xml:space="preserve"> PAGEREF _Toc236912918 \h </w:instrText>
            </w:r>
            <w:r>
              <w:rPr>
                <w:webHidden/>
              </w:rPr>
            </w:r>
            <w:r>
              <w:rPr>
                <w:webHidden/>
              </w:rPr>
              <w:fldChar w:fldCharType="separate"/>
            </w:r>
            <w:r>
              <w:rPr>
                <w:webHidden/>
              </w:rPr>
              <w:t>56</w:t>
            </w:r>
            <w:r>
              <w:rPr>
                <w:webHidden/>
              </w:rPr>
              <w:fldChar w:fldCharType="end"/>
            </w:r>
          </w:hyperlink>
        </w:p>
        <w:p w14:paraId="432C3AFB" w14:textId="6C622522"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19" w:history="1">
            <w:r w:rsidRPr="005D716E">
              <w:rPr>
                <w:rStyle w:val="Lienhypertexte"/>
              </w:rPr>
              <w:t>13.1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Pr>
              <w:t>PMCF studies</w:t>
            </w:r>
            <w:r>
              <w:rPr>
                <w:webHidden/>
              </w:rPr>
              <w:tab/>
            </w:r>
            <w:r>
              <w:rPr>
                <w:webHidden/>
              </w:rPr>
              <w:fldChar w:fldCharType="begin"/>
            </w:r>
            <w:r>
              <w:rPr>
                <w:webHidden/>
              </w:rPr>
              <w:instrText xml:space="preserve"> PAGEREF _Toc236912919 \h </w:instrText>
            </w:r>
            <w:r>
              <w:rPr>
                <w:webHidden/>
              </w:rPr>
            </w:r>
            <w:r>
              <w:rPr>
                <w:webHidden/>
              </w:rPr>
              <w:fldChar w:fldCharType="separate"/>
            </w:r>
            <w:r>
              <w:rPr>
                <w:webHidden/>
              </w:rPr>
              <w:t>57</w:t>
            </w:r>
            <w:r>
              <w:rPr>
                <w:webHidden/>
              </w:rPr>
              <w:fldChar w:fldCharType="end"/>
            </w:r>
          </w:hyperlink>
        </w:p>
        <w:p w14:paraId="12DF9769" w14:textId="45D66A19"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20" w:history="1">
            <w:r w:rsidRPr="005D716E">
              <w:rPr>
                <w:rStyle w:val="Lienhypertexte"/>
              </w:rPr>
              <w:t>13.2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Pr>
              <w:t>PMCF investigations</w:t>
            </w:r>
            <w:r>
              <w:rPr>
                <w:webHidden/>
              </w:rPr>
              <w:tab/>
            </w:r>
            <w:r>
              <w:rPr>
                <w:webHidden/>
              </w:rPr>
              <w:fldChar w:fldCharType="begin"/>
            </w:r>
            <w:r>
              <w:rPr>
                <w:webHidden/>
              </w:rPr>
              <w:instrText xml:space="preserve"> PAGEREF _Toc236912920 \h </w:instrText>
            </w:r>
            <w:r>
              <w:rPr>
                <w:webHidden/>
              </w:rPr>
            </w:r>
            <w:r>
              <w:rPr>
                <w:webHidden/>
              </w:rPr>
              <w:fldChar w:fldCharType="separate"/>
            </w:r>
            <w:r>
              <w:rPr>
                <w:webHidden/>
              </w:rPr>
              <w:t>59</w:t>
            </w:r>
            <w:r>
              <w:rPr>
                <w:webHidden/>
              </w:rPr>
              <w:fldChar w:fldCharType="end"/>
            </w:r>
          </w:hyperlink>
        </w:p>
        <w:p w14:paraId="26C06406" w14:textId="20B5A6A3"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21" w:history="1">
            <w:r w:rsidRPr="005D716E">
              <w:rPr>
                <w:rStyle w:val="Lienhypertexte"/>
              </w:rPr>
              <w:t>13.3</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Pr>
              <w:t>Clinical investigations under MDR Article 74(2)</w:t>
            </w:r>
            <w:r>
              <w:rPr>
                <w:webHidden/>
              </w:rPr>
              <w:tab/>
            </w:r>
            <w:r>
              <w:rPr>
                <w:webHidden/>
              </w:rPr>
              <w:fldChar w:fldCharType="begin"/>
            </w:r>
            <w:r>
              <w:rPr>
                <w:webHidden/>
              </w:rPr>
              <w:instrText xml:space="preserve"> PAGEREF _Toc236912921 \h </w:instrText>
            </w:r>
            <w:r>
              <w:rPr>
                <w:webHidden/>
              </w:rPr>
            </w:r>
            <w:r>
              <w:rPr>
                <w:webHidden/>
              </w:rPr>
              <w:fldChar w:fldCharType="separate"/>
            </w:r>
            <w:r>
              <w:rPr>
                <w:webHidden/>
              </w:rPr>
              <w:t>59</w:t>
            </w:r>
            <w:r>
              <w:rPr>
                <w:webHidden/>
              </w:rPr>
              <w:fldChar w:fldCharType="end"/>
            </w:r>
          </w:hyperlink>
        </w:p>
        <w:p w14:paraId="3DC9FB98" w14:textId="22E3FC2F"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22" w:history="1">
            <w:r w:rsidRPr="005D716E">
              <w:rPr>
                <w:rStyle w:val="Lienhypertexte"/>
              </w:rPr>
              <w:t>14.</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Update the clinical evaluation and associated documentation throughout the lifecycle of the device</w:t>
            </w:r>
            <w:r>
              <w:rPr>
                <w:webHidden/>
              </w:rPr>
              <w:tab/>
            </w:r>
            <w:r>
              <w:rPr>
                <w:webHidden/>
              </w:rPr>
              <w:fldChar w:fldCharType="begin"/>
            </w:r>
            <w:r>
              <w:rPr>
                <w:webHidden/>
              </w:rPr>
              <w:instrText xml:space="preserve"> PAGEREF _Toc236912922 \h </w:instrText>
            </w:r>
            <w:r>
              <w:rPr>
                <w:webHidden/>
              </w:rPr>
            </w:r>
            <w:r>
              <w:rPr>
                <w:webHidden/>
              </w:rPr>
              <w:fldChar w:fldCharType="separate"/>
            </w:r>
            <w:r>
              <w:rPr>
                <w:webHidden/>
              </w:rPr>
              <w:t>60</w:t>
            </w:r>
            <w:r>
              <w:rPr>
                <w:webHidden/>
              </w:rPr>
              <w:fldChar w:fldCharType="end"/>
            </w:r>
          </w:hyperlink>
        </w:p>
        <w:p w14:paraId="08C5BFA7" w14:textId="1D322AFF"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23" w:history="1">
            <w:r w:rsidRPr="005D716E">
              <w:rPr>
                <w:rStyle w:val="Lienhypertexte"/>
                <w:rFonts w:asciiTheme="majorHAnsi" w:hAnsiTheme="majorHAnsi" w:cstheme="majorHAnsi"/>
              </w:rPr>
              <w:t>14.1.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General considerations on updating the clinical evaluation</w:t>
            </w:r>
            <w:r>
              <w:rPr>
                <w:webHidden/>
              </w:rPr>
              <w:tab/>
            </w:r>
            <w:r>
              <w:rPr>
                <w:webHidden/>
              </w:rPr>
              <w:fldChar w:fldCharType="begin"/>
            </w:r>
            <w:r>
              <w:rPr>
                <w:webHidden/>
              </w:rPr>
              <w:instrText xml:space="preserve"> PAGEREF _Toc236912923 \h </w:instrText>
            </w:r>
            <w:r>
              <w:rPr>
                <w:webHidden/>
              </w:rPr>
            </w:r>
            <w:r>
              <w:rPr>
                <w:webHidden/>
              </w:rPr>
              <w:fldChar w:fldCharType="separate"/>
            </w:r>
            <w:r>
              <w:rPr>
                <w:webHidden/>
              </w:rPr>
              <w:t>60</w:t>
            </w:r>
            <w:r>
              <w:rPr>
                <w:webHidden/>
              </w:rPr>
              <w:fldChar w:fldCharType="end"/>
            </w:r>
          </w:hyperlink>
        </w:p>
        <w:p w14:paraId="25561D72" w14:textId="57BF5A0D"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24" w:history="1">
            <w:r w:rsidRPr="005D716E">
              <w:rPr>
                <w:rStyle w:val="Lienhypertexte"/>
                <w:rFonts w:asciiTheme="majorHAnsi" w:hAnsiTheme="majorHAnsi" w:cstheme="majorHAnsi"/>
              </w:rPr>
              <w:t>14.2.</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Frequency of updates</w:t>
            </w:r>
            <w:r>
              <w:rPr>
                <w:webHidden/>
              </w:rPr>
              <w:tab/>
            </w:r>
            <w:r>
              <w:rPr>
                <w:webHidden/>
              </w:rPr>
              <w:fldChar w:fldCharType="begin"/>
            </w:r>
            <w:r>
              <w:rPr>
                <w:webHidden/>
              </w:rPr>
              <w:instrText xml:space="preserve"> PAGEREF _Toc236912924 \h </w:instrText>
            </w:r>
            <w:r>
              <w:rPr>
                <w:webHidden/>
              </w:rPr>
            </w:r>
            <w:r>
              <w:rPr>
                <w:webHidden/>
              </w:rPr>
              <w:fldChar w:fldCharType="separate"/>
            </w:r>
            <w:r>
              <w:rPr>
                <w:webHidden/>
              </w:rPr>
              <w:t>61</w:t>
            </w:r>
            <w:r>
              <w:rPr>
                <w:webHidden/>
              </w:rPr>
              <w:fldChar w:fldCharType="end"/>
            </w:r>
          </w:hyperlink>
        </w:p>
        <w:p w14:paraId="73B46598" w14:textId="71D93339"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25" w:history="1">
            <w:r w:rsidRPr="005D716E">
              <w:rPr>
                <w:rStyle w:val="Lienhypertexte"/>
              </w:rPr>
              <w:t>15.</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The role of the notified body in the assessment of clinical evaluation reports</w:t>
            </w:r>
            <w:r>
              <w:rPr>
                <w:webHidden/>
              </w:rPr>
              <w:tab/>
            </w:r>
            <w:r>
              <w:rPr>
                <w:webHidden/>
              </w:rPr>
              <w:fldChar w:fldCharType="begin"/>
            </w:r>
            <w:r>
              <w:rPr>
                <w:webHidden/>
              </w:rPr>
              <w:instrText xml:space="preserve"> PAGEREF _Toc236912925 \h </w:instrText>
            </w:r>
            <w:r>
              <w:rPr>
                <w:webHidden/>
              </w:rPr>
            </w:r>
            <w:r>
              <w:rPr>
                <w:webHidden/>
              </w:rPr>
              <w:fldChar w:fldCharType="separate"/>
            </w:r>
            <w:r>
              <w:rPr>
                <w:webHidden/>
              </w:rPr>
              <w:t>64</w:t>
            </w:r>
            <w:r>
              <w:rPr>
                <w:webHidden/>
              </w:rPr>
              <w:fldChar w:fldCharType="end"/>
            </w:r>
          </w:hyperlink>
        </w:p>
        <w:p w14:paraId="6AAA677C" w14:textId="6FB4A921"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26" w:history="1">
            <w:r w:rsidRPr="005D716E">
              <w:rPr>
                <w:rStyle w:val="Lienhypertexte"/>
                <w:rFonts w:asciiTheme="majorHAnsi" w:hAnsiTheme="majorHAnsi" w:cstheme="majorHAnsi"/>
              </w:rPr>
              <w:t>15.1.</w:t>
            </w:r>
            <w:r>
              <w:rPr>
                <w:rFonts w:asciiTheme="minorHAnsi" w:eastAsiaTheme="minorEastAsia" w:hAnsiTheme="minorHAnsi" w:cstheme="minorBidi"/>
                <w:kern w:val="2"/>
                <w:sz w:val="24"/>
                <w:szCs w:val="24"/>
                <w:lang w:val="en-IE" w:eastAsia="en-IE"/>
                <w14:ligatures w14:val="standardContextual"/>
              </w:rPr>
              <w:tab/>
            </w:r>
            <w:r w:rsidRPr="005D716E">
              <w:rPr>
                <w:rStyle w:val="Lienhypertexte"/>
                <w:rFonts w:asciiTheme="majorHAnsi" w:hAnsiTheme="majorHAnsi" w:cstheme="majorHAnsi"/>
              </w:rPr>
              <w:t>Art 54 (1) devices: Clinical evaluation consultation procedure</w:t>
            </w:r>
            <w:r>
              <w:rPr>
                <w:webHidden/>
              </w:rPr>
              <w:tab/>
            </w:r>
            <w:r>
              <w:rPr>
                <w:webHidden/>
              </w:rPr>
              <w:fldChar w:fldCharType="begin"/>
            </w:r>
            <w:r>
              <w:rPr>
                <w:webHidden/>
              </w:rPr>
              <w:instrText xml:space="preserve"> PAGEREF _Toc236912926 \h </w:instrText>
            </w:r>
            <w:r>
              <w:rPr>
                <w:webHidden/>
              </w:rPr>
            </w:r>
            <w:r>
              <w:rPr>
                <w:webHidden/>
              </w:rPr>
              <w:fldChar w:fldCharType="separate"/>
            </w:r>
            <w:r>
              <w:rPr>
                <w:webHidden/>
              </w:rPr>
              <w:t>64</w:t>
            </w:r>
            <w:r>
              <w:rPr>
                <w:webHidden/>
              </w:rPr>
              <w:fldChar w:fldCharType="end"/>
            </w:r>
          </w:hyperlink>
        </w:p>
        <w:p w14:paraId="2650F636" w14:textId="46E0A772"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27" w:history="1">
            <w:r w:rsidRPr="005D716E">
              <w:rPr>
                <w:rStyle w:val="Lienhypertexte"/>
              </w:rPr>
              <w:t>Appendices</w:t>
            </w:r>
            <w:r>
              <w:rPr>
                <w:webHidden/>
              </w:rPr>
              <w:tab/>
            </w:r>
            <w:r>
              <w:rPr>
                <w:webHidden/>
              </w:rPr>
              <w:fldChar w:fldCharType="begin"/>
            </w:r>
            <w:r>
              <w:rPr>
                <w:webHidden/>
              </w:rPr>
              <w:instrText xml:space="preserve"> PAGEREF _Toc236912927 \h </w:instrText>
            </w:r>
            <w:r>
              <w:rPr>
                <w:webHidden/>
              </w:rPr>
            </w:r>
            <w:r>
              <w:rPr>
                <w:webHidden/>
              </w:rPr>
              <w:fldChar w:fldCharType="separate"/>
            </w:r>
            <w:r>
              <w:rPr>
                <w:webHidden/>
              </w:rPr>
              <w:t>67</w:t>
            </w:r>
            <w:r>
              <w:rPr>
                <w:webHidden/>
              </w:rPr>
              <w:fldChar w:fldCharType="end"/>
            </w:r>
          </w:hyperlink>
        </w:p>
        <w:p w14:paraId="0B023A41" w14:textId="03C20E5D"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28" w:history="1">
            <w:r w:rsidRPr="005D716E">
              <w:rPr>
                <w:rStyle w:val="Lienhypertexte"/>
              </w:rPr>
              <w:t>A1.</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State of the art for the clinical evaluation</w:t>
            </w:r>
            <w:r>
              <w:rPr>
                <w:webHidden/>
              </w:rPr>
              <w:tab/>
            </w:r>
            <w:r>
              <w:rPr>
                <w:webHidden/>
              </w:rPr>
              <w:fldChar w:fldCharType="begin"/>
            </w:r>
            <w:r>
              <w:rPr>
                <w:webHidden/>
              </w:rPr>
              <w:instrText xml:space="preserve"> PAGEREF _Toc236912928 \h </w:instrText>
            </w:r>
            <w:r>
              <w:rPr>
                <w:webHidden/>
              </w:rPr>
            </w:r>
            <w:r>
              <w:rPr>
                <w:webHidden/>
              </w:rPr>
              <w:fldChar w:fldCharType="separate"/>
            </w:r>
            <w:r>
              <w:rPr>
                <w:webHidden/>
              </w:rPr>
              <w:t>67</w:t>
            </w:r>
            <w:r>
              <w:rPr>
                <w:webHidden/>
              </w:rPr>
              <w:fldChar w:fldCharType="end"/>
            </w:r>
          </w:hyperlink>
        </w:p>
        <w:p w14:paraId="6F8191C6" w14:textId="0EFCEFCB"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29" w:history="1">
            <w:r w:rsidRPr="005D716E">
              <w:rPr>
                <w:rStyle w:val="Lienhypertexte"/>
                <w:rFonts w:asciiTheme="majorHAnsi" w:hAnsiTheme="majorHAnsi" w:cstheme="majorHAnsi"/>
              </w:rPr>
              <w:t>A1.1 When to identify State of the Art</w:t>
            </w:r>
            <w:r>
              <w:rPr>
                <w:webHidden/>
              </w:rPr>
              <w:tab/>
            </w:r>
            <w:r>
              <w:rPr>
                <w:webHidden/>
              </w:rPr>
              <w:fldChar w:fldCharType="begin"/>
            </w:r>
            <w:r>
              <w:rPr>
                <w:webHidden/>
              </w:rPr>
              <w:instrText xml:space="preserve"> PAGEREF _Toc236912929 \h </w:instrText>
            </w:r>
            <w:r>
              <w:rPr>
                <w:webHidden/>
              </w:rPr>
            </w:r>
            <w:r>
              <w:rPr>
                <w:webHidden/>
              </w:rPr>
              <w:fldChar w:fldCharType="separate"/>
            </w:r>
            <w:r>
              <w:rPr>
                <w:webHidden/>
              </w:rPr>
              <w:t>67</w:t>
            </w:r>
            <w:r>
              <w:rPr>
                <w:webHidden/>
              </w:rPr>
              <w:fldChar w:fldCharType="end"/>
            </w:r>
          </w:hyperlink>
        </w:p>
        <w:p w14:paraId="58C241AE" w14:textId="3594A1A7"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30" w:history="1">
            <w:r w:rsidRPr="005D716E">
              <w:rPr>
                <w:rStyle w:val="Lienhypertexte"/>
                <w:rFonts w:asciiTheme="majorHAnsi" w:hAnsiTheme="majorHAnsi" w:cstheme="majorHAnsi"/>
              </w:rPr>
              <w:t>A1.2 Identification of data and information (literature searches)</w:t>
            </w:r>
            <w:r>
              <w:rPr>
                <w:webHidden/>
              </w:rPr>
              <w:tab/>
            </w:r>
            <w:r>
              <w:rPr>
                <w:webHidden/>
              </w:rPr>
              <w:fldChar w:fldCharType="begin"/>
            </w:r>
            <w:r>
              <w:rPr>
                <w:webHidden/>
              </w:rPr>
              <w:instrText xml:space="preserve"> PAGEREF _Toc236912930 \h </w:instrText>
            </w:r>
            <w:r>
              <w:rPr>
                <w:webHidden/>
              </w:rPr>
            </w:r>
            <w:r>
              <w:rPr>
                <w:webHidden/>
              </w:rPr>
              <w:fldChar w:fldCharType="separate"/>
            </w:r>
            <w:r>
              <w:rPr>
                <w:webHidden/>
              </w:rPr>
              <w:t>68</w:t>
            </w:r>
            <w:r>
              <w:rPr>
                <w:webHidden/>
              </w:rPr>
              <w:fldChar w:fldCharType="end"/>
            </w:r>
          </w:hyperlink>
        </w:p>
        <w:p w14:paraId="2F5E87A7" w14:textId="7FB5784C"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31" w:history="1">
            <w:r w:rsidRPr="005D716E">
              <w:rPr>
                <w:rStyle w:val="Lienhypertexte"/>
                <w:rFonts w:asciiTheme="majorHAnsi" w:hAnsiTheme="majorHAnsi" w:cstheme="majorHAnsi"/>
              </w:rPr>
              <w:t>A1.3 Documenting</w:t>
            </w:r>
            <w:r>
              <w:rPr>
                <w:webHidden/>
              </w:rPr>
              <w:tab/>
            </w:r>
            <w:r>
              <w:rPr>
                <w:webHidden/>
              </w:rPr>
              <w:fldChar w:fldCharType="begin"/>
            </w:r>
            <w:r>
              <w:rPr>
                <w:webHidden/>
              </w:rPr>
              <w:instrText xml:space="preserve"> PAGEREF _Toc236912931 \h </w:instrText>
            </w:r>
            <w:r>
              <w:rPr>
                <w:webHidden/>
              </w:rPr>
            </w:r>
            <w:r>
              <w:rPr>
                <w:webHidden/>
              </w:rPr>
              <w:fldChar w:fldCharType="separate"/>
            </w:r>
            <w:r>
              <w:rPr>
                <w:webHidden/>
              </w:rPr>
              <w:t>68</w:t>
            </w:r>
            <w:r>
              <w:rPr>
                <w:webHidden/>
              </w:rPr>
              <w:fldChar w:fldCharType="end"/>
            </w:r>
          </w:hyperlink>
        </w:p>
        <w:p w14:paraId="5886EA88" w14:textId="56494947"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32" w:history="1">
            <w:r w:rsidRPr="005D716E">
              <w:rPr>
                <w:rStyle w:val="Lienhypertexte"/>
              </w:rPr>
              <w:t>A2.</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Device description - typical contents</w:t>
            </w:r>
            <w:r>
              <w:rPr>
                <w:webHidden/>
              </w:rPr>
              <w:tab/>
            </w:r>
            <w:r>
              <w:rPr>
                <w:webHidden/>
              </w:rPr>
              <w:fldChar w:fldCharType="begin"/>
            </w:r>
            <w:r>
              <w:rPr>
                <w:webHidden/>
              </w:rPr>
              <w:instrText xml:space="preserve"> PAGEREF _Toc236912932 \h </w:instrText>
            </w:r>
            <w:r>
              <w:rPr>
                <w:webHidden/>
              </w:rPr>
            </w:r>
            <w:r>
              <w:rPr>
                <w:webHidden/>
              </w:rPr>
              <w:fldChar w:fldCharType="separate"/>
            </w:r>
            <w:r>
              <w:rPr>
                <w:webHidden/>
              </w:rPr>
              <w:t>70</w:t>
            </w:r>
            <w:r>
              <w:rPr>
                <w:webHidden/>
              </w:rPr>
              <w:fldChar w:fldCharType="end"/>
            </w:r>
          </w:hyperlink>
        </w:p>
        <w:p w14:paraId="4AE04D94" w14:textId="4203C301"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33" w:history="1">
            <w:r w:rsidRPr="005D716E">
              <w:rPr>
                <w:rStyle w:val="Lienhypertexte"/>
              </w:rPr>
              <w:t>A3.</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Clinical evaluation plan typical content</w:t>
            </w:r>
            <w:r>
              <w:rPr>
                <w:webHidden/>
              </w:rPr>
              <w:tab/>
            </w:r>
            <w:r>
              <w:rPr>
                <w:webHidden/>
              </w:rPr>
              <w:fldChar w:fldCharType="begin"/>
            </w:r>
            <w:r>
              <w:rPr>
                <w:webHidden/>
              </w:rPr>
              <w:instrText xml:space="preserve"> PAGEREF _Toc236912933 \h </w:instrText>
            </w:r>
            <w:r>
              <w:rPr>
                <w:webHidden/>
              </w:rPr>
            </w:r>
            <w:r>
              <w:rPr>
                <w:webHidden/>
              </w:rPr>
              <w:fldChar w:fldCharType="separate"/>
            </w:r>
            <w:r>
              <w:rPr>
                <w:webHidden/>
              </w:rPr>
              <w:t>72</w:t>
            </w:r>
            <w:r>
              <w:rPr>
                <w:webHidden/>
              </w:rPr>
              <w:fldChar w:fldCharType="end"/>
            </w:r>
          </w:hyperlink>
        </w:p>
        <w:p w14:paraId="1A0D0F5E" w14:textId="76487118"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34" w:history="1">
            <w:r w:rsidRPr="005D716E">
              <w:rPr>
                <w:rStyle w:val="Lienhypertexte"/>
              </w:rPr>
              <w:t>A4.</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Clinical data for medical device software</w:t>
            </w:r>
            <w:r>
              <w:rPr>
                <w:webHidden/>
              </w:rPr>
              <w:tab/>
            </w:r>
            <w:r>
              <w:rPr>
                <w:webHidden/>
              </w:rPr>
              <w:fldChar w:fldCharType="begin"/>
            </w:r>
            <w:r>
              <w:rPr>
                <w:webHidden/>
              </w:rPr>
              <w:instrText xml:space="preserve"> PAGEREF _Toc236912934 \h </w:instrText>
            </w:r>
            <w:r>
              <w:rPr>
                <w:webHidden/>
              </w:rPr>
            </w:r>
            <w:r>
              <w:rPr>
                <w:webHidden/>
              </w:rPr>
              <w:fldChar w:fldCharType="separate"/>
            </w:r>
            <w:r>
              <w:rPr>
                <w:webHidden/>
              </w:rPr>
              <w:t>74</w:t>
            </w:r>
            <w:r>
              <w:rPr>
                <w:webHidden/>
              </w:rPr>
              <w:fldChar w:fldCharType="end"/>
            </w:r>
          </w:hyperlink>
        </w:p>
        <w:p w14:paraId="02135282" w14:textId="0DE1B9D5"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35" w:history="1">
            <w:r w:rsidRPr="005D716E">
              <w:rPr>
                <w:rStyle w:val="Lienhypertexte"/>
              </w:rPr>
              <w:t>A5.</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Sources of clinical data not held by the manufacturer (literature)</w:t>
            </w:r>
            <w:r>
              <w:rPr>
                <w:webHidden/>
              </w:rPr>
              <w:tab/>
            </w:r>
            <w:r>
              <w:rPr>
                <w:webHidden/>
              </w:rPr>
              <w:fldChar w:fldCharType="begin"/>
            </w:r>
            <w:r>
              <w:rPr>
                <w:webHidden/>
              </w:rPr>
              <w:instrText xml:space="preserve"> PAGEREF _Toc236912935 \h </w:instrText>
            </w:r>
            <w:r>
              <w:rPr>
                <w:webHidden/>
              </w:rPr>
            </w:r>
            <w:r>
              <w:rPr>
                <w:webHidden/>
              </w:rPr>
              <w:fldChar w:fldCharType="separate"/>
            </w:r>
            <w:r>
              <w:rPr>
                <w:webHidden/>
              </w:rPr>
              <w:t>75</w:t>
            </w:r>
            <w:r>
              <w:rPr>
                <w:webHidden/>
              </w:rPr>
              <w:fldChar w:fldCharType="end"/>
            </w:r>
          </w:hyperlink>
        </w:p>
        <w:p w14:paraId="3A50F209" w14:textId="2DF0DB5C"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36" w:history="1">
            <w:r w:rsidRPr="005D716E">
              <w:rPr>
                <w:rStyle w:val="Lienhypertexte"/>
              </w:rPr>
              <w:t>A6.</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Identification of available clinical data not held by the manufacturer, key elements for literature searches</w:t>
            </w:r>
            <w:r>
              <w:rPr>
                <w:webHidden/>
              </w:rPr>
              <w:tab/>
            </w:r>
            <w:r>
              <w:rPr>
                <w:webHidden/>
              </w:rPr>
              <w:fldChar w:fldCharType="begin"/>
            </w:r>
            <w:r>
              <w:rPr>
                <w:webHidden/>
              </w:rPr>
              <w:instrText xml:space="preserve"> PAGEREF _Toc236912936 \h </w:instrText>
            </w:r>
            <w:r>
              <w:rPr>
                <w:webHidden/>
              </w:rPr>
            </w:r>
            <w:r>
              <w:rPr>
                <w:webHidden/>
              </w:rPr>
              <w:fldChar w:fldCharType="separate"/>
            </w:r>
            <w:r>
              <w:rPr>
                <w:webHidden/>
              </w:rPr>
              <w:t>77</w:t>
            </w:r>
            <w:r>
              <w:rPr>
                <w:webHidden/>
              </w:rPr>
              <w:fldChar w:fldCharType="end"/>
            </w:r>
          </w:hyperlink>
        </w:p>
        <w:p w14:paraId="4E620E93" w14:textId="2EA77E32"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37" w:history="1">
            <w:r w:rsidRPr="005D716E">
              <w:rPr>
                <w:rStyle w:val="Lienhypertexte"/>
                <w:rFonts w:asciiTheme="majorHAnsi" w:hAnsiTheme="majorHAnsi" w:cstheme="majorHAnsi"/>
              </w:rPr>
              <w:t>A6.1 Methods</w:t>
            </w:r>
            <w:r>
              <w:rPr>
                <w:webHidden/>
              </w:rPr>
              <w:tab/>
            </w:r>
            <w:r>
              <w:rPr>
                <w:webHidden/>
              </w:rPr>
              <w:fldChar w:fldCharType="begin"/>
            </w:r>
            <w:r>
              <w:rPr>
                <w:webHidden/>
              </w:rPr>
              <w:instrText xml:space="preserve"> PAGEREF _Toc236912937 \h </w:instrText>
            </w:r>
            <w:r>
              <w:rPr>
                <w:webHidden/>
              </w:rPr>
            </w:r>
            <w:r>
              <w:rPr>
                <w:webHidden/>
              </w:rPr>
              <w:fldChar w:fldCharType="separate"/>
            </w:r>
            <w:r>
              <w:rPr>
                <w:webHidden/>
              </w:rPr>
              <w:t>77</w:t>
            </w:r>
            <w:r>
              <w:rPr>
                <w:webHidden/>
              </w:rPr>
              <w:fldChar w:fldCharType="end"/>
            </w:r>
          </w:hyperlink>
        </w:p>
        <w:p w14:paraId="22D5FCF0" w14:textId="4278F8FE"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38" w:history="1">
            <w:r w:rsidRPr="005D716E">
              <w:rPr>
                <w:rStyle w:val="Lienhypertexte"/>
                <w:rFonts w:asciiTheme="majorHAnsi" w:hAnsiTheme="majorHAnsi" w:cstheme="majorHAnsi"/>
              </w:rPr>
              <w:t>A6.2 Search protocol and report</w:t>
            </w:r>
            <w:r>
              <w:rPr>
                <w:webHidden/>
              </w:rPr>
              <w:tab/>
            </w:r>
            <w:r>
              <w:rPr>
                <w:webHidden/>
              </w:rPr>
              <w:fldChar w:fldCharType="begin"/>
            </w:r>
            <w:r>
              <w:rPr>
                <w:webHidden/>
              </w:rPr>
              <w:instrText xml:space="preserve"> PAGEREF _Toc236912938 \h </w:instrText>
            </w:r>
            <w:r>
              <w:rPr>
                <w:webHidden/>
              </w:rPr>
            </w:r>
            <w:r>
              <w:rPr>
                <w:webHidden/>
              </w:rPr>
              <w:fldChar w:fldCharType="separate"/>
            </w:r>
            <w:r>
              <w:rPr>
                <w:webHidden/>
              </w:rPr>
              <w:t>78</w:t>
            </w:r>
            <w:r>
              <w:rPr>
                <w:webHidden/>
              </w:rPr>
              <w:fldChar w:fldCharType="end"/>
            </w:r>
          </w:hyperlink>
        </w:p>
        <w:p w14:paraId="06554D5F" w14:textId="1236D188"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39" w:history="1">
            <w:r w:rsidRPr="005D716E">
              <w:rPr>
                <w:rStyle w:val="Lienhypertexte"/>
              </w:rPr>
              <w:t>A7.</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Appraisal of relevant clinical data - examples of studies that lack scientific validity for demonstration of clinical performance and/or clinical safety</w:t>
            </w:r>
            <w:r>
              <w:rPr>
                <w:webHidden/>
              </w:rPr>
              <w:tab/>
            </w:r>
            <w:r>
              <w:rPr>
                <w:webHidden/>
              </w:rPr>
              <w:fldChar w:fldCharType="begin"/>
            </w:r>
            <w:r>
              <w:rPr>
                <w:webHidden/>
              </w:rPr>
              <w:instrText xml:space="preserve"> PAGEREF _Toc236912939 \h </w:instrText>
            </w:r>
            <w:r>
              <w:rPr>
                <w:webHidden/>
              </w:rPr>
            </w:r>
            <w:r>
              <w:rPr>
                <w:webHidden/>
              </w:rPr>
              <w:fldChar w:fldCharType="separate"/>
            </w:r>
            <w:r>
              <w:rPr>
                <w:webHidden/>
              </w:rPr>
              <w:t>80</w:t>
            </w:r>
            <w:r>
              <w:rPr>
                <w:webHidden/>
              </w:rPr>
              <w:fldChar w:fldCharType="end"/>
            </w:r>
          </w:hyperlink>
        </w:p>
        <w:p w14:paraId="1185E23F" w14:textId="13CFA949"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40" w:history="1">
            <w:r w:rsidRPr="005D716E">
              <w:rPr>
                <w:rStyle w:val="Lienhypertexte"/>
              </w:rPr>
              <w:t>A8.</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Use of data from retrospective studies</w:t>
            </w:r>
            <w:r>
              <w:rPr>
                <w:webHidden/>
              </w:rPr>
              <w:tab/>
            </w:r>
            <w:r>
              <w:rPr>
                <w:webHidden/>
              </w:rPr>
              <w:fldChar w:fldCharType="begin"/>
            </w:r>
            <w:r>
              <w:rPr>
                <w:webHidden/>
              </w:rPr>
              <w:instrText xml:space="preserve"> PAGEREF _Toc236912940 \h </w:instrText>
            </w:r>
            <w:r>
              <w:rPr>
                <w:webHidden/>
              </w:rPr>
            </w:r>
            <w:r>
              <w:rPr>
                <w:webHidden/>
              </w:rPr>
              <w:fldChar w:fldCharType="separate"/>
            </w:r>
            <w:r>
              <w:rPr>
                <w:webHidden/>
              </w:rPr>
              <w:t>82</w:t>
            </w:r>
            <w:r>
              <w:rPr>
                <w:webHidden/>
              </w:rPr>
              <w:fldChar w:fldCharType="end"/>
            </w:r>
          </w:hyperlink>
        </w:p>
        <w:p w14:paraId="58454F38" w14:textId="6A4D4A7D"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41" w:history="1">
            <w:r w:rsidRPr="005D716E">
              <w:rPr>
                <w:rStyle w:val="Lienhypertexte"/>
              </w:rPr>
              <w:t>A9.</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Relationship between GSPRs and clinical evaluation process</w:t>
            </w:r>
            <w:r>
              <w:rPr>
                <w:webHidden/>
              </w:rPr>
              <w:tab/>
            </w:r>
            <w:r>
              <w:rPr>
                <w:webHidden/>
              </w:rPr>
              <w:fldChar w:fldCharType="begin"/>
            </w:r>
            <w:r>
              <w:rPr>
                <w:webHidden/>
              </w:rPr>
              <w:instrText xml:space="preserve"> PAGEREF _Toc236912941 \h </w:instrText>
            </w:r>
            <w:r>
              <w:rPr>
                <w:webHidden/>
              </w:rPr>
            </w:r>
            <w:r>
              <w:rPr>
                <w:webHidden/>
              </w:rPr>
              <w:fldChar w:fldCharType="separate"/>
            </w:r>
            <w:r>
              <w:rPr>
                <w:webHidden/>
              </w:rPr>
              <w:t>84</w:t>
            </w:r>
            <w:r>
              <w:rPr>
                <w:webHidden/>
              </w:rPr>
              <w:fldChar w:fldCharType="end"/>
            </w:r>
          </w:hyperlink>
        </w:p>
        <w:p w14:paraId="75FD0A5B" w14:textId="62E1B9B4"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42" w:history="1">
            <w:r w:rsidRPr="005D716E">
              <w:rPr>
                <w:rStyle w:val="Lienhypertexte"/>
                <w:rFonts w:asciiTheme="majorHAnsi" w:hAnsiTheme="majorHAnsi" w:cstheme="majorHAnsi"/>
              </w:rPr>
              <w:t>A9.1 General considerations for GSPRs that potentially require clinical data for confirmation of conformity</w:t>
            </w:r>
            <w:r>
              <w:rPr>
                <w:webHidden/>
              </w:rPr>
              <w:tab/>
            </w:r>
            <w:r>
              <w:rPr>
                <w:webHidden/>
              </w:rPr>
              <w:fldChar w:fldCharType="begin"/>
            </w:r>
            <w:r>
              <w:rPr>
                <w:webHidden/>
              </w:rPr>
              <w:instrText xml:space="preserve"> PAGEREF _Toc236912942 \h </w:instrText>
            </w:r>
            <w:r>
              <w:rPr>
                <w:webHidden/>
              </w:rPr>
            </w:r>
            <w:r>
              <w:rPr>
                <w:webHidden/>
              </w:rPr>
              <w:fldChar w:fldCharType="separate"/>
            </w:r>
            <w:r>
              <w:rPr>
                <w:webHidden/>
              </w:rPr>
              <w:t>85</w:t>
            </w:r>
            <w:r>
              <w:rPr>
                <w:webHidden/>
              </w:rPr>
              <w:fldChar w:fldCharType="end"/>
            </w:r>
          </w:hyperlink>
        </w:p>
        <w:p w14:paraId="07833E4C" w14:textId="34914FDF"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43" w:history="1">
            <w:r w:rsidRPr="005D716E">
              <w:rPr>
                <w:rStyle w:val="Lienhypertexte"/>
                <w:rFonts w:asciiTheme="majorHAnsi" w:hAnsiTheme="majorHAnsi" w:cstheme="majorHAnsi"/>
              </w:rPr>
              <w:t>A9.2 Evaluation of the undesirable side-effects</w:t>
            </w:r>
            <w:r>
              <w:rPr>
                <w:webHidden/>
              </w:rPr>
              <w:tab/>
            </w:r>
            <w:r>
              <w:rPr>
                <w:webHidden/>
              </w:rPr>
              <w:fldChar w:fldCharType="begin"/>
            </w:r>
            <w:r>
              <w:rPr>
                <w:webHidden/>
              </w:rPr>
              <w:instrText xml:space="preserve"> PAGEREF _Toc236912943 \h </w:instrText>
            </w:r>
            <w:r>
              <w:rPr>
                <w:webHidden/>
              </w:rPr>
            </w:r>
            <w:r>
              <w:rPr>
                <w:webHidden/>
              </w:rPr>
              <w:fldChar w:fldCharType="separate"/>
            </w:r>
            <w:r>
              <w:rPr>
                <w:webHidden/>
              </w:rPr>
              <w:t>92</w:t>
            </w:r>
            <w:r>
              <w:rPr>
                <w:webHidden/>
              </w:rPr>
              <w:fldChar w:fldCharType="end"/>
            </w:r>
          </w:hyperlink>
        </w:p>
        <w:p w14:paraId="50F99930" w14:textId="53EF00DD" w:rsidR="00B8162A" w:rsidRDefault="00B8162A">
          <w:pPr>
            <w:pStyle w:val="TM2"/>
            <w:rPr>
              <w:rFonts w:asciiTheme="minorHAnsi" w:eastAsiaTheme="minorEastAsia" w:hAnsiTheme="minorHAnsi" w:cstheme="minorBidi"/>
              <w:kern w:val="2"/>
              <w:sz w:val="24"/>
              <w:szCs w:val="24"/>
              <w:lang w:val="en-IE" w:eastAsia="en-IE"/>
              <w14:ligatures w14:val="standardContextual"/>
            </w:rPr>
          </w:pPr>
          <w:hyperlink w:anchor="_Toc236912944" w:history="1">
            <w:r w:rsidRPr="005D716E">
              <w:rPr>
                <w:rStyle w:val="Lienhypertexte"/>
                <w:rFonts w:asciiTheme="majorHAnsi" w:hAnsiTheme="majorHAnsi" w:cstheme="majorHAnsi"/>
              </w:rPr>
              <w:t>A9.3 Evaluation of the acceptability of the benefit-risk profile</w:t>
            </w:r>
            <w:r>
              <w:rPr>
                <w:webHidden/>
              </w:rPr>
              <w:tab/>
            </w:r>
            <w:r>
              <w:rPr>
                <w:webHidden/>
              </w:rPr>
              <w:fldChar w:fldCharType="begin"/>
            </w:r>
            <w:r>
              <w:rPr>
                <w:webHidden/>
              </w:rPr>
              <w:instrText xml:space="preserve"> PAGEREF _Toc236912944 \h </w:instrText>
            </w:r>
            <w:r>
              <w:rPr>
                <w:webHidden/>
              </w:rPr>
            </w:r>
            <w:r>
              <w:rPr>
                <w:webHidden/>
              </w:rPr>
              <w:fldChar w:fldCharType="separate"/>
            </w:r>
            <w:r>
              <w:rPr>
                <w:webHidden/>
              </w:rPr>
              <w:t>93</w:t>
            </w:r>
            <w:r>
              <w:rPr>
                <w:webHidden/>
              </w:rPr>
              <w:fldChar w:fldCharType="end"/>
            </w:r>
          </w:hyperlink>
        </w:p>
        <w:p w14:paraId="1276AD64" w14:textId="27781295"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45" w:history="1">
            <w:r w:rsidRPr="005D716E">
              <w:rPr>
                <w:rStyle w:val="Lienhypertexte"/>
              </w:rPr>
              <w:t>A10.</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How to specify and justify the level of clinical evidence necessary</w:t>
            </w:r>
            <w:r>
              <w:rPr>
                <w:webHidden/>
              </w:rPr>
              <w:tab/>
            </w:r>
            <w:r>
              <w:rPr>
                <w:webHidden/>
              </w:rPr>
              <w:fldChar w:fldCharType="begin"/>
            </w:r>
            <w:r>
              <w:rPr>
                <w:webHidden/>
              </w:rPr>
              <w:instrText xml:space="preserve"> PAGEREF _Toc236912945 \h </w:instrText>
            </w:r>
            <w:r>
              <w:rPr>
                <w:webHidden/>
              </w:rPr>
            </w:r>
            <w:r>
              <w:rPr>
                <w:webHidden/>
              </w:rPr>
              <w:fldChar w:fldCharType="separate"/>
            </w:r>
            <w:r>
              <w:rPr>
                <w:webHidden/>
              </w:rPr>
              <w:t>96</w:t>
            </w:r>
            <w:r>
              <w:rPr>
                <w:webHidden/>
              </w:rPr>
              <w:fldChar w:fldCharType="end"/>
            </w:r>
          </w:hyperlink>
        </w:p>
        <w:p w14:paraId="6DE69ED5" w14:textId="3EADA87C"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46" w:history="1">
            <w:r w:rsidRPr="005D716E">
              <w:rPr>
                <w:rStyle w:val="Lienhypertexte"/>
              </w:rPr>
              <w:t>A11.</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Clinical evaluation report - proposed table of contents, examples of contents</w:t>
            </w:r>
            <w:r>
              <w:rPr>
                <w:webHidden/>
              </w:rPr>
              <w:tab/>
            </w:r>
            <w:r>
              <w:rPr>
                <w:webHidden/>
              </w:rPr>
              <w:fldChar w:fldCharType="begin"/>
            </w:r>
            <w:r>
              <w:rPr>
                <w:webHidden/>
              </w:rPr>
              <w:instrText xml:space="preserve"> PAGEREF _Toc236912946 \h </w:instrText>
            </w:r>
            <w:r>
              <w:rPr>
                <w:webHidden/>
              </w:rPr>
            </w:r>
            <w:r>
              <w:rPr>
                <w:webHidden/>
              </w:rPr>
              <w:fldChar w:fldCharType="separate"/>
            </w:r>
            <w:r>
              <w:rPr>
                <w:webHidden/>
              </w:rPr>
              <w:t>99</w:t>
            </w:r>
            <w:r>
              <w:rPr>
                <w:webHidden/>
              </w:rPr>
              <w:fldChar w:fldCharType="end"/>
            </w:r>
          </w:hyperlink>
        </w:p>
        <w:p w14:paraId="4368327C" w14:textId="619CA7AA" w:rsidR="00B8162A" w:rsidRDefault="00B8162A">
          <w:pPr>
            <w:pStyle w:val="TM1"/>
            <w:rPr>
              <w:rFonts w:asciiTheme="minorHAnsi" w:eastAsiaTheme="minorEastAsia" w:hAnsiTheme="minorHAnsi" w:cstheme="minorBidi"/>
              <w:b w:val="0"/>
              <w:color w:val="auto"/>
              <w:kern w:val="2"/>
              <w:sz w:val="24"/>
              <w:szCs w:val="24"/>
              <w:lang w:val="en-IE" w:eastAsia="en-IE"/>
              <w14:ligatures w14:val="standardContextual"/>
            </w:rPr>
          </w:pPr>
          <w:hyperlink w:anchor="_Toc236912947" w:history="1">
            <w:r w:rsidRPr="005D716E">
              <w:rPr>
                <w:rStyle w:val="Lienhypertexte"/>
              </w:rPr>
              <w:t>A12.</w:t>
            </w:r>
            <w:r>
              <w:rPr>
                <w:rFonts w:asciiTheme="minorHAnsi" w:eastAsiaTheme="minorEastAsia" w:hAnsiTheme="minorHAnsi" w:cstheme="minorBidi"/>
                <w:b w:val="0"/>
                <w:color w:val="auto"/>
                <w:kern w:val="2"/>
                <w:sz w:val="24"/>
                <w:szCs w:val="24"/>
                <w:lang w:val="en-IE" w:eastAsia="en-IE"/>
                <w14:ligatures w14:val="standardContextual"/>
              </w:rPr>
              <w:tab/>
            </w:r>
            <w:r w:rsidRPr="005D716E">
              <w:rPr>
                <w:rStyle w:val="Lienhypertexte"/>
              </w:rPr>
              <w:t>Proposed checklist for the release of the clinical evaluation report</w:t>
            </w:r>
            <w:r>
              <w:rPr>
                <w:webHidden/>
              </w:rPr>
              <w:tab/>
            </w:r>
            <w:r>
              <w:rPr>
                <w:webHidden/>
              </w:rPr>
              <w:fldChar w:fldCharType="begin"/>
            </w:r>
            <w:r>
              <w:rPr>
                <w:webHidden/>
              </w:rPr>
              <w:instrText xml:space="preserve"> PAGEREF _Toc236912947 \h </w:instrText>
            </w:r>
            <w:r>
              <w:rPr>
                <w:webHidden/>
              </w:rPr>
            </w:r>
            <w:r>
              <w:rPr>
                <w:webHidden/>
              </w:rPr>
              <w:fldChar w:fldCharType="separate"/>
            </w:r>
            <w:r>
              <w:rPr>
                <w:webHidden/>
              </w:rPr>
              <w:t>107</w:t>
            </w:r>
            <w:r>
              <w:rPr>
                <w:webHidden/>
              </w:rPr>
              <w:fldChar w:fldCharType="end"/>
            </w:r>
          </w:hyperlink>
        </w:p>
        <w:p w14:paraId="30A737F3" w14:textId="0F65A879" w:rsidR="00EA7AFE" w:rsidRPr="003015CD" w:rsidRDefault="00EA7AFE" w:rsidP="00081885">
          <w:pPr>
            <w:spacing w:before="0"/>
            <w:jc w:val="both"/>
            <w:rPr>
              <w:rFonts w:asciiTheme="majorHAnsi" w:hAnsiTheme="majorHAnsi" w:cstheme="majorHAnsi"/>
              <w:color w:val="000000" w:themeColor="text1"/>
            </w:rPr>
          </w:pPr>
          <w:r w:rsidRPr="003015CD">
            <w:rPr>
              <w:rFonts w:asciiTheme="majorHAnsi" w:hAnsiTheme="majorHAnsi" w:cstheme="majorHAnsi"/>
              <w:bCs/>
              <w:color w:val="000000" w:themeColor="text1"/>
            </w:rPr>
            <w:fldChar w:fldCharType="end"/>
          </w:r>
        </w:p>
      </w:sdtContent>
    </w:sdt>
    <w:p w14:paraId="687ED4E2" w14:textId="77777777" w:rsidR="00570501" w:rsidRPr="003015CD" w:rsidRDefault="00570501" w:rsidP="00081885">
      <w:pPr>
        <w:pStyle w:val="Corpsdetexte"/>
        <w:jc w:val="both"/>
        <w:rPr>
          <w:rFonts w:asciiTheme="majorHAnsi" w:hAnsiTheme="majorHAnsi" w:cstheme="majorHAnsi"/>
          <w:color w:val="000000" w:themeColor="text1"/>
          <w:sz w:val="24"/>
        </w:rPr>
      </w:pPr>
    </w:p>
    <w:p w14:paraId="5BBA9FDA" w14:textId="4F85B2CA" w:rsidR="005F004D" w:rsidRPr="003015CD" w:rsidRDefault="0009544A" w:rsidP="00081885">
      <w:pPr>
        <w:pStyle w:val="Titre1"/>
        <w:pageBreakBefore/>
        <w:ind w:left="426"/>
        <w:jc w:val="both"/>
        <w:rPr>
          <w:rFonts w:asciiTheme="majorHAnsi" w:hAnsiTheme="majorHAnsi" w:cstheme="majorHAnsi"/>
          <w:color w:val="000000" w:themeColor="text1"/>
        </w:rPr>
      </w:pPr>
      <w:bookmarkStart w:id="2" w:name="_Toc446499021"/>
      <w:bookmarkStart w:id="3" w:name="_Ref170995916"/>
      <w:bookmarkStart w:id="4" w:name="_Toc236912863"/>
      <w:r w:rsidRPr="003015CD">
        <w:rPr>
          <w:rFonts w:asciiTheme="majorHAnsi" w:hAnsiTheme="majorHAnsi" w:cstheme="majorHAnsi"/>
          <w:color w:val="000000" w:themeColor="text1"/>
        </w:rPr>
        <w:lastRenderedPageBreak/>
        <w:t>Introduction</w:t>
      </w:r>
      <w:bookmarkEnd w:id="2"/>
      <w:bookmarkEnd w:id="3"/>
      <w:bookmarkEnd w:id="4"/>
    </w:p>
    <w:p w14:paraId="798014A9" w14:textId="6E37520F" w:rsidR="005331CB" w:rsidRPr="003015CD" w:rsidRDefault="00222D7A"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Pursuant to Chapter VI of Regulation </w:t>
      </w:r>
      <w:r w:rsidR="006666E1" w:rsidRPr="003015CD">
        <w:rPr>
          <w:rFonts w:asciiTheme="majorHAnsi" w:hAnsiTheme="majorHAnsi" w:cstheme="majorBidi"/>
          <w:color w:val="000000" w:themeColor="text1"/>
        </w:rPr>
        <w:t xml:space="preserve">(EU) </w:t>
      </w:r>
      <w:r w:rsidRPr="003015CD">
        <w:rPr>
          <w:rFonts w:asciiTheme="majorHAnsi" w:hAnsiTheme="majorHAnsi" w:cstheme="majorBidi"/>
          <w:color w:val="000000" w:themeColor="text1"/>
        </w:rPr>
        <w:t>2017/745</w:t>
      </w:r>
      <w:r w:rsidR="000B3BF2" w:rsidRPr="003015CD">
        <w:rPr>
          <w:rFonts w:asciiTheme="majorHAnsi" w:hAnsiTheme="majorHAnsi" w:cstheme="majorBidi"/>
          <w:color w:val="000000" w:themeColor="text1"/>
        </w:rPr>
        <w:t xml:space="preserve">, hereafter referred to as the </w:t>
      </w:r>
      <w:r w:rsidR="006666E1" w:rsidRPr="003015CD">
        <w:rPr>
          <w:rFonts w:asciiTheme="majorHAnsi" w:hAnsiTheme="majorHAnsi" w:cstheme="majorBidi"/>
          <w:color w:val="000000" w:themeColor="text1"/>
        </w:rPr>
        <w:t>Medical Device Regulation</w:t>
      </w:r>
      <w:r w:rsidR="000B3BF2" w:rsidRPr="003015CD">
        <w:rPr>
          <w:rFonts w:asciiTheme="majorHAnsi" w:hAnsiTheme="majorHAnsi" w:cstheme="majorBidi"/>
          <w:color w:val="000000" w:themeColor="text1"/>
        </w:rPr>
        <w:t xml:space="preserve"> (MDR</w:t>
      </w:r>
      <w:r w:rsidR="0080276E"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the </w:t>
      </w:r>
      <w:r w:rsidR="002C74BF" w:rsidRPr="003015CD">
        <w:rPr>
          <w:rFonts w:asciiTheme="majorHAnsi" w:hAnsiTheme="majorHAnsi" w:cstheme="majorBidi"/>
          <w:color w:val="000000" w:themeColor="text1"/>
        </w:rPr>
        <w:t>confirmation</w:t>
      </w:r>
      <w:r w:rsidRPr="003015CD">
        <w:rPr>
          <w:rFonts w:asciiTheme="majorHAnsi" w:hAnsiTheme="majorHAnsi" w:cstheme="majorBidi"/>
          <w:color w:val="000000" w:themeColor="text1"/>
        </w:rPr>
        <w:t xml:space="preserve"> of conformity with </w:t>
      </w:r>
      <w:r w:rsidR="0085068B" w:rsidRPr="003015CD">
        <w:rPr>
          <w:rFonts w:asciiTheme="majorHAnsi" w:hAnsiTheme="majorHAnsi" w:cstheme="majorBidi"/>
          <w:color w:val="000000" w:themeColor="text1"/>
        </w:rPr>
        <w:t xml:space="preserve">relevant </w:t>
      </w:r>
      <w:r w:rsidRPr="003015CD">
        <w:rPr>
          <w:rFonts w:asciiTheme="majorHAnsi" w:hAnsiTheme="majorHAnsi" w:cstheme="majorBidi"/>
          <w:color w:val="000000" w:themeColor="text1"/>
        </w:rPr>
        <w:t>General Safety and Performance Requirements (GSPR</w:t>
      </w:r>
      <w:r w:rsidR="00284309"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for a medical device must include a clinical evaluation, which is conducted in accordance with </w:t>
      </w:r>
      <w:r w:rsidR="006666E1" w:rsidRPr="003015CD">
        <w:rPr>
          <w:rFonts w:asciiTheme="majorHAnsi" w:hAnsiTheme="majorHAnsi" w:cstheme="majorBidi"/>
          <w:color w:val="000000" w:themeColor="text1"/>
        </w:rPr>
        <w:t xml:space="preserve">article 61 and </w:t>
      </w:r>
      <w:r w:rsidRPr="003015CD">
        <w:rPr>
          <w:rFonts w:asciiTheme="majorHAnsi" w:hAnsiTheme="majorHAnsi" w:cstheme="majorBidi"/>
          <w:color w:val="000000" w:themeColor="text1"/>
        </w:rPr>
        <w:t xml:space="preserve">Annex XIV to </w:t>
      </w:r>
      <w:r w:rsidR="002C74BF" w:rsidRPr="003015CD">
        <w:rPr>
          <w:rFonts w:asciiTheme="majorHAnsi" w:hAnsiTheme="majorHAnsi" w:cstheme="majorBidi"/>
          <w:color w:val="000000" w:themeColor="text1"/>
        </w:rPr>
        <w:t>MDR</w:t>
      </w:r>
      <w:r w:rsidRPr="003015CD">
        <w:rPr>
          <w:rFonts w:asciiTheme="majorHAnsi" w:hAnsiTheme="majorHAnsi" w:cstheme="majorBidi"/>
          <w:color w:val="000000" w:themeColor="text1"/>
        </w:rPr>
        <w:t>.</w:t>
      </w:r>
      <w:r w:rsidR="00F75E2D" w:rsidRPr="003015CD">
        <w:rPr>
          <w:rFonts w:asciiTheme="majorHAnsi" w:hAnsiTheme="majorHAnsi" w:cstheme="majorBidi"/>
          <w:color w:val="000000" w:themeColor="text1"/>
        </w:rPr>
        <w:t xml:space="preserve"> </w:t>
      </w:r>
      <w:r w:rsidR="00837827" w:rsidRPr="003015CD">
        <w:rPr>
          <w:rFonts w:asciiTheme="majorHAnsi" w:hAnsiTheme="majorHAnsi" w:cstheme="majorBidi"/>
          <w:color w:val="000000" w:themeColor="text1"/>
        </w:rPr>
        <w:t>This document promote</w:t>
      </w:r>
      <w:r w:rsidR="000326B8" w:rsidRPr="003015CD">
        <w:rPr>
          <w:rFonts w:asciiTheme="majorHAnsi" w:hAnsiTheme="majorHAnsi" w:cstheme="majorBidi"/>
          <w:color w:val="000000" w:themeColor="text1"/>
        </w:rPr>
        <w:t>s</w:t>
      </w:r>
      <w:r w:rsidR="00837827" w:rsidRPr="003015CD">
        <w:rPr>
          <w:rFonts w:asciiTheme="majorHAnsi" w:hAnsiTheme="majorHAnsi" w:cstheme="majorBidi"/>
          <w:color w:val="000000" w:themeColor="text1"/>
        </w:rPr>
        <w:t xml:space="preserve"> a common approach to </w:t>
      </w:r>
      <w:r w:rsidR="00732DCF" w:rsidRPr="003015CD">
        <w:rPr>
          <w:rFonts w:asciiTheme="majorHAnsi" w:hAnsiTheme="majorHAnsi" w:cstheme="majorBidi"/>
          <w:color w:val="000000" w:themeColor="text1"/>
        </w:rPr>
        <w:t>clinical evaluation</w:t>
      </w:r>
      <w:r w:rsidR="00837827" w:rsidRPr="003015CD">
        <w:rPr>
          <w:rFonts w:asciiTheme="majorHAnsi" w:hAnsiTheme="majorHAnsi" w:cstheme="majorBidi"/>
          <w:color w:val="000000" w:themeColor="text1"/>
        </w:rPr>
        <w:t xml:space="preserve"> for devices regulated by </w:t>
      </w:r>
      <w:r w:rsidR="005331CB" w:rsidRPr="003015CD">
        <w:rPr>
          <w:rFonts w:asciiTheme="majorHAnsi" w:hAnsiTheme="majorHAnsi" w:cstheme="majorBidi"/>
          <w:color w:val="000000" w:themeColor="text1"/>
        </w:rPr>
        <w:t>MDR</w:t>
      </w:r>
      <w:r w:rsidR="00837827" w:rsidRPr="003015CD">
        <w:rPr>
          <w:rFonts w:asciiTheme="majorHAnsi" w:hAnsiTheme="majorHAnsi" w:cstheme="majorBidi"/>
          <w:color w:val="000000" w:themeColor="text1"/>
        </w:rPr>
        <w:t>.</w:t>
      </w:r>
    </w:p>
    <w:p w14:paraId="62254F7F" w14:textId="7E108B6F" w:rsidR="005331CB" w:rsidRPr="003015CD" w:rsidRDefault="00596FF3"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depth and extent of </w:t>
      </w:r>
      <w:r w:rsidR="00732DCF" w:rsidRPr="003015CD">
        <w:rPr>
          <w:rFonts w:asciiTheme="majorHAnsi" w:hAnsiTheme="majorHAnsi" w:cstheme="majorHAnsi"/>
          <w:color w:val="000000" w:themeColor="text1"/>
        </w:rPr>
        <w:t>clinical evaluation</w:t>
      </w:r>
      <w:r w:rsidRPr="003015CD">
        <w:rPr>
          <w:rFonts w:asciiTheme="majorHAnsi" w:hAnsiTheme="majorHAnsi" w:cstheme="majorHAnsi"/>
          <w:color w:val="000000" w:themeColor="text1"/>
        </w:rPr>
        <w:t xml:space="preserve">s should be flexible and appropriate to the nature, </w:t>
      </w:r>
      <w:r w:rsidR="00523C10" w:rsidRPr="003015CD">
        <w:rPr>
          <w:rFonts w:asciiTheme="majorHAnsi" w:hAnsiTheme="majorHAnsi" w:cstheme="majorHAnsi"/>
          <w:color w:val="000000" w:themeColor="text1"/>
        </w:rPr>
        <w:t xml:space="preserve">classification, </w:t>
      </w:r>
      <w:r w:rsidR="0074647E" w:rsidRPr="003015CD">
        <w:rPr>
          <w:rFonts w:asciiTheme="majorHAnsi" w:hAnsiTheme="majorHAnsi" w:cstheme="majorHAnsi"/>
          <w:color w:val="000000" w:themeColor="text1"/>
        </w:rPr>
        <w:t>intended purpose</w:t>
      </w:r>
      <w:r w:rsidRPr="003015CD">
        <w:rPr>
          <w:rFonts w:asciiTheme="majorHAnsi" w:hAnsiTheme="majorHAnsi" w:cstheme="majorHAnsi"/>
          <w:color w:val="000000" w:themeColor="text1"/>
        </w:rPr>
        <w:t xml:space="preserve">, and </w:t>
      </w:r>
      <w:r w:rsidR="00EA1119" w:rsidRPr="003015CD">
        <w:rPr>
          <w:rFonts w:asciiTheme="majorHAnsi" w:hAnsiTheme="majorHAnsi" w:cstheme="majorHAnsi"/>
          <w:color w:val="000000" w:themeColor="text1"/>
        </w:rPr>
        <w:t>risk</w:t>
      </w:r>
      <w:r w:rsidRPr="003015CD">
        <w:rPr>
          <w:rFonts w:asciiTheme="majorHAnsi" w:hAnsiTheme="majorHAnsi" w:cstheme="majorHAnsi"/>
          <w:color w:val="000000" w:themeColor="text1"/>
        </w:rPr>
        <w:t>s of the device in question</w:t>
      </w:r>
      <w:r w:rsidR="000B6E78" w:rsidRPr="003015CD">
        <w:rPr>
          <w:rFonts w:asciiTheme="majorHAnsi" w:hAnsiTheme="majorHAnsi" w:cstheme="majorHAnsi"/>
          <w:color w:val="000000" w:themeColor="text1"/>
        </w:rPr>
        <w:t xml:space="preserve"> as well as to the manufacturer’s claims in respect of the device</w:t>
      </w:r>
      <w:r w:rsidRPr="003015CD">
        <w:rPr>
          <w:rFonts w:asciiTheme="majorHAnsi" w:hAnsiTheme="majorHAnsi" w:cstheme="majorHAnsi"/>
          <w:color w:val="000000" w:themeColor="text1"/>
        </w:rPr>
        <w:t xml:space="preserve">. </w:t>
      </w:r>
      <w:r w:rsidRPr="003015CD" w:rsidDel="00CE672E">
        <w:rPr>
          <w:rFonts w:asciiTheme="majorHAnsi" w:hAnsiTheme="majorHAnsi" w:cstheme="majorHAnsi"/>
          <w:color w:val="000000" w:themeColor="text1"/>
        </w:rPr>
        <w:t>Therefore, this guidance is not intended to impose device-specific requirements.</w:t>
      </w:r>
      <w:r w:rsidR="00D91112" w:rsidRPr="003015CD">
        <w:rPr>
          <w:rFonts w:asciiTheme="majorHAnsi" w:hAnsiTheme="majorHAnsi" w:cstheme="majorHAnsi"/>
          <w:color w:val="000000" w:themeColor="text1"/>
        </w:rPr>
        <w:t xml:space="preserve"> </w:t>
      </w:r>
      <w:r w:rsidR="0024350C" w:rsidRPr="003015CD">
        <w:rPr>
          <w:rFonts w:asciiTheme="majorHAnsi" w:hAnsiTheme="majorHAnsi" w:cstheme="majorHAnsi"/>
          <w:color w:val="000000" w:themeColor="text1"/>
        </w:rPr>
        <w:t>This document uses the terms "must", "shall",</w:t>
      </w:r>
      <w:r w:rsidR="00460B8E" w:rsidRPr="003015CD">
        <w:rPr>
          <w:rFonts w:asciiTheme="majorHAnsi" w:hAnsiTheme="majorHAnsi" w:cstheme="majorHAnsi"/>
          <w:color w:val="000000" w:themeColor="text1"/>
        </w:rPr>
        <w:t xml:space="preserve"> </w:t>
      </w:r>
      <w:r w:rsidR="0024350C" w:rsidRPr="003015CD">
        <w:rPr>
          <w:rFonts w:asciiTheme="majorHAnsi" w:hAnsiTheme="majorHAnsi" w:cstheme="majorHAnsi"/>
          <w:color w:val="000000" w:themeColor="text1"/>
        </w:rPr>
        <w:t>"have to" w</w:t>
      </w:r>
      <w:r w:rsidR="00DC2E8C" w:rsidRPr="003015CD">
        <w:rPr>
          <w:rFonts w:asciiTheme="majorHAnsi" w:hAnsiTheme="majorHAnsi" w:cstheme="majorHAnsi"/>
          <w:color w:val="000000" w:themeColor="text1"/>
        </w:rPr>
        <w:t>h</w:t>
      </w:r>
      <w:r w:rsidR="0024350C" w:rsidRPr="003015CD">
        <w:rPr>
          <w:rFonts w:asciiTheme="majorHAnsi" w:hAnsiTheme="majorHAnsi" w:cstheme="majorHAnsi"/>
          <w:color w:val="000000" w:themeColor="text1"/>
        </w:rPr>
        <w:t xml:space="preserve">ere these terms are used in the </w:t>
      </w:r>
      <w:r w:rsidR="00222D7A" w:rsidRPr="003015CD">
        <w:rPr>
          <w:rFonts w:asciiTheme="majorHAnsi" w:hAnsiTheme="majorHAnsi" w:cstheme="majorHAnsi"/>
          <w:color w:val="000000" w:themeColor="text1"/>
        </w:rPr>
        <w:t>Regulation</w:t>
      </w:r>
      <w:r w:rsidR="0024350C" w:rsidRPr="003015CD">
        <w:rPr>
          <w:rFonts w:asciiTheme="majorHAnsi" w:hAnsiTheme="majorHAnsi" w:cstheme="majorHAnsi"/>
          <w:color w:val="000000" w:themeColor="text1"/>
        </w:rPr>
        <w:t xml:space="preserve">. </w:t>
      </w:r>
      <w:r w:rsidR="00DC2E8C" w:rsidRPr="003015CD">
        <w:rPr>
          <w:rFonts w:asciiTheme="majorHAnsi" w:hAnsiTheme="majorHAnsi" w:cstheme="majorHAnsi"/>
          <w:color w:val="000000" w:themeColor="text1"/>
        </w:rPr>
        <w:t>"Should" is used in other instances.</w:t>
      </w:r>
      <w:r w:rsidR="000F5D60" w:rsidRPr="003015CD">
        <w:rPr>
          <w:rFonts w:asciiTheme="majorHAnsi" w:hAnsiTheme="majorHAnsi" w:cstheme="majorHAnsi"/>
          <w:color w:val="000000" w:themeColor="text1"/>
        </w:rPr>
        <w:t xml:space="preserve"> </w:t>
      </w:r>
      <w:r w:rsidR="003E6540" w:rsidRPr="003015CD">
        <w:rPr>
          <w:rFonts w:asciiTheme="majorHAnsi" w:hAnsiTheme="majorHAnsi" w:cstheme="majorHAnsi"/>
          <w:color w:val="000000" w:themeColor="text1"/>
        </w:rPr>
        <w:t>The terms "medical device" and "device" are used synonymously in this guidance document</w:t>
      </w:r>
      <w:r w:rsidR="00A15CD3" w:rsidRPr="003015CD">
        <w:rPr>
          <w:rFonts w:asciiTheme="majorHAnsi" w:hAnsiTheme="majorHAnsi" w:cstheme="majorHAnsi"/>
          <w:color w:val="000000" w:themeColor="text1"/>
        </w:rPr>
        <w:t xml:space="preserve">. </w:t>
      </w:r>
    </w:p>
    <w:p w14:paraId="571D6319" w14:textId="408DB197" w:rsidR="0045650B" w:rsidRPr="003015CD" w:rsidRDefault="00217530"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This guidance document replaces </w:t>
      </w:r>
      <w:r w:rsidR="00EC3EE4" w:rsidRPr="003015CD">
        <w:rPr>
          <w:rFonts w:ascii="Segoe UI" w:hAnsi="Segoe UI" w:cs="Segoe UI"/>
          <w:szCs w:val="18"/>
        </w:rPr>
        <w:t>MEDDEV 2.7.1 rev 4.</w:t>
      </w:r>
    </w:p>
    <w:p w14:paraId="6BA2057B" w14:textId="77777777" w:rsidR="00404836" w:rsidRPr="003015CD" w:rsidRDefault="00404836" w:rsidP="00081885">
      <w:pPr>
        <w:jc w:val="both"/>
        <w:rPr>
          <w:rFonts w:asciiTheme="majorHAnsi" w:hAnsiTheme="majorHAnsi" w:cstheme="majorHAnsi"/>
          <w:color w:val="000000" w:themeColor="text1"/>
        </w:rPr>
      </w:pPr>
    </w:p>
    <w:p w14:paraId="1D6FA8E0" w14:textId="2D3E4E0C" w:rsidR="0009544A" w:rsidRPr="003015CD" w:rsidRDefault="000A61E3" w:rsidP="00081885">
      <w:pPr>
        <w:pStyle w:val="Titre1"/>
        <w:ind w:left="426"/>
        <w:jc w:val="both"/>
        <w:rPr>
          <w:rFonts w:asciiTheme="majorHAnsi" w:hAnsiTheme="majorHAnsi" w:cstheme="majorHAnsi"/>
          <w:color w:val="000000" w:themeColor="text1"/>
        </w:rPr>
      </w:pPr>
      <w:bookmarkStart w:id="5" w:name="_Toc446499022"/>
      <w:bookmarkStart w:id="6" w:name="_Toc236912864"/>
      <w:r w:rsidRPr="003015CD">
        <w:rPr>
          <w:rFonts w:asciiTheme="majorHAnsi" w:hAnsiTheme="majorHAnsi" w:cstheme="majorHAnsi"/>
          <w:color w:val="000000" w:themeColor="text1"/>
        </w:rPr>
        <w:t>Scope</w:t>
      </w:r>
      <w:bookmarkEnd w:id="5"/>
      <w:bookmarkEnd w:id="6"/>
    </w:p>
    <w:p w14:paraId="79A231D0" w14:textId="497198FF" w:rsidR="004A2287" w:rsidRPr="003015CD" w:rsidRDefault="003C1917"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This guide is</w:t>
      </w:r>
      <w:r w:rsidR="00F800E5" w:rsidRPr="003015CD">
        <w:rPr>
          <w:rFonts w:asciiTheme="majorHAnsi" w:hAnsiTheme="majorHAnsi" w:cstheme="majorBidi"/>
          <w:color w:val="000000" w:themeColor="text1"/>
        </w:rPr>
        <w:t xml:space="preserve"> not legally binding</w:t>
      </w:r>
      <w:r w:rsidR="005B0BB2" w:rsidRPr="003015CD">
        <w:rPr>
          <w:rFonts w:asciiTheme="majorHAnsi" w:hAnsiTheme="majorHAnsi" w:cstheme="majorBidi"/>
          <w:color w:val="000000" w:themeColor="text1"/>
        </w:rPr>
        <w:t>;</w:t>
      </w:r>
      <w:r w:rsidR="00085D68" w:rsidRPr="003015CD">
        <w:rPr>
          <w:rFonts w:asciiTheme="majorHAnsi" w:hAnsiTheme="majorHAnsi" w:cstheme="majorBidi"/>
          <w:color w:val="000000" w:themeColor="text1"/>
        </w:rPr>
        <w:t xml:space="preserve"> only the text of </w:t>
      </w:r>
      <w:r w:rsidR="00032DF8" w:rsidRPr="003015CD">
        <w:rPr>
          <w:rFonts w:asciiTheme="majorHAnsi" w:hAnsiTheme="majorHAnsi" w:cstheme="majorBidi"/>
          <w:color w:val="000000" w:themeColor="text1"/>
        </w:rPr>
        <w:t>MDR</w:t>
      </w:r>
      <w:r w:rsidR="00222D7A" w:rsidRPr="003015CD">
        <w:rPr>
          <w:rFonts w:asciiTheme="majorHAnsi" w:hAnsiTheme="majorHAnsi" w:cstheme="majorBidi"/>
          <w:color w:val="000000" w:themeColor="text1"/>
        </w:rPr>
        <w:t xml:space="preserve"> </w:t>
      </w:r>
      <w:r w:rsidR="00085D68" w:rsidRPr="003015CD">
        <w:rPr>
          <w:rFonts w:asciiTheme="majorHAnsi" w:hAnsiTheme="majorHAnsi" w:cstheme="majorBidi"/>
          <w:color w:val="000000" w:themeColor="text1"/>
        </w:rPr>
        <w:t>is authentic in law</w:t>
      </w:r>
      <w:r w:rsidR="00F800E5" w:rsidRPr="003015CD">
        <w:rPr>
          <w:rFonts w:asciiTheme="majorHAnsi" w:hAnsiTheme="majorHAnsi" w:cstheme="majorBidi"/>
          <w:color w:val="000000" w:themeColor="text1"/>
        </w:rPr>
        <w:t>. It is recognised that under given circumstances, for example as a result of scientific developments, an alternative approach may be possible or appropriate to comply with the legal requirements.</w:t>
      </w:r>
      <w:r w:rsidR="00D91112" w:rsidRPr="003015CD">
        <w:rPr>
          <w:rFonts w:asciiTheme="majorHAnsi" w:hAnsiTheme="majorHAnsi" w:cstheme="majorBidi"/>
          <w:color w:val="000000" w:themeColor="text1"/>
        </w:rPr>
        <w:t xml:space="preserve"> </w:t>
      </w:r>
      <w:r w:rsidR="00F800E5" w:rsidRPr="003015CD">
        <w:rPr>
          <w:rFonts w:asciiTheme="majorHAnsi" w:hAnsiTheme="majorHAnsi" w:cstheme="majorBidi"/>
          <w:color w:val="000000" w:themeColor="text1"/>
        </w:rPr>
        <w:t xml:space="preserve">Nevertheless, due to the participation of interested parties and of experts from </w:t>
      </w:r>
      <w:r w:rsidR="00085D68" w:rsidRPr="003015CD">
        <w:rPr>
          <w:rFonts w:asciiTheme="majorHAnsi" w:hAnsiTheme="majorHAnsi" w:cstheme="majorBidi"/>
          <w:color w:val="000000" w:themeColor="text1"/>
        </w:rPr>
        <w:t>n</w:t>
      </w:r>
      <w:r w:rsidR="00F800E5" w:rsidRPr="003015CD">
        <w:rPr>
          <w:rFonts w:asciiTheme="majorHAnsi" w:hAnsiTheme="majorHAnsi" w:cstheme="majorBidi"/>
          <w:color w:val="000000" w:themeColor="text1"/>
        </w:rPr>
        <w:t xml:space="preserve">ational </w:t>
      </w:r>
      <w:r w:rsidR="311E25F8" w:rsidRPr="003015CD">
        <w:rPr>
          <w:rFonts w:asciiTheme="majorHAnsi" w:hAnsiTheme="majorHAnsi" w:cstheme="majorBidi"/>
          <w:color w:val="000000" w:themeColor="text1"/>
        </w:rPr>
        <w:t>competent</w:t>
      </w:r>
      <w:r w:rsidR="00F800E5" w:rsidRPr="003015CD">
        <w:rPr>
          <w:rFonts w:asciiTheme="majorHAnsi" w:hAnsiTheme="majorHAnsi" w:cstheme="majorBidi"/>
          <w:color w:val="000000" w:themeColor="text1"/>
        </w:rPr>
        <w:t xml:space="preserve"> Authorities, it is anticipated that </w:t>
      </w:r>
      <w:r w:rsidRPr="003015CD">
        <w:rPr>
          <w:rFonts w:asciiTheme="majorHAnsi" w:hAnsiTheme="majorHAnsi" w:cstheme="majorBidi"/>
          <w:color w:val="000000" w:themeColor="text1"/>
        </w:rPr>
        <w:t>this guide</w:t>
      </w:r>
      <w:r w:rsidR="00F800E5" w:rsidRPr="003015CD">
        <w:rPr>
          <w:rFonts w:asciiTheme="majorHAnsi" w:hAnsiTheme="majorHAnsi" w:cstheme="majorBidi"/>
          <w:color w:val="000000" w:themeColor="text1"/>
        </w:rPr>
        <w:t xml:space="preserve"> will be followed within the Member States</w:t>
      </w:r>
      <w:r w:rsidR="005B0BB2" w:rsidRPr="003015CD">
        <w:rPr>
          <w:rFonts w:asciiTheme="majorHAnsi" w:hAnsiTheme="majorHAnsi" w:cstheme="majorBidi"/>
          <w:color w:val="000000" w:themeColor="text1"/>
        </w:rPr>
        <w:t>,</w:t>
      </w:r>
      <w:r w:rsidR="00F800E5" w:rsidRPr="003015CD">
        <w:rPr>
          <w:rFonts w:asciiTheme="majorHAnsi" w:hAnsiTheme="majorHAnsi" w:cstheme="majorBidi"/>
          <w:color w:val="000000" w:themeColor="text1"/>
        </w:rPr>
        <w:t xml:space="preserve"> </w:t>
      </w:r>
      <w:r w:rsidR="00085D68" w:rsidRPr="003015CD">
        <w:rPr>
          <w:rFonts w:asciiTheme="majorHAnsi" w:hAnsiTheme="majorHAnsi" w:cstheme="majorBidi"/>
          <w:color w:val="000000" w:themeColor="text1"/>
        </w:rPr>
        <w:t xml:space="preserve">thereby </w:t>
      </w:r>
      <w:r w:rsidR="00F800E5" w:rsidRPr="003015CD">
        <w:rPr>
          <w:rFonts w:asciiTheme="majorHAnsi" w:hAnsiTheme="majorHAnsi" w:cstheme="majorBidi"/>
          <w:color w:val="000000" w:themeColor="text1"/>
        </w:rPr>
        <w:t>support</w:t>
      </w:r>
      <w:r w:rsidR="00085D68" w:rsidRPr="003015CD">
        <w:rPr>
          <w:rFonts w:asciiTheme="majorHAnsi" w:hAnsiTheme="majorHAnsi" w:cstheme="majorBidi"/>
          <w:color w:val="000000" w:themeColor="text1"/>
        </w:rPr>
        <w:t>ing</w:t>
      </w:r>
      <w:r w:rsidR="00F800E5" w:rsidRPr="003015CD">
        <w:rPr>
          <w:rFonts w:asciiTheme="majorHAnsi" w:hAnsiTheme="majorHAnsi" w:cstheme="majorBidi"/>
          <w:color w:val="000000" w:themeColor="text1"/>
        </w:rPr>
        <w:t xml:space="preserve"> uniform application of relevant </w:t>
      </w:r>
      <w:r w:rsidR="00085D68" w:rsidRPr="003015CD">
        <w:rPr>
          <w:rFonts w:asciiTheme="majorHAnsi" w:hAnsiTheme="majorHAnsi" w:cstheme="majorBidi"/>
          <w:color w:val="000000" w:themeColor="text1"/>
        </w:rPr>
        <w:t xml:space="preserve">provisions of </w:t>
      </w:r>
      <w:r w:rsidR="00F800E5" w:rsidRPr="003015CD">
        <w:rPr>
          <w:rFonts w:asciiTheme="majorHAnsi" w:hAnsiTheme="majorHAnsi" w:cstheme="majorBidi"/>
          <w:color w:val="000000" w:themeColor="text1"/>
        </w:rPr>
        <w:t xml:space="preserve">EU </w:t>
      </w:r>
      <w:r w:rsidR="007059DF" w:rsidRPr="003015CD">
        <w:rPr>
          <w:rFonts w:asciiTheme="majorHAnsi" w:hAnsiTheme="majorHAnsi" w:cstheme="majorBidi"/>
          <w:color w:val="000000" w:themeColor="text1"/>
        </w:rPr>
        <w:t xml:space="preserve">Regulation </w:t>
      </w:r>
      <w:r w:rsidR="00F800E5" w:rsidRPr="003015CD">
        <w:rPr>
          <w:rFonts w:asciiTheme="majorHAnsi" w:hAnsiTheme="majorHAnsi" w:cstheme="majorBidi"/>
          <w:color w:val="000000" w:themeColor="text1"/>
        </w:rPr>
        <w:t>and common practices.</w:t>
      </w:r>
      <w:r w:rsidR="00D91112"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 xml:space="preserve">This guide is </w:t>
      </w:r>
      <w:r w:rsidR="004A2287" w:rsidRPr="003015CD">
        <w:rPr>
          <w:rFonts w:asciiTheme="majorHAnsi" w:hAnsiTheme="majorHAnsi" w:cstheme="majorBidi"/>
          <w:color w:val="000000" w:themeColor="text1"/>
        </w:rPr>
        <w:t xml:space="preserve">regularly updated according to regulatory developments. The latest version of the </w:t>
      </w:r>
      <w:r w:rsidRPr="003015CD">
        <w:rPr>
          <w:rFonts w:asciiTheme="majorHAnsi" w:hAnsiTheme="majorHAnsi" w:cstheme="majorBidi"/>
          <w:color w:val="000000" w:themeColor="text1"/>
        </w:rPr>
        <w:t>guide</w:t>
      </w:r>
      <w:r w:rsidR="004A2287" w:rsidRPr="003015CD">
        <w:rPr>
          <w:rFonts w:asciiTheme="majorHAnsi" w:hAnsiTheme="majorHAnsi" w:cstheme="majorBidi"/>
          <w:color w:val="000000" w:themeColor="text1"/>
        </w:rPr>
        <w:t xml:space="preserve"> should always be used. </w:t>
      </w:r>
    </w:p>
    <w:p w14:paraId="26C55CE9" w14:textId="13F7B03D" w:rsidR="00404836" w:rsidRPr="003015CD" w:rsidRDefault="00B96183"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This guidance document and the requirements for clinical evaluation apply to all types of devices mentioned in art. 1(4) of MDR, i.e. medical devices, accessories for medical devices, and products listed in Annex XVI referred to as “devices”. This guidance does not concern </w:t>
      </w:r>
      <w:r w:rsidRPr="003015CD">
        <w:rPr>
          <w:rFonts w:asciiTheme="majorHAnsi" w:hAnsiTheme="majorHAnsi" w:cstheme="majorHAnsi"/>
          <w:i/>
          <w:color w:val="000000" w:themeColor="text1"/>
        </w:rPr>
        <w:t xml:space="preserve">in-vitro </w:t>
      </w:r>
      <w:r w:rsidRPr="003015CD">
        <w:rPr>
          <w:rFonts w:asciiTheme="majorHAnsi" w:hAnsiTheme="majorHAnsi" w:cstheme="majorHAnsi"/>
          <w:color w:val="000000" w:themeColor="text1"/>
        </w:rPr>
        <w:t>diagnostic devices.</w:t>
      </w:r>
    </w:p>
    <w:p w14:paraId="1F82B08F" w14:textId="77777777" w:rsidR="00404836" w:rsidRPr="003015CD" w:rsidRDefault="00404836" w:rsidP="00081885">
      <w:pPr>
        <w:jc w:val="both"/>
        <w:rPr>
          <w:rFonts w:asciiTheme="majorHAnsi" w:hAnsiTheme="majorHAnsi" w:cstheme="majorHAnsi"/>
          <w:color w:val="000000" w:themeColor="text1"/>
        </w:rPr>
      </w:pPr>
    </w:p>
    <w:p w14:paraId="53804928" w14:textId="62F0C08A" w:rsidR="000A61E3" w:rsidRPr="003015CD" w:rsidRDefault="004F4730" w:rsidP="003462AE">
      <w:pPr>
        <w:pStyle w:val="Titre1"/>
        <w:ind w:left="426"/>
        <w:jc w:val="both"/>
        <w:rPr>
          <w:rFonts w:asciiTheme="majorHAnsi" w:hAnsiTheme="majorHAnsi" w:cstheme="majorHAnsi"/>
          <w:color w:val="000000" w:themeColor="text1"/>
        </w:rPr>
      </w:pPr>
      <w:bookmarkStart w:id="7" w:name="_Toc446499023"/>
      <w:bookmarkStart w:id="8" w:name="_Toc236912865"/>
      <w:r w:rsidRPr="003015CD">
        <w:rPr>
          <w:rFonts w:asciiTheme="majorHAnsi" w:hAnsiTheme="majorHAnsi" w:cstheme="majorHAnsi"/>
          <w:color w:val="000000" w:themeColor="text1"/>
        </w:rPr>
        <w:t>References</w:t>
      </w:r>
      <w:bookmarkEnd w:id="7"/>
      <w:bookmarkEnd w:id="8"/>
      <w:r w:rsidR="006205DC" w:rsidRPr="003015CD">
        <w:rPr>
          <w:rFonts w:asciiTheme="majorHAnsi" w:hAnsiTheme="majorHAnsi" w:cstheme="majorHAnsi"/>
          <w:color w:val="000000" w:themeColor="text1"/>
        </w:rPr>
        <w:t xml:space="preserve"> </w:t>
      </w:r>
    </w:p>
    <w:p w14:paraId="7B8353A0" w14:textId="77777777" w:rsidR="00301B20" w:rsidRPr="003015CD" w:rsidRDefault="00301B20" w:rsidP="00081885">
      <w:p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European Legislation</w:t>
      </w:r>
      <w:r w:rsidR="00BE6D48" w:rsidRPr="003015CD">
        <w:rPr>
          <w:rFonts w:asciiTheme="majorHAnsi" w:hAnsiTheme="majorHAnsi" w:cstheme="majorHAnsi"/>
          <w:color w:val="000000" w:themeColor="text1"/>
          <w:lang w:eastAsia="de-CH"/>
        </w:rPr>
        <w:t>:</w:t>
      </w:r>
    </w:p>
    <w:p w14:paraId="4059D9FC" w14:textId="293B326B" w:rsidR="00032DF8" w:rsidRPr="003015CD" w:rsidRDefault="00032DF8" w:rsidP="00081885">
      <w:pPr>
        <w:numPr>
          <w:ilvl w:val="0"/>
          <w:numId w:val="24"/>
        </w:numPr>
        <w:spacing w:before="0" w:after="91" w:line="247" w:lineRule="auto"/>
        <w:ind w:right="49" w:hanging="285"/>
        <w:jc w:val="both"/>
        <w:rPr>
          <w:rFonts w:asciiTheme="majorHAnsi" w:hAnsiTheme="majorHAnsi" w:cstheme="majorHAnsi"/>
          <w:color w:val="000000" w:themeColor="text1"/>
        </w:rPr>
      </w:pPr>
      <w:r w:rsidRPr="003015CD">
        <w:rPr>
          <w:rFonts w:asciiTheme="majorHAnsi" w:hAnsiTheme="majorHAnsi" w:cstheme="majorHAnsi"/>
          <w:color w:val="000000" w:themeColor="text1"/>
          <w:lang w:eastAsia="de-CH"/>
        </w:rPr>
        <w:t xml:space="preserve">Commission Regulation </w:t>
      </w:r>
      <w:r w:rsidRPr="003015CD">
        <w:rPr>
          <w:rFonts w:asciiTheme="majorHAnsi" w:hAnsiTheme="majorHAnsi" w:cstheme="majorHAnsi"/>
          <w:color w:val="000000" w:themeColor="text1"/>
        </w:rPr>
        <w:t>(EU) 2017/745 OF THE EUROPEAN PARLIAMENT AND OF THE COUNCIL of 5 April 2017 on medical devices, amending Directive 2001/83/EC, Regulation (EC) No 178/2002 and Regulation (EC) No 1223/2009 and repealing Council Directives 90/385/EEC and 93/42/EEC</w:t>
      </w:r>
      <w:r w:rsidR="00D55A74" w:rsidRPr="003015CD">
        <w:rPr>
          <w:rFonts w:asciiTheme="majorHAnsi" w:hAnsiTheme="majorHAnsi" w:cstheme="majorHAnsi"/>
          <w:color w:val="000000" w:themeColor="text1"/>
        </w:rPr>
        <w:t xml:space="preserve"> (Directives)</w:t>
      </w:r>
    </w:p>
    <w:p w14:paraId="4B8D8EEE" w14:textId="28A9A7D7" w:rsidR="006666E1" w:rsidRPr="003015CD" w:rsidRDefault="006666E1" w:rsidP="00081885">
      <w:pPr>
        <w:numPr>
          <w:ilvl w:val="0"/>
          <w:numId w:val="24"/>
        </w:numPr>
        <w:spacing w:before="0" w:after="91" w:line="247" w:lineRule="auto"/>
        <w:ind w:right="49" w:hanging="285"/>
        <w:jc w:val="both"/>
        <w:rPr>
          <w:rFonts w:asciiTheme="majorHAnsi" w:hAnsiTheme="majorHAnsi" w:cstheme="majorHAnsi"/>
          <w:color w:val="000000" w:themeColor="text1"/>
        </w:rPr>
      </w:pPr>
      <w:r w:rsidRPr="003015CD">
        <w:rPr>
          <w:rFonts w:asciiTheme="majorHAnsi" w:hAnsiTheme="majorHAnsi" w:cstheme="majorHAnsi"/>
          <w:color w:val="000000" w:themeColor="text1"/>
        </w:rPr>
        <w:t>Commission Implementing Regulation (EU) 2022/2346 of 1 December 2022 laying down common specifications for the groups of products without an intended medical purpose listed in Annex XVI to Regulation (EU) 2017/745 of the European Parliament and of the Council on medical devices</w:t>
      </w:r>
    </w:p>
    <w:p w14:paraId="5604A777" w14:textId="77777777" w:rsidR="00D23E35" w:rsidRPr="003015CD" w:rsidRDefault="006666E1" w:rsidP="00081885">
      <w:pPr>
        <w:numPr>
          <w:ilvl w:val="0"/>
          <w:numId w:val="24"/>
        </w:numPr>
        <w:spacing w:before="0" w:after="91" w:line="247" w:lineRule="auto"/>
        <w:ind w:left="284" w:right="49" w:hanging="284"/>
        <w:jc w:val="both"/>
        <w:rPr>
          <w:rFonts w:asciiTheme="majorHAnsi" w:hAnsiTheme="majorHAnsi" w:cstheme="majorHAnsi"/>
          <w:color w:val="000000" w:themeColor="text1"/>
        </w:rPr>
      </w:pPr>
      <w:r w:rsidRPr="003015CD">
        <w:rPr>
          <w:rFonts w:asciiTheme="majorHAnsi" w:hAnsiTheme="majorHAnsi" w:cstheme="majorHAnsi"/>
          <w:color w:val="000000" w:themeColor="text1"/>
        </w:rPr>
        <w:t>Commission Implementing Decision (EU) 2019/1396 of 10 September 2019 laying down the rules for the application of Regulation (EU) 2017/745 of the European Parliament and of the Council as regards the designation of expert panels in the field of medical devices</w:t>
      </w:r>
    </w:p>
    <w:p w14:paraId="28DA634B" w14:textId="5E2300A1" w:rsidR="006666E1" w:rsidRPr="003015CD" w:rsidRDefault="006666E1" w:rsidP="00081885">
      <w:pPr>
        <w:numPr>
          <w:ilvl w:val="0"/>
          <w:numId w:val="24"/>
        </w:numPr>
        <w:spacing w:before="0" w:after="91" w:line="247" w:lineRule="auto"/>
        <w:ind w:left="284" w:right="49" w:hanging="284"/>
        <w:jc w:val="both"/>
        <w:rPr>
          <w:rFonts w:asciiTheme="majorHAnsi" w:hAnsiTheme="majorHAnsi" w:cstheme="majorHAnsi"/>
          <w:color w:val="000000" w:themeColor="text1"/>
        </w:rPr>
      </w:pPr>
      <w:r w:rsidRPr="003015CD">
        <w:rPr>
          <w:rFonts w:asciiTheme="majorHAnsi" w:hAnsiTheme="majorHAnsi" w:cstheme="majorHAnsi"/>
          <w:color w:val="000000" w:themeColor="text1"/>
        </w:rPr>
        <w:t>Regulation (EU) 2023/607 of the European Parliament and of the Council of 15 March 2023 amending Regulations (EU) 2017/745 and (EU) 2017/746 as regards the transitional provisions for certain medical devices and in vitro diagnostic medical devices</w:t>
      </w:r>
    </w:p>
    <w:p w14:paraId="36DA4429" w14:textId="366831CB" w:rsidR="00BE6D48" w:rsidRPr="003015CD" w:rsidRDefault="00BE6D48" w:rsidP="00081885">
      <w:pPr>
        <w:ind w:left="284" w:hanging="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lastRenderedPageBreak/>
        <w:t>-</w:t>
      </w:r>
      <w:r w:rsidRPr="003015CD">
        <w:rPr>
          <w:rFonts w:asciiTheme="majorHAnsi" w:hAnsiTheme="majorHAnsi" w:cstheme="majorHAnsi"/>
          <w:color w:val="000000" w:themeColor="text1"/>
          <w:lang w:eastAsia="de-CH"/>
        </w:rPr>
        <w:tab/>
        <w:t>Commission Regulation 722/2012 of 8 August 2012 concerning medical devices manufactured utilising tissues of animal origin</w:t>
      </w:r>
    </w:p>
    <w:p w14:paraId="564AFB48" w14:textId="77777777" w:rsidR="001171EB" w:rsidRPr="003015CD" w:rsidRDefault="001171EB" w:rsidP="00081885">
      <w:pPr>
        <w:ind w:left="284" w:hanging="284"/>
        <w:jc w:val="both"/>
        <w:rPr>
          <w:rFonts w:asciiTheme="majorHAnsi" w:hAnsiTheme="majorHAnsi" w:cstheme="majorHAnsi"/>
          <w:color w:val="000000" w:themeColor="text1"/>
          <w:lang w:eastAsia="de-CH"/>
        </w:rPr>
      </w:pPr>
    </w:p>
    <w:p w14:paraId="520C5D55" w14:textId="77777777" w:rsidR="00301B20" w:rsidRPr="003015CD" w:rsidRDefault="00301B20" w:rsidP="00081885">
      <w:p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Harmoni</w:t>
      </w:r>
      <w:r w:rsidR="000F1931" w:rsidRPr="003015CD">
        <w:rPr>
          <w:rFonts w:asciiTheme="majorHAnsi" w:hAnsiTheme="majorHAnsi" w:cstheme="majorHAnsi"/>
          <w:color w:val="000000" w:themeColor="text1"/>
          <w:lang w:eastAsia="de-CH"/>
        </w:rPr>
        <w:t>s</w:t>
      </w:r>
      <w:r w:rsidRPr="003015CD">
        <w:rPr>
          <w:rFonts w:asciiTheme="majorHAnsi" w:hAnsiTheme="majorHAnsi" w:cstheme="majorHAnsi"/>
          <w:color w:val="000000" w:themeColor="text1"/>
          <w:lang w:eastAsia="de-CH"/>
        </w:rPr>
        <w:t>ed and International standards</w:t>
      </w:r>
      <w:r w:rsidR="00BE6D48" w:rsidRPr="003015CD">
        <w:rPr>
          <w:rFonts w:asciiTheme="majorHAnsi" w:hAnsiTheme="majorHAnsi" w:cstheme="majorHAnsi"/>
          <w:color w:val="000000" w:themeColor="text1"/>
          <w:lang w:eastAsia="de-CH"/>
        </w:rPr>
        <w:t>:</w:t>
      </w:r>
    </w:p>
    <w:p w14:paraId="737F3E69" w14:textId="28D4BEEF" w:rsidR="00301B20" w:rsidRPr="003015CD" w:rsidRDefault="00BE6D48" w:rsidP="00081885">
      <w:pPr>
        <w:ind w:left="284" w:hanging="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lang w:eastAsia="de-CH"/>
        </w:rPr>
        <w:tab/>
      </w:r>
      <w:r w:rsidR="00301B20" w:rsidRPr="003015CD">
        <w:rPr>
          <w:rFonts w:asciiTheme="majorHAnsi" w:hAnsiTheme="majorHAnsi" w:cstheme="majorHAnsi"/>
          <w:color w:val="000000" w:themeColor="text1"/>
          <w:spacing w:val="-6"/>
          <w:lang w:eastAsia="de-CH"/>
        </w:rPr>
        <w:t>ISO 14155:20</w:t>
      </w:r>
      <w:r w:rsidR="00032DF8" w:rsidRPr="003015CD">
        <w:rPr>
          <w:rFonts w:asciiTheme="majorHAnsi" w:hAnsiTheme="majorHAnsi" w:cstheme="majorHAnsi"/>
          <w:color w:val="000000" w:themeColor="text1"/>
          <w:spacing w:val="-6"/>
          <w:lang w:eastAsia="de-CH"/>
        </w:rPr>
        <w:t>20</w:t>
      </w:r>
      <w:r w:rsidR="00301B20" w:rsidRPr="003015CD">
        <w:rPr>
          <w:rFonts w:asciiTheme="majorHAnsi" w:hAnsiTheme="majorHAnsi" w:cstheme="majorHAnsi"/>
          <w:color w:val="000000" w:themeColor="text1"/>
          <w:spacing w:val="-6"/>
          <w:lang w:eastAsia="de-CH"/>
        </w:rPr>
        <w:t xml:space="preserve"> Clinical investigation of medical devices for human subjects – Good</w:t>
      </w:r>
      <w:r w:rsidRPr="003015CD">
        <w:rPr>
          <w:rFonts w:asciiTheme="majorHAnsi" w:hAnsiTheme="majorHAnsi" w:cstheme="majorHAnsi"/>
          <w:color w:val="000000" w:themeColor="text1"/>
          <w:spacing w:val="-6"/>
          <w:lang w:eastAsia="de-CH"/>
        </w:rPr>
        <w:t xml:space="preserve"> </w:t>
      </w:r>
      <w:r w:rsidR="00301B20" w:rsidRPr="003015CD">
        <w:rPr>
          <w:rFonts w:asciiTheme="majorHAnsi" w:hAnsiTheme="majorHAnsi" w:cstheme="majorHAnsi"/>
          <w:color w:val="000000" w:themeColor="text1"/>
          <w:spacing w:val="-6"/>
          <w:lang w:eastAsia="de-CH"/>
        </w:rPr>
        <w:t>clinical practice</w:t>
      </w:r>
    </w:p>
    <w:p w14:paraId="738A3DEC" w14:textId="4E7A45CC" w:rsidR="00301B20" w:rsidRPr="003015CD" w:rsidRDefault="00BE6D48" w:rsidP="2D4ECF1A">
      <w:pPr>
        <w:ind w:left="284" w:hanging="284"/>
        <w:jc w:val="both"/>
        <w:rPr>
          <w:rFonts w:asciiTheme="majorHAnsi" w:hAnsiTheme="majorHAnsi" w:cstheme="majorBidi"/>
          <w:color w:val="000000" w:themeColor="text1"/>
          <w:lang w:eastAsia="de-CH"/>
        </w:rPr>
      </w:pPr>
      <w:r w:rsidRPr="003015CD">
        <w:rPr>
          <w:rFonts w:asciiTheme="majorHAnsi" w:hAnsiTheme="majorHAnsi" w:cstheme="majorBidi"/>
          <w:color w:val="000000" w:themeColor="text1"/>
          <w:lang w:eastAsia="de-CH"/>
        </w:rPr>
        <w:t>-</w:t>
      </w:r>
      <w:r w:rsidRPr="003015CD">
        <w:tab/>
      </w:r>
      <w:r w:rsidR="00EB516B" w:rsidRPr="003015CD">
        <w:rPr>
          <w:rFonts w:asciiTheme="majorHAnsi" w:hAnsiTheme="majorHAnsi" w:cstheme="majorBidi"/>
          <w:color w:val="000000" w:themeColor="text1"/>
          <w:lang w:eastAsia="de-CH"/>
        </w:rPr>
        <w:t>EN ISO 14971:2019/A11:2021 </w:t>
      </w:r>
      <w:r w:rsidR="00301B20" w:rsidRPr="003015CD">
        <w:rPr>
          <w:rFonts w:asciiTheme="majorHAnsi" w:hAnsiTheme="majorHAnsi" w:cstheme="majorBidi"/>
          <w:color w:val="000000" w:themeColor="text1"/>
          <w:lang w:eastAsia="de-CH"/>
        </w:rPr>
        <w:t xml:space="preserve">Medical devices – application of </w:t>
      </w:r>
      <w:r w:rsidR="00EA1119" w:rsidRPr="003015CD">
        <w:rPr>
          <w:rFonts w:asciiTheme="majorHAnsi" w:hAnsiTheme="majorHAnsi" w:cstheme="majorBidi"/>
          <w:color w:val="000000" w:themeColor="text1"/>
          <w:lang w:eastAsia="de-CH"/>
        </w:rPr>
        <w:t>risk</w:t>
      </w:r>
      <w:r w:rsidR="00301B20" w:rsidRPr="003015CD">
        <w:rPr>
          <w:rFonts w:asciiTheme="majorHAnsi" w:hAnsiTheme="majorHAnsi" w:cstheme="majorBidi"/>
          <w:color w:val="000000" w:themeColor="text1"/>
          <w:lang w:eastAsia="de-CH"/>
        </w:rPr>
        <w:t xml:space="preserve"> management to medical</w:t>
      </w:r>
      <w:r w:rsidRPr="003015CD">
        <w:rPr>
          <w:rFonts w:asciiTheme="majorHAnsi" w:hAnsiTheme="majorHAnsi" w:cstheme="majorBidi"/>
          <w:color w:val="000000" w:themeColor="text1"/>
          <w:lang w:eastAsia="de-CH"/>
        </w:rPr>
        <w:t xml:space="preserve"> </w:t>
      </w:r>
      <w:r w:rsidR="00301B20" w:rsidRPr="003015CD">
        <w:rPr>
          <w:rFonts w:asciiTheme="majorHAnsi" w:hAnsiTheme="majorHAnsi" w:cstheme="majorBidi"/>
          <w:color w:val="000000" w:themeColor="text1"/>
          <w:lang w:eastAsia="de-CH"/>
        </w:rPr>
        <w:t>device</w:t>
      </w:r>
      <w:r w:rsidR="00F26D92" w:rsidRPr="003015CD">
        <w:rPr>
          <w:rFonts w:asciiTheme="majorHAnsi" w:hAnsiTheme="majorHAnsi" w:cstheme="majorBidi"/>
          <w:color w:val="000000" w:themeColor="text1"/>
          <w:lang w:eastAsia="de-CH"/>
        </w:rPr>
        <w:t>s</w:t>
      </w:r>
    </w:p>
    <w:p w14:paraId="339CE3C6" w14:textId="20CA376C" w:rsidR="00D43C2B" w:rsidRPr="003015CD" w:rsidRDefault="00D43C2B" w:rsidP="00081885">
      <w:pPr>
        <w:ind w:left="284" w:hanging="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lang w:eastAsia="de-CH"/>
        </w:rPr>
        <w:tab/>
        <w:t xml:space="preserve">EN ISO 62366-1 </w:t>
      </w:r>
      <w:r w:rsidR="00B80EA3" w:rsidRPr="003015CD">
        <w:rPr>
          <w:rFonts w:asciiTheme="majorHAnsi" w:hAnsiTheme="majorHAnsi" w:cstheme="majorHAnsi"/>
          <w:color w:val="000000" w:themeColor="text1"/>
          <w:lang w:eastAsia="de-CH"/>
        </w:rPr>
        <w:t>Application of usability engineering to medical devices</w:t>
      </w:r>
    </w:p>
    <w:p w14:paraId="182B2C60" w14:textId="603065A6" w:rsidR="00B80EA3" w:rsidRPr="003015CD" w:rsidRDefault="00B80EA3" w:rsidP="00081885">
      <w:pPr>
        <w:ind w:left="284" w:hanging="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lang w:eastAsia="de-CH"/>
        </w:rPr>
        <w:tab/>
      </w:r>
      <w:r w:rsidR="00D56091" w:rsidRPr="003015CD">
        <w:rPr>
          <w:rFonts w:asciiTheme="majorHAnsi" w:hAnsiTheme="majorHAnsi" w:cstheme="majorHAnsi"/>
          <w:color w:val="000000" w:themeColor="text1"/>
          <w:lang w:eastAsia="de-CH"/>
        </w:rPr>
        <w:t xml:space="preserve">EN ISO 60601-1-6 </w:t>
      </w:r>
      <w:r w:rsidR="008613D6" w:rsidRPr="003015CD">
        <w:rPr>
          <w:rFonts w:asciiTheme="majorHAnsi" w:hAnsiTheme="majorHAnsi" w:cstheme="majorHAnsi"/>
          <w:color w:val="000000" w:themeColor="text1"/>
          <w:lang w:eastAsia="de-CH"/>
        </w:rPr>
        <w:t>Medical electrical equipment</w:t>
      </w:r>
    </w:p>
    <w:p w14:paraId="67AC3B51" w14:textId="77777777" w:rsidR="001171EB" w:rsidRPr="003015CD" w:rsidRDefault="001171EB" w:rsidP="00081885">
      <w:pPr>
        <w:ind w:left="284" w:hanging="284"/>
        <w:jc w:val="both"/>
        <w:rPr>
          <w:rFonts w:asciiTheme="majorHAnsi" w:hAnsiTheme="majorHAnsi" w:cstheme="majorHAnsi"/>
          <w:color w:val="000000" w:themeColor="text1"/>
          <w:lang w:eastAsia="de-CH"/>
        </w:rPr>
      </w:pPr>
    </w:p>
    <w:p w14:paraId="738AF247" w14:textId="70EBC068" w:rsidR="00F660C2" w:rsidRPr="003015CD" w:rsidRDefault="00F660C2" w:rsidP="00081885">
      <w:p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European guidance documents</w:t>
      </w:r>
      <w:r w:rsidR="00BE6D48" w:rsidRPr="003015CD">
        <w:rPr>
          <w:rFonts w:asciiTheme="majorHAnsi" w:hAnsiTheme="majorHAnsi" w:cstheme="majorHAnsi"/>
          <w:color w:val="000000" w:themeColor="text1"/>
          <w:lang w:eastAsia="de-CH"/>
        </w:rPr>
        <w:t>:</w:t>
      </w:r>
    </w:p>
    <w:p w14:paraId="74AED70B" w14:textId="77777777" w:rsidR="00C64502" w:rsidRPr="003015CD" w:rsidRDefault="00C64502"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2019-3 rev.1 Clinical evaluation consultation procedure exemptions Interpretation of article 54(2)b</w:t>
      </w:r>
    </w:p>
    <w:p w14:paraId="5BF571DF" w14:textId="18E466F5" w:rsidR="00C64502" w:rsidRPr="003015CD" w:rsidRDefault="00C64502"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2019-9 - Rev.1 Summary of safety and clinical performance</w:t>
      </w:r>
    </w:p>
    <w:p w14:paraId="347D733F" w14:textId="235055B9" w:rsidR="00BF2F18" w:rsidRPr="003015CD" w:rsidRDefault="00BF2F18"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2019-15 rev.1 guidance notes for manufacturers of class I medical devices</w:t>
      </w:r>
    </w:p>
    <w:p w14:paraId="522ACE2F"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bookmarkStart w:id="9" w:name="_Hlk171954498"/>
      <w:r w:rsidRPr="003015CD">
        <w:rPr>
          <w:rFonts w:asciiTheme="majorHAnsi" w:hAnsiTheme="majorHAnsi" w:cstheme="majorHAnsi"/>
          <w:color w:val="000000" w:themeColor="text1"/>
          <w:lang w:eastAsia="de-CH"/>
        </w:rPr>
        <w:t>MDCG 2020-1 Guidance on clinical evaluation (MDR) / Performance evaluation (IVDR) of medical device software</w:t>
      </w:r>
    </w:p>
    <w:bookmarkEnd w:id="9"/>
    <w:p w14:paraId="20796F53"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2020-5 Guidance on clinical evaluation – Equivalence</w:t>
      </w:r>
    </w:p>
    <w:p w14:paraId="59C8FD0D"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2020-6 Guidance on sufficient clinical evidence for legacy devices</w:t>
      </w:r>
    </w:p>
    <w:p w14:paraId="763C4206"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2020-7 Guidance on PMCF plan template</w:t>
      </w:r>
    </w:p>
    <w:p w14:paraId="648B916A"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2020-8 Guidance on PMCF evaluation report template</w:t>
      </w:r>
    </w:p>
    <w:p w14:paraId="45D84DDD"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rPr>
        <w:t>MDCG 2021-3 Questions and answers on custom made devices</w:t>
      </w:r>
    </w:p>
    <w:p w14:paraId="21F747CA"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2020-13 Clinical evaluation assessment report template</w:t>
      </w:r>
    </w:p>
    <w:p w14:paraId="01DDFD76" w14:textId="4ECE25DA"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2021-6- Regulation (EU) 2017/745 – Questions &amp; Answers regarding clinical investigation</w:t>
      </w:r>
    </w:p>
    <w:p w14:paraId="5DBD059B"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2022-21 - Guidance on Periodic Safety Update Report (PSUR) according to Regulation (EU) 2017/745 - December 2022</w:t>
      </w:r>
    </w:p>
    <w:p w14:paraId="25C8FF86"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2023-3 - Questions and Answers on vigilance terms and concepts as outlined in the Regulation (EU) 2017/745 on medical devices</w:t>
      </w:r>
    </w:p>
    <w:p w14:paraId="0AB71A4B" w14:textId="751546AD"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hyperlink r:id="rId13" w:history="1">
        <w:r w:rsidRPr="003015CD">
          <w:rPr>
            <w:rFonts w:asciiTheme="majorHAnsi" w:hAnsiTheme="majorHAnsi" w:cstheme="majorHAnsi"/>
            <w:color w:val="000000" w:themeColor="text1"/>
            <w:lang w:eastAsia="de-CH"/>
          </w:rPr>
          <w:t>MDCG 2023-6</w:t>
        </w:r>
      </w:hyperlink>
      <w:r w:rsidRPr="003015CD">
        <w:rPr>
          <w:rFonts w:asciiTheme="majorHAnsi" w:hAnsiTheme="majorHAnsi" w:cstheme="majorHAnsi"/>
          <w:color w:val="000000" w:themeColor="text1"/>
          <w:lang w:eastAsia="de-CH"/>
        </w:rPr>
        <w:t xml:space="preserve"> - Guidance on demonstration of equivalence for Annex XVI products - A guide for manufacturers and notified bodies</w:t>
      </w:r>
    </w:p>
    <w:p w14:paraId="287952CE" w14:textId="77777777"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2023-7 – Guidance on exemptions from the requirement to perform clinical investigations pursuant to Article 61(4)-(6) MDR and on sufficient levels of access’ to data needed to justify claims of equivalence</w:t>
      </w:r>
    </w:p>
    <w:p w14:paraId="5028A25F" w14:textId="3430DED1" w:rsidR="00B501AC" w:rsidRPr="003015CD" w:rsidRDefault="00B501A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2024-10 Clinical evaluation of orphan medical devices</w:t>
      </w:r>
    </w:p>
    <w:p w14:paraId="75B4D729" w14:textId="13D9656E" w:rsidR="00BF4FE2" w:rsidRPr="003015CD" w:rsidRDefault="00BF4FE2">
      <w:pPr>
        <w:numPr>
          <w:ilvl w:val="0"/>
          <w:numId w:val="26"/>
        </w:num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MDCG 2025-10 Guidance on post-market surveillance of medical devices and in vitro diagnostic medical devices</w:t>
      </w:r>
    </w:p>
    <w:p w14:paraId="55A08D84" w14:textId="17B5223C" w:rsidR="00E7499F" w:rsidRPr="003015CD" w:rsidRDefault="0073038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Please </w:t>
      </w:r>
      <w:r w:rsidR="002843B1" w:rsidRPr="003015CD">
        <w:rPr>
          <w:rFonts w:asciiTheme="majorHAnsi" w:hAnsiTheme="majorHAnsi" w:cstheme="majorHAnsi"/>
          <w:color w:val="000000" w:themeColor="text1"/>
        </w:rPr>
        <w:t xml:space="preserve">be aware that additional guidance documents relevant to medical devices can be found here: </w:t>
      </w:r>
      <w:hyperlink r:id="rId14" w:history="1">
        <w:r w:rsidR="00E7499F" w:rsidRPr="003015CD">
          <w:rPr>
            <w:rStyle w:val="Lienhypertexte"/>
            <w:rFonts w:asciiTheme="majorHAnsi" w:hAnsiTheme="majorHAnsi" w:cstheme="majorHAnsi"/>
            <w:color w:val="000000" w:themeColor="text1"/>
          </w:rPr>
          <w:t>https://health.ec.europa.eu/medical-devices-sector/new-regulations/guidance-mdcg-endorsed-documents-and-other-guidance_en</w:t>
        </w:r>
      </w:hyperlink>
      <w:r w:rsidR="006616AE" w:rsidRPr="003015CD">
        <w:rPr>
          <w:rFonts w:asciiTheme="majorHAnsi" w:hAnsiTheme="majorHAnsi" w:cstheme="majorHAnsi"/>
          <w:color w:val="000000" w:themeColor="text1"/>
        </w:rPr>
        <w:t xml:space="preserve"> </w:t>
      </w:r>
    </w:p>
    <w:p w14:paraId="254E57E3" w14:textId="77777777" w:rsidR="00156390" w:rsidRPr="003015CD" w:rsidRDefault="00156390" w:rsidP="00081885">
      <w:pPr>
        <w:jc w:val="both"/>
        <w:rPr>
          <w:rFonts w:asciiTheme="majorHAnsi" w:hAnsiTheme="majorHAnsi" w:cstheme="majorHAnsi"/>
          <w:color w:val="000000" w:themeColor="text1"/>
        </w:rPr>
      </w:pPr>
    </w:p>
    <w:p w14:paraId="47144E84" w14:textId="77777777" w:rsidR="001171EB" w:rsidRPr="003015CD" w:rsidRDefault="001171EB" w:rsidP="00081885">
      <w:pPr>
        <w:jc w:val="both"/>
        <w:rPr>
          <w:rFonts w:asciiTheme="majorHAnsi" w:hAnsiTheme="majorHAnsi" w:cstheme="majorHAnsi"/>
          <w:color w:val="000000" w:themeColor="text1"/>
        </w:rPr>
      </w:pPr>
    </w:p>
    <w:p w14:paraId="3CCE4A13" w14:textId="253B83FF" w:rsidR="00301B20" w:rsidRPr="003015CD" w:rsidRDefault="00131A82"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lastRenderedPageBreak/>
        <w:t>Other guidance documents</w:t>
      </w:r>
      <w:r w:rsidR="00BE6D48" w:rsidRPr="003015CD">
        <w:rPr>
          <w:rFonts w:asciiTheme="majorHAnsi" w:hAnsiTheme="majorHAnsi" w:cstheme="majorHAnsi"/>
          <w:color w:val="000000" w:themeColor="text1"/>
        </w:rPr>
        <w:t>:</w:t>
      </w:r>
    </w:p>
    <w:p w14:paraId="24CC5F8C" w14:textId="64C3E181" w:rsidR="0040402F" w:rsidRPr="003015CD" w:rsidRDefault="0040402F"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IMDRF MDCE WG/N56</w:t>
      </w:r>
      <w:r w:rsidR="00596D02" w:rsidRPr="003015CD">
        <w:rPr>
          <w:rFonts w:asciiTheme="majorHAnsi" w:hAnsiTheme="majorHAnsi" w:cstheme="majorHAnsi"/>
          <w:color w:val="000000" w:themeColor="text1"/>
          <w:lang w:eastAsia="de-CH"/>
        </w:rPr>
        <w:t xml:space="preserve"> </w:t>
      </w:r>
      <w:r w:rsidRPr="003015CD">
        <w:rPr>
          <w:rFonts w:asciiTheme="majorHAnsi" w:hAnsiTheme="majorHAnsi" w:cstheme="majorHAnsi"/>
          <w:color w:val="000000" w:themeColor="text1"/>
          <w:lang w:eastAsia="de-CH"/>
        </w:rPr>
        <w:t>FINAL:2019</w:t>
      </w:r>
      <w:r w:rsidR="003D749F" w:rsidRPr="003015CD">
        <w:rPr>
          <w:rFonts w:asciiTheme="majorHAnsi" w:hAnsiTheme="majorHAnsi" w:cstheme="majorHAnsi"/>
          <w:color w:val="000000" w:themeColor="text1"/>
          <w:lang w:eastAsia="de-CH"/>
        </w:rPr>
        <w:t xml:space="preserve"> Clinical evaluation</w:t>
      </w:r>
    </w:p>
    <w:p w14:paraId="26D102C4" w14:textId="17264158" w:rsidR="00C52751" w:rsidRPr="003015CD" w:rsidRDefault="00C52751"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rPr>
        <w:t>IMDRF MDCE WG/N65</w:t>
      </w:r>
      <w:r w:rsidR="00596D02"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FINAL:2021: Post-Market Clinical Follow-Up Studies</w:t>
      </w:r>
    </w:p>
    <w:p w14:paraId="278456DA" w14:textId="2493C0E9" w:rsidR="00136B0C" w:rsidRPr="003015CD" w:rsidRDefault="00136B0C"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IMDRF/GRRP WG/N47</w:t>
      </w:r>
      <w:r w:rsidR="002D679E" w:rsidRPr="003015CD">
        <w:rPr>
          <w:rFonts w:asciiTheme="majorHAnsi" w:hAnsiTheme="majorHAnsi" w:cstheme="majorHAnsi"/>
          <w:color w:val="000000" w:themeColor="text1"/>
          <w:lang w:eastAsia="de-CH"/>
        </w:rPr>
        <w:t xml:space="preserve"> FINAL 2024</w:t>
      </w: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lang w:eastAsia="de-CH"/>
        </w:rPr>
        <w:t>Essential Principles of Safety and Performance of Medical Devices and IVD Medical Devices</w:t>
      </w:r>
    </w:p>
    <w:p w14:paraId="20B4B955" w14:textId="14924850" w:rsidR="007059DF" w:rsidRPr="003015CD" w:rsidRDefault="007059DF"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IMDRF MDCE WG/N57</w:t>
      </w:r>
      <w:r w:rsidR="002D679E" w:rsidRPr="003015CD">
        <w:rPr>
          <w:rFonts w:asciiTheme="majorHAnsi" w:hAnsiTheme="majorHAnsi" w:cstheme="majorHAnsi"/>
          <w:color w:val="000000" w:themeColor="text1"/>
          <w:lang w:eastAsia="de-CH"/>
        </w:rPr>
        <w:t xml:space="preserve"> FINAL 2019:</w:t>
      </w:r>
      <w:r w:rsidR="745EEFDB" w:rsidRPr="003015CD">
        <w:rPr>
          <w:rFonts w:asciiTheme="majorHAnsi" w:hAnsiTheme="majorHAnsi" w:cstheme="majorHAnsi"/>
          <w:color w:val="000000" w:themeColor="text1"/>
          <w:lang w:eastAsia="de-CH"/>
        </w:rPr>
        <w:t xml:space="preserve"> </w:t>
      </w:r>
      <w:r w:rsidRPr="003015CD">
        <w:rPr>
          <w:rFonts w:asciiTheme="majorHAnsi" w:hAnsiTheme="majorHAnsi" w:cstheme="majorHAnsi"/>
          <w:color w:val="000000" w:themeColor="text1"/>
          <w:lang w:eastAsia="de-CH"/>
        </w:rPr>
        <w:t>Clinical Investigation</w:t>
      </w:r>
    </w:p>
    <w:p w14:paraId="45FA8807" w14:textId="31CF78EF" w:rsidR="00653744" w:rsidRPr="003015CD" w:rsidRDefault="001E2E34"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IMDRF MDCE WG/N55 FINAL:2019</w:t>
      </w:r>
      <w:r w:rsidR="00EB10E5" w:rsidRPr="003015CD">
        <w:rPr>
          <w:rFonts w:asciiTheme="majorHAnsi" w:hAnsiTheme="majorHAnsi" w:cstheme="majorHAnsi"/>
          <w:color w:val="000000" w:themeColor="text1"/>
          <w:lang w:eastAsia="de-CH"/>
        </w:rPr>
        <w:t xml:space="preserve"> Clinical Evidence - Key Definitions and Concepts</w:t>
      </w:r>
    </w:p>
    <w:p w14:paraId="5C4208DD" w14:textId="40F5AB1A" w:rsidR="00011071" w:rsidRPr="003015CD" w:rsidRDefault="00011071"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rPr>
        <w:t>EMA/CHMP/578661/2010</w:t>
      </w:r>
      <w:r w:rsidR="000F4FE8" w:rsidRPr="003015CD">
        <w:rPr>
          <w:rFonts w:asciiTheme="majorHAnsi" w:hAnsiTheme="majorHAnsi" w:cstheme="majorHAnsi"/>
          <w:color w:val="000000" w:themeColor="text1"/>
        </w:rPr>
        <w:t>: European Medicines Agency recommendation on the procedural aspects and dossier requirements for the consultation of the European Medicines Agency by a notified body on an ancillary medicinal substance or an ancillary human blood derivative incorporated in a medical device or active implantable medical device</w:t>
      </w:r>
    </w:p>
    <w:p w14:paraId="32971FCD" w14:textId="137F3A04" w:rsidR="00C9103A" w:rsidRPr="003015CD" w:rsidRDefault="00C9103A"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rPr>
        <w:t xml:space="preserve">EMA/426390/2021: </w:t>
      </w:r>
      <w:r w:rsidR="00237500" w:rsidRPr="003015CD">
        <w:rPr>
          <w:rFonts w:asciiTheme="majorHAnsi" w:hAnsiTheme="majorHAnsi" w:cstheme="majorHAnsi"/>
          <w:color w:val="000000" w:themeColor="text1"/>
        </w:rPr>
        <w:t>Guideline on registry-based studies</w:t>
      </w:r>
    </w:p>
    <w:p w14:paraId="72469392" w14:textId="0F315CCA" w:rsidR="00833F0E" w:rsidRPr="003015CD" w:rsidRDefault="00833F0E" w:rsidP="00081885">
      <w:pPr>
        <w:numPr>
          <w:ilvl w:val="0"/>
          <w:numId w:val="26"/>
        </w:num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Guidance for best practices for clinical trials. Geneva: World Health Organization; 2024. Licence: CC BY-NC-SA 3.0 IGO.</w:t>
      </w:r>
    </w:p>
    <w:p w14:paraId="61BDABB4" w14:textId="3E0BA8A9" w:rsidR="002E5306" w:rsidRPr="003015CD" w:rsidRDefault="00AC657D"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This list contains documents available at the time this </w:t>
      </w:r>
      <w:r w:rsidR="00032DF8" w:rsidRPr="003015CD">
        <w:rPr>
          <w:rFonts w:asciiTheme="majorHAnsi" w:hAnsiTheme="majorHAnsi" w:cstheme="majorBidi"/>
          <w:color w:val="000000" w:themeColor="text1"/>
        </w:rPr>
        <w:t xml:space="preserve">MDCG </w:t>
      </w:r>
      <w:r w:rsidRPr="003015CD">
        <w:rPr>
          <w:rFonts w:asciiTheme="majorHAnsi" w:hAnsiTheme="majorHAnsi" w:cstheme="majorBidi"/>
          <w:color w:val="000000" w:themeColor="text1"/>
        </w:rPr>
        <w:t>document was published. In general, the most recent versions of standards and legal texts should be used.</w:t>
      </w:r>
      <w:r w:rsidR="002E5306" w:rsidRPr="003015CD">
        <w:rPr>
          <w:rFonts w:asciiTheme="majorHAnsi" w:hAnsiTheme="majorHAnsi" w:cstheme="majorBidi"/>
          <w:color w:val="000000" w:themeColor="text1"/>
        </w:rPr>
        <w:t xml:space="preserve"> In accordance with Recital 5 of MDR, certain references to International Medical Device Regulatory Forum (IMDRF) guidance documents and terminology included therein have been taken into account.</w:t>
      </w:r>
    </w:p>
    <w:p w14:paraId="4673072C" w14:textId="0B1D51B0" w:rsidR="00D30FAD" w:rsidRPr="003015CD" w:rsidRDefault="00D30FAD" w:rsidP="00081885">
      <w:pPr>
        <w:spacing w:before="0" w:after="0"/>
        <w:jc w:val="both"/>
        <w:rPr>
          <w:rFonts w:asciiTheme="majorHAnsi" w:hAnsiTheme="majorHAnsi" w:cstheme="majorHAnsi"/>
          <w:color w:val="000000" w:themeColor="text1"/>
        </w:rPr>
      </w:pPr>
    </w:p>
    <w:p w14:paraId="7ED37E89" w14:textId="77777777" w:rsidR="00404836" w:rsidRPr="003015CD" w:rsidRDefault="00404836" w:rsidP="00081885">
      <w:pPr>
        <w:spacing w:before="0" w:after="0"/>
        <w:jc w:val="both"/>
        <w:rPr>
          <w:rFonts w:asciiTheme="majorHAnsi" w:hAnsiTheme="majorHAnsi" w:cstheme="majorHAnsi"/>
          <w:color w:val="000000" w:themeColor="text1"/>
        </w:rPr>
      </w:pPr>
    </w:p>
    <w:p w14:paraId="53CB988A" w14:textId="77777777" w:rsidR="00B15838" w:rsidRPr="003015CD" w:rsidRDefault="00B15838">
      <w:pPr>
        <w:spacing w:before="0" w:after="0"/>
        <w:rPr>
          <w:rFonts w:asciiTheme="majorHAnsi" w:hAnsiTheme="majorHAnsi" w:cstheme="majorHAnsi"/>
          <w:b/>
          <w:bCs/>
          <w:color w:val="000000" w:themeColor="text1"/>
          <w:sz w:val="32"/>
          <w:szCs w:val="28"/>
        </w:rPr>
      </w:pPr>
      <w:bookmarkStart w:id="10" w:name="_Toc446499024"/>
      <w:bookmarkStart w:id="11" w:name="_Ref164068428"/>
      <w:bookmarkStart w:id="12" w:name="_Ref164068488"/>
      <w:bookmarkStart w:id="13" w:name="_Ref167359734"/>
      <w:r w:rsidRPr="003015CD">
        <w:rPr>
          <w:rFonts w:asciiTheme="majorHAnsi" w:hAnsiTheme="majorHAnsi" w:cstheme="majorHAnsi"/>
          <w:color w:val="000000" w:themeColor="text1"/>
        </w:rPr>
        <w:br w:type="page"/>
      </w:r>
    </w:p>
    <w:p w14:paraId="45E6F089" w14:textId="3B374E82" w:rsidR="004A2287" w:rsidRPr="003015CD" w:rsidRDefault="004F4730" w:rsidP="00081885">
      <w:pPr>
        <w:pStyle w:val="Titre1"/>
        <w:ind w:left="426"/>
        <w:jc w:val="both"/>
        <w:rPr>
          <w:rFonts w:asciiTheme="majorHAnsi" w:hAnsiTheme="majorHAnsi" w:cstheme="majorHAnsi"/>
          <w:color w:val="000000" w:themeColor="text1"/>
        </w:rPr>
      </w:pPr>
      <w:bookmarkStart w:id="14" w:name="_Toc236912866"/>
      <w:r w:rsidRPr="003015CD">
        <w:rPr>
          <w:rFonts w:asciiTheme="majorHAnsi" w:hAnsiTheme="majorHAnsi" w:cstheme="majorHAnsi"/>
          <w:color w:val="000000" w:themeColor="text1"/>
        </w:rPr>
        <w:lastRenderedPageBreak/>
        <w:t>Definitions</w:t>
      </w:r>
      <w:bookmarkEnd w:id="10"/>
      <w:bookmarkEnd w:id="14"/>
      <w:r w:rsidR="006205DC" w:rsidRPr="003015CD">
        <w:rPr>
          <w:rFonts w:asciiTheme="majorHAnsi" w:hAnsiTheme="majorHAnsi" w:cstheme="majorHAnsi"/>
          <w:color w:val="000000" w:themeColor="text1"/>
        </w:rPr>
        <w:t xml:space="preserve"> </w:t>
      </w:r>
      <w:bookmarkEnd w:id="11"/>
      <w:bookmarkEnd w:id="12"/>
      <w:bookmarkEnd w:id="13"/>
    </w:p>
    <w:p w14:paraId="5C29FF79" w14:textId="383568E3" w:rsidR="00F754AB" w:rsidRPr="003015CD" w:rsidRDefault="002503B5"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 xml:space="preserve">Adverse </w:t>
      </w:r>
      <w:r w:rsidR="003E70D1" w:rsidRPr="003015CD">
        <w:rPr>
          <w:rFonts w:asciiTheme="majorHAnsi" w:hAnsiTheme="majorHAnsi" w:cstheme="majorHAnsi"/>
          <w:b/>
          <w:color w:val="000000" w:themeColor="text1"/>
        </w:rPr>
        <w:t>e</w:t>
      </w:r>
      <w:r w:rsidRPr="003015CD">
        <w:rPr>
          <w:rFonts w:asciiTheme="majorHAnsi" w:hAnsiTheme="majorHAnsi" w:cstheme="majorHAnsi"/>
          <w:b/>
          <w:color w:val="000000" w:themeColor="text1"/>
        </w:rPr>
        <w:t xml:space="preserve">vent: </w:t>
      </w:r>
      <w:r w:rsidR="000B30F2" w:rsidRPr="003015CD">
        <w:rPr>
          <w:rFonts w:asciiTheme="majorHAnsi" w:hAnsiTheme="majorHAnsi" w:cstheme="majorHAnsi"/>
          <w:color w:val="000000" w:themeColor="text1"/>
        </w:rPr>
        <w:t>a</w:t>
      </w:r>
      <w:r w:rsidRPr="003015CD">
        <w:rPr>
          <w:rFonts w:asciiTheme="majorHAnsi" w:hAnsiTheme="majorHAnsi" w:cstheme="majorHAnsi"/>
          <w:color w:val="000000" w:themeColor="text1"/>
        </w:rPr>
        <w:t>ny untoward medical occurrence, unintended disease or injury</w:t>
      </w:r>
      <w:r w:rsidR="00CA48AF"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or any untoward clinical signs</w:t>
      </w:r>
      <w:r w:rsidR="00AA0520" w:rsidRPr="003015CD">
        <w:rPr>
          <w:rFonts w:asciiTheme="majorHAnsi" w:hAnsiTheme="majorHAnsi" w:cstheme="majorHAnsi"/>
          <w:color w:val="000000" w:themeColor="text1"/>
        </w:rPr>
        <w:t>,</w:t>
      </w:r>
      <w:r w:rsidR="00CF1177"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including an abnormal laboratory finding</w:t>
      </w:r>
      <w:r w:rsidR="00AA0520"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in subjects, users or other persons</w:t>
      </w:r>
      <w:r w:rsidR="00AA0520" w:rsidRPr="003015CD">
        <w:rPr>
          <w:rFonts w:asciiTheme="majorHAnsi" w:hAnsiTheme="majorHAnsi" w:cstheme="majorHAnsi"/>
          <w:color w:val="000000" w:themeColor="text1"/>
        </w:rPr>
        <w:t>, in the context of a clinical investigation,</w:t>
      </w:r>
      <w:r w:rsidRPr="003015CD">
        <w:rPr>
          <w:rFonts w:asciiTheme="majorHAnsi" w:hAnsiTheme="majorHAnsi" w:cstheme="majorHAnsi"/>
          <w:color w:val="000000" w:themeColor="text1"/>
        </w:rPr>
        <w:t xml:space="preserve"> whether or not related to the investigational medical device. </w:t>
      </w:r>
      <w:r w:rsidR="00835E19" w:rsidRPr="003015CD">
        <w:rPr>
          <w:rFonts w:asciiTheme="majorHAnsi" w:hAnsiTheme="majorHAnsi" w:cstheme="majorHAnsi"/>
          <w:color w:val="000000" w:themeColor="text1"/>
        </w:rPr>
        <w:t>[Article 2</w:t>
      </w:r>
      <w:r w:rsidR="00D018DF" w:rsidRPr="003015CD">
        <w:rPr>
          <w:rFonts w:asciiTheme="majorHAnsi" w:hAnsiTheme="majorHAnsi" w:cstheme="majorHAnsi"/>
          <w:color w:val="000000" w:themeColor="text1"/>
        </w:rPr>
        <w:t>(</w:t>
      </w:r>
      <w:r w:rsidR="0029511D" w:rsidRPr="003015CD">
        <w:rPr>
          <w:rFonts w:asciiTheme="majorHAnsi" w:hAnsiTheme="majorHAnsi" w:cstheme="majorHAnsi"/>
          <w:color w:val="000000" w:themeColor="text1"/>
        </w:rPr>
        <w:t>57</w:t>
      </w:r>
      <w:r w:rsidR="00D018DF" w:rsidRPr="003015CD">
        <w:rPr>
          <w:rFonts w:asciiTheme="majorHAnsi" w:hAnsiTheme="majorHAnsi" w:cstheme="majorHAnsi"/>
          <w:color w:val="000000" w:themeColor="text1"/>
        </w:rPr>
        <w:t>)</w:t>
      </w:r>
      <w:r w:rsidR="0029511D" w:rsidRPr="003015CD">
        <w:rPr>
          <w:rFonts w:asciiTheme="majorHAnsi" w:hAnsiTheme="majorHAnsi" w:cstheme="majorHAnsi"/>
          <w:color w:val="000000" w:themeColor="text1"/>
        </w:rPr>
        <w:t xml:space="preserve"> </w:t>
      </w:r>
      <w:r w:rsidR="00835E19" w:rsidRPr="003015CD">
        <w:rPr>
          <w:rFonts w:asciiTheme="majorHAnsi" w:hAnsiTheme="majorHAnsi" w:cstheme="majorHAnsi"/>
          <w:color w:val="000000" w:themeColor="text1"/>
        </w:rPr>
        <w:t>MDR</w:t>
      </w:r>
      <w:r w:rsidR="0029511D" w:rsidRPr="003015CD">
        <w:rPr>
          <w:rFonts w:asciiTheme="majorHAnsi" w:hAnsiTheme="majorHAnsi" w:cstheme="majorHAnsi"/>
          <w:color w:val="000000" w:themeColor="text1"/>
        </w:rPr>
        <w:t>]</w:t>
      </w:r>
    </w:p>
    <w:p w14:paraId="2DC699A6" w14:textId="77777777" w:rsidR="001171EB" w:rsidRPr="003015CD" w:rsidRDefault="001171EB" w:rsidP="00081885">
      <w:pPr>
        <w:jc w:val="both"/>
        <w:rPr>
          <w:rFonts w:asciiTheme="majorHAnsi" w:hAnsiTheme="majorHAnsi" w:cstheme="majorHAnsi"/>
          <w:color w:val="000000" w:themeColor="text1"/>
        </w:rPr>
      </w:pPr>
    </w:p>
    <w:p w14:paraId="7C5D4052" w14:textId="4A509BAA" w:rsidR="00CF1177" w:rsidRPr="003015CD" w:rsidRDefault="009B048C" w:rsidP="2D4ECF1A">
      <w:pPr>
        <w:jc w:val="both"/>
        <w:rPr>
          <w:rFonts w:asciiTheme="majorHAnsi" w:hAnsiTheme="majorHAnsi" w:cstheme="majorBidi"/>
          <w:color w:val="000000" w:themeColor="text1"/>
          <w:shd w:val="clear" w:color="auto" w:fill="FFFFFF"/>
        </w:rPr>
      </w:pPr>
      <w:r w:rsidRPr="003015CD">
        <w:rPr>
          <w:rFonts w:asciiTheme="majorHAnsi" w:hAnsiTheme="majorHAnsi" w:cstheme="majorBidi"/>
          <w:b/>
          <w:bCs/>
          <w:color w:val="000000" w:themeColor="text1"/>
          <w:shd w:val="clear" w:color="auto" w:fill="FFFFFF"/>
        </w:rPr>
        <w:t xml:space="preserve">Benefit-risk </w:t>
      </w:r>
      <w:r w:rsidR="008103E7" w:rsidRPr="003015CD" w:rsidDel="008103E7">
        <w:rPr>
          <w:rFonts w:asciiTheme="majorHAnsi" w:hAnsiTheme="majorHAnsi" w:cstheme="majorBidi"/>
          <w:b/>
          <w:bCs/>
          <w:color w:val="000000" w:themeColor="text1"/>
          <w:shd w:val="clear" w:color="auto" w:fill="FFFFFF"/>
        </w:rPr>
        <w:t>determination</w:t>
      </w:r>
      <w:r w:rsidRPr="003015CD">
        <w:rPr>
          <w:rFonts w:asciiTheme="majorHAnsi" w:hAnsiTheme="majorHAnsi" w:cstheme="majorBidi"/>
          <w:color w:val="000000" w:themeColor="text1"/>
        </w:rPr>
        <w:t xml:space="preserve"> means the analysis of all assessments of benefit and risk of possible relevance for the use of the device for the intended purpose, when used in accordance with the intended purpose given by the manufacturer. [Article 2</w:t>
      </w:r>
      <w:r w:rsidR="00D018DF" w:rsidRPr="003015CD">
        <w:rPr>
          <w:rFonts w:asciiTheme="majorHAnsi" w:hAnsiTheme="majorHAnsi" w:cstheme="majorBidi"/>
          <w:color w:val="000000" w:themeColor="text1"/>
        </w:rPr>
        <w:t>(</w:t>
      </w:r>
      <w:r w:rsidRPr="003015CD">
        <w:rPr>
          <w:rFonts w:asciiTheme="majorHAnsi" w:hAnsiTheme="majorHAnsi" w:cstheme="majorBidi"/>
          <w:color w:val="000000" w:themeColor="text1"/>
        </w:rPr>
        <w:t>24</w:t>
      </w:r>
      <w:r w:rsidR="00D018DF"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MDR]</w:t>
      </w:r>
    </w:p>
    <w:p w14:paraId="515F6B1D" w14:textId="77777777" w:rsidR="001171EB" w:rsidRPr="003015CD" w:rsidRDefault="001171EB" w:rsidP="00081885">
      <w:pPr>
        <w:jc w:val="both"/>
        <w:rPr>
          <w:rFonts w:asciiTheme="majorHAnsi" w:hAnsiTheme="majorHAnsi" w:cstheme="majorHAnsi"/>
          <w:b/>
          <w:bCs/>
          <w:color w:val="000000" w:themeColor="text1"/>
        </w:rPr>
      </w:pPr>
    </w:p>
    <w:p w14:paraId="20799648" w14:textId="6754F7F0" w:rsidR="005A3212" w:rsidRPr="003015CD" w:rsidRDefault="000B30F2"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Bias: </w:t>
      </w:r>
      <w:r w:rsidR="005A3212" w:rsidRPr="003015CD">
        <w:rPr>
          <w:rFonts w:asciiTheme="majorHAnsi" w:hAnsiTheme="majorHAnsi" w:cstheme="majorBidi"/>
          <w:color w:val="000000" w:themeColor="text1"/>
        </w:rPr>
        <w:t>systematic deviation of an outcome measure from its true value, leading to either an overestimation or underestimation of a treatment’s effect</w:t>
      </w:r>
      <w:r w:rsidR="0072425F" w:rsidRPr="003015CD">
        <w:rPr>
          <w:rFonts w:asciiTheme="majorHAnsi" w:hAnsiTheme="majorHAnsi" w:cstheme="majorBidi"/>
          <w:color w:val="000000" w:themeColor="text1"/>
        </w:rPr>
        <w:t xml:space="preserve">, or the diagnostic </w:t>
      </w:r>
      <w:r w:rsidR="002C0652" w:rsidRPr="003015CD">
        <w:rPr>
          <w:rFonts w:asciiTheme="majorHAnsi" w:hAnsiTheme="majorHAnsi" w:cstheme="majorBidi"/>
          <w:color w:val="000000" w:themeColor="text1"/>
        </w:rPr>
        <w:t>ability of the device</w:t>
      </w:r>
      <w:r w:rsidR="005A3212" w:rsidRPr="003015CD">
        <w:rPr>
          <w:rFonts w:asciiTheme="majorHAnsi" w:hAnsiTheme="majorHAnsi" w:cstheme="majorBidi"/>
          <w:color w:val="000000" w:themeColor="text1"/>
        </w:rPr>
        <w:t xml:space="preserve">. It can originate from, for example, the way patients are allocated to </w:t>
      </w:r>
      <w:r w:rsidR="00A21873" w:rsidRPr="003015CD">
        <w:rPr>
          <w:rFonts w:asciiTheme="majorHAnsi" w:hAnsiTheme="majorHAnsi" w:cstheme="majorBidi"/>
          <w:color w:val="000000" w:themeColor="text1"/>
        </w:rPr>
        <w:t>an intervention</w:t>
      </w:r>
      <w:r w:rsidR="005A3212" w:rsidRPr="003015CD">
        <w:rPr>
          <w:rFonts w:asciiTheme="majorHAnsi" w:hAnsiTheme="majorHAnsi" w:cstheme="majorBidi"/>
          <w:color w:val="000000" w:themeColor="text1"/>
        </w:rPr>
        <w:t xml:space="preserve">, the way </w:t>
      </w:r>
      <w:r w:rsidR="00A21873" w:rsidRPr="003015CD">
        <w:rPr>
          <w:rFonts w:asciiTheme="majorHAnsi" w:hAnsiTheme="majorHAnsi" w:cstheme="majorBidi"/>
          <w:color w:val="000000" w:themeColor="text1"/>
        </w:rPr>
        <w:t xml:space="preserve">the </w:t>
      </w:r>
      <w:r w:rsidR="005A3212" w:rsidRPr="003015CD">
        <w:rPr>
          <w:rFonts w:asciiTheme="majorHAnsi" w:hAnsiTheme="majorHAnsi" w:cstheme="majorBidi"/>
          <w:color w:val="000000" w:themeColor="text1"/>
        </w:rPr>
        <w:t xml:space="preserve">outcomes are measured and interpreted, and the way data are recorded and reported. </w:t>
      </w:r>
      <w:r w:rsidR="001C2FCB" w:rsidRPr="003015CD">
        <w:rPr>
          <w:rFonts w:asciiTheme="majorHAnsi" w:hAnsiTheme="majorHAnsi" w:cstheme="majorBidi"/>
          <w:color w:val="000000" w:themeColor="text1"/>
        </w:rPr>
        <w:t>[</w:t>
      </w:r>
      <w:r w:rsidR="00F754AB" w:rsidRPr="003015CD">
        <w:rPr>
          <w:rFonts w:asciiTheme="majorHAnsi" w:hAnsiTheme="majorHAnsi" w:cstheme="majorBidi"/>
          <w:color w:val="000000" w:themeColor="text1"/>
        </w:rPr>
        <w:t xml:space="preserve">Adapted from GHTF </w:t>
      </w:r>
      <w:r w:rsidR="005A3212" w:rsidRPr="003015CD">
        <w:rPr>
          <w:rFonts w:asciiTheme="majorHAnsi" w:hAnsiTheme="majorHAnsi" w:cstheme="majorBidi"/>
          <w:color w:val="000000" w:themeColor="text1"/>
        </w:rPr>
        <w:t>SG5/N2R8:2007</w:t>
      </w:r>
      <w:r w:rsidR="001C2FCB" w:rsidRPr="003015CD">
        <w:rPr>
          <w:rFonts w:asciiTheme="majorHAnsi" w:hAnsiTheme="majorHAnsi" w:cstheme="majorBidi"/>
          <w:color w:val="000000" w:themeColor="text1"/>
        </w:rPr>
        <w:t>]</w:t>
      </w:r>
    </w:p>
    <w:p w14:paraId="7A195C46" w14:textId="369B3D48" w:rsidR="001171EB" w:rsidRPr="003015CD" w:rsidRDefault="001171EB" w:rsidP="00081885">
      <w:pPr>
        <w:jc w:val="both"/>
        <w:rPr>
          <w:rFonts w:asciiTheme="majorHAnsi" w:hAnsiTheme="majorHAnsi" w:cstheme="majorHAnsi"/>
          <w:color w:val="000000" w:themeColor="text1"/>
        </w:rPr>
      </w:pPr>
    </w:p>
    <w:p w14:paraId="1FC3213F" w14:textId="5C5CB804" w:rsidR="00E07488" w:rsidRPr="003015CD" w:rsidRDefault="00E07488"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Clinical benefit:</w:t>
      </w:r>
      <w:r w:rsidRPr="003015CD">
        <w:rPr>
          <w:rFonts w:asciiTheme="majorHAnsi" w:hAnsiTheme="majorHAnsi" w:cstheme="majorBidi"/>
          <w:color w:val="000000" w:themeColor="text1"/>
        </w:rPr>
        <w:t xml:space="preserve"> </w:t>
      </w:r>
      <w:r w:rsidR="00656E11" w:rsidRPr="003015CD">
        <w:rPr>
          <w:rFonts w:asciiTheme="majorHAnsi" w:hAnsiTheme="majorHAnsi" w:cstheme="majorBidi"/>
          <w:color w:val="000000" w:themeColor="text1"/>
        </w:rPr>
        <w:t>t</w:t>
      </w:r>
      <w:r w:rsidRPr="003015CD">
        <w:rPr>
          <w:rFonts w:asciiTheme="majorHAnsi" w:hAnsiTheme="majorHAnsi" w:cstheme="majorBidi"/>
          <w:color w:val="000000" w:themeColor="text1"/>
        </w:rPr>
        <w:t>he positive impact of a device on the health of an individual, expressed in terms of a meaningful, measurable, patient-relevant clinical outcome(s), including outcome(s) related to diagnosis, or a positive impact on patient management or public health; [Article 2</w:t>
      </w:r>
      <w:r w:rsidR="00D018DF" w:rsidRPr="003015CD">
        <w:rPr>
          <w:rFonts w:asciiTheme="majorHAnsi" w:hAnsiTheme="majorHAnsi" w:cstheme="majorBidi"/>
          <w:color w:val="000000" w:themeColor="text1"/>
        </w:rPr>
        <w:t>(</w:t>
      </w:r>
      <w:r w:rsidRPr="003015CD">
        <w:rPr>
          <w:rFonts w:asciiTheme="majorHAnsi" w:hAnsiTheme="majorHAnsi" w:cstheme="majorBidi"/>
          <w:color w:val="000000" w:themeColor="text1"/>
        </w:rPr>
        <w:t>53</w:t>
      </w:r>
      <w:r w:rsidR="00D018DF"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MDR]</w:t>
      </w:r>
    </w:p>
    <w:p w14:paraId="1BDF28DC" w14:textId="26B49E9C" w:rsidR="005E3180" w:rsidRPr="003015CD" w:rsidRDefault="005E3180"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Note: clinical benefits may be either direct</w:t>
      </w:r>
      <w:r w:rsidR="00163FEB" w:rsidRPr="003015CD">
        <w:rPr>
          <w:rFonts w:asciiTheme="majorHAnsi" w:hAnsiTheme="majorHAnsi" w:cstheme="majorBidi"/>
          <w:color w:val="000000" w:themeColor="text1"/>
        </w:rPr>
        <w:t>ly</w:t>
      </w:r>
      <w:r w:rsidRPr="003015CD">
        <w:rPr>
          <w:rFonts w:asciiTheme="majorHAnsi" w:hAnsiTheme="majorHAnsi" w:cstheme="majorBidi"/>
          <w:color w:val="000000" w:themeColor="text1"/>
        </w:rPr>
        <w:t xml:space="preserve"> or indirect</w:t>
      </w:r>
      <w:r w:rsidR="00163FEB" w:rsidRPr="003015CD">
        <w:rPr>
          <w:rFonts w:asciiTheme="majorHAnsi" w:hAnsiTheme="majorHAnsi" w:cstheme="majorBidi"/>
          <w:color w:val="000000" w:themeColor="text1"/>
        </w:rPr>
        <w:t xml:space="preserve">ly </w:t>
      </w:r>
      <w:r w:rsidR="00EF6FFE" w:rsidRPr="003015CD">
        <w:rPr>
          <w:rFonts w:asciiTheme="majorHAnsi" w:hAnsiTheme="majorHAnsi" w:cstheme="majorBidi"/>
          <w:color w:val="000000" w:themeColor="text1"/>
        </w:rPr>
        <w:t>measurable</w:t>
      </w:r>
      <w:r w:rsidRPr="003015CD">
        <w:rPr>
          <w:rFonts w:asciiTheme="majorHAnsi" w:hAnsiTheme="majorHAnsi" w:cstheme="majorBidi"/>
          <w:color w:val="000000" w:themeColor="text1"/>
        </w:rPr>
        <w:t xml:space="preserve">; for </w:t>
      </w:r>
      <w:r w:rsidR="00A05B6F" w:rsidRPr="003015CD">
        <w:rPr>
          <w:rFonts w:asciiTheme="majorHAnsi" w:hAnsiTheme="majorHAnsi" w:cstheme="majorBidi"/>
          <w:color w:val="000000" w:themeColor="text1"/>
        </w:rPr>
        <w:t>example,</w:t>
      </w:r>
      <w:r w:rsidRPr="003015CD">
        <w:rPr>
          <w:rFonts w:asciiTheme="majorHAnsi" w:hAnsiTheme="majorHAnsi" w:cstheme="majorBidi"/>
          <w:color w:val="000000" w:themeColor="text1"/>
        </w:rPr>
        <w:t xml:space="preserve"> devices such as guidewires may assist other medical devices in achieving their intended purpose, without having a direct therapeutic or diagnostic function themselves</w:t>
      </w:r>
      <w:r w:rsidR="0034798F" w:rsidRPr="003015CD">
        <w:rPr>
          <w:rFonts w:asciiTheme="majorHAnsi" w:hAnsiTheme="majorHAnsi" w:cstheme="majorBidi"/>
          <w:color w:val="000000" w:themeColor="text1"/>
        </w:rPr>
        <w:t>.</w:t>
      </w:r>
      <w:r w:rsidR="00C66522" w:rsidRPr="003015CD">
        <w:rPr>
          <w:rFonts w:asciiTheme="majorHAnsi" w:hAnsiTheme="majorHAnsi" w:cstheme="majorBidi"/>
          <w:color w:val="000000" w:themeColor="text1"/>
        </w:rPr>
        <w:t xml:space="preserve"> These indirectly measurable </w:t>
      </w:r>
      <w:r w:rsidR="003501C9" w:rsidRPr="003015CD">
        <w:rPr>
          <w:rFonts w:asciiTheme="majorHAnsi" w:hAnsiTheme="majorHAnsi" w:cstheme="majorBidi"/>
          <w:color w:val="000000" w:themeColor="text1"/>
        </w:rPr>
        <w:t xml:space="preserve">benefits may require surrogate </w:t>
      </w:r>
      <w:r w:rsidR="00C53CDF" w:rsidRPr="003015CD">
        <w:rPr>
          <w:rFonts w:asciiTheme="majorHAnsi" w:hAnsiTheme="majorHAnsi" w:cstheme="majorBidi"/>
          <w:color w:val="000000" w:themeColor="text1"/>
        </w:rPr>
        <w:t>endpoints</w:t>
      </w:r>
      <w:r w:rsidR="003501C9" w:rsidRPr="003015CD">
        <w:rPr>
          <w:rFonts w:asciiTheme="majorHAnsi" w:hAnsiTheme="majorHAnsi" w:cstheme="majorBidi"/>
          <w:color w:val="000000" w:themeColor="text1"/>
        </w:rPr>
        <w:t>.</w:t>
      </w:r>
      <w:r w:rsidR="0034798F" w:rsidRPr="003015CD">
        <w:rPr>
          <w:rFonts w:asciiTheme="majorHAnsi" w:hAnsiTheme="majorHAnsi" w:cstheme="majorBidi"/>
          <w:color w:val="000000" w:themeColor="text1"/>
        </w:rPr>
        <w:t xml:space="preserve"> </w:t>
      </w:r>
    </w:p>
    <w:p w14:paraId="292D08FA" w14:textId="77777777" w:rsidR="001171EB" w:rsidRPr="003015CD" w:rsidRDefault="001171EB" w:rsidP="00081885">
      <w:pPr>
        <w:jc w:val="both"/>
        <w:rPr>
          <w:rFonts w:asciiTheme="majorHAnsi" w:hAnsiTheme="majorHAnsi" w:cstheme="majorHAnsi"/>
          <w:color w:val="000000" w:themeColor="text1"/>
        </w:rPr>
      </w:pPr>
    </w:p>
    <w:p w14:paraId="3C8BC4F6" w14:textId="312AB257" w:rsidR="002E449A" w:rsidRPr="003015CD" w:rsidRDefault="004F4730" w:rsidP="00081885">
      <w:pPr>
        <w:jc w:val="both"/>
        <w:rPr>
          <w:rFonts w:asciiTheme="majorHAnsi" w:hAnsiTheme="majorHAnsi" w:cstheme="majorHAnsi"/>
          <w:color w:val="000000" w:themeColor="text1"/>
          <w:lang w:eastAsia="de-CH"/>
        </w:rPr>
      </w:pPr>
      <w:bookmarkStart w:id="15" w:name="_Hlk126234879"/>
      <w:r w:rsidRPr="003015CD">
        <w:rPr>
          <w:rFonts w:asciiTheme="majorHAnsi" w:hAnsiTheme="majorHAnsi" w:cstheme="majorHAnsi"/>
          <w:b/>
          <w:bCs/>
          <w:color w:val="000000" w:themeColor="text1"/>
        </w:rPr>
        <w:t xml:space="preserve">Clinical </w:t>
      </w:r>
      <w:r w:rsidR="003E70D1" w:rsidRPr="003015CD">
        <w:rPr>
          <w:rFonts w:asciiTheme="majorHAnsi" w:hAnsiTheme="majorHAnsi" w:cstheme="majorHAnsi"/>
          <w:b/>
          <w:bCs/>
          <w:color w:val="000000" w:themeColor="text1"/>
        </w:rPr>
        <w:t>d</w:t>
      </w:r>
      <w:r w:rsidRPr="003015CD">
        <w:rPr>
          <w:rFonts w:asciiTheme="majorHAnsi" w:hAnsiTheme="majorHAnsi" w:cstheme="majorHAnsi"/>
          <w:b/>
          <w:bCs/>
          <w:color w:val="000000" w:themeColor="text1"/>
        </w:rPr>
        <w:t>ata</w:t>
      </w:r>
      <w:bookmarkEnd w:id="15"/>
      <w:r w:rsidRPr="003015CD">
        <w:rPr>
          <w:rFonts w:asciiTheme="majorHAnsi" w:hAnsiTheme="majorHAnsi" w:cstheme="majorHAnsi"/>
          <w:b/>
          <w:bCs/>
          <w:color w:val="000000" w:themeColor="text1"/>
        </w:rPr>
        <w:t xml:space="preserve">: </w:t>
      </w:r>
      <w:r w:rsidR="002E449A" w:rsidRPr="003015CD">
        <w:rPr>
          <w:rFonts w:asciiTheme="majorHAnsi" w:hAnsiTheme="majorHAnsi" w:cstheme="majorHAnsi"/>
          <w:color w:val="000000" w:themeColor="text1"/>
          <w:lang w:eastAsia="de-CH"/>
        </w:rPr>
        <w:t xml:space="preserve">information </w:t>
      </w:r>
      <w:r w:rsidR="006701C8" w:rsidRPr="003015CD">
        <w:rPr>
          <w:rFonts w:asciiTheme="majorHAnsi" w:hAnsiTheme="majorHAnsi" w:cstheme="majorHAnsi"/>
          <w:color w:val="000000" w:themeColor="text1"/>
          <w:lang w:eastAsia="de-CH"/>
        </w:rPr>
        <w:t xml:space="preserve">concerning safety or performance </w:t>
      </w:r>
      <w:r w:rsidR="002E449A" w:rsidRPr="003015CD">
        <w:rPr>
          <w:rFonts w:asciiTheme="majorHAnsi" w:hAnsiTheme="majorHAnsi" w:cstheme="majorHAnsi"/>
          <w:color w:val="000000" w:themeColor="text1"/>
          <w:lang w:eastAsia="de-CH"/>
        </w:rPr>
        <w:t>that</w:t>
      </w:r>
      <w:r w:rsidR="00E74554" w:rsidRPr="003015CD">
        <w:rPr>
          <w:rFonts w:asciiTheme="majorHAnsi" w:hAnsiTheme="majorHAnsi" w:cstheme="majorHAnsi"/>
          <w:color w:val="000000" w:themeColor="text1"/>
          <w:lang w:eastAsia="de-CH"/>
        </w:rPr>
        <w:t xml:space="preserve"> </w:t>
      </w:r>
      <w:r w:rsidR="002E449A" w:rsidRPr="003015CD">
        <w:rPr>
          <w:rFonts w:asciiTheme="majorHAnsi" w:hAnsiTheme="majorHAnsi" w:cstheme="majorHAnsi"/>
          <w:color w:val="000000" w:themeColor="text1"/>
          <w:lang w:eastAsia="de-CH"/>
        </w:rPr>
        <w:t>is generated from the use of a device</w:t>
      </w:r>
      <w:r w:rsidR="00AA0520" w:rsidRPr="003015CD">
        <w:rPr>
          <w:rFonts w:asciiTheme="majorHAnsi" w:hAnsiTheme="majorHAnsi" w:cstheme="majorHAnsi"/>
          <w:color w:val="000000" w:themeColor="text1"/>
          <w:lang w:eastAsia="de-CH"/>
        </w:rPr>
        <w:t xml:space="preserve"> </w:t>
      </w:r>
      <w:r w:rsidR="00287BE4" w:rsidRPr="003015CD">
        <w:rPr>
          <w:rFonts w:asciiTheme="majorHAnsi" w:hAnsiTheme="majorHAnsi" w:cstheme="majorHAnsi"/>
          <w:color w:val="000000" w:themeColor="text1"/>
          <w:lang w:eastAsia="de-CH"/>
        </w:rPr>
        <w:t>a</w:t>
      </w:r>
      <w:r w:rsidR="00AA0520" w:rsidRPr="003015CD">
        <w:rPr>
          <w:rFonts w:asciiTheme="majorHAnsi" w:hAnsiTheme="majorHAnsi" w:cstheme="majorHAnsi"/>
          <w:color w:val="000000" w:themeColor="text1"/>
          <w:lang w:eastAsia="de-CH"/>
        </w:rPr>
        <w:t xml:space="preserve">nd is sourced from the following: </w:t>
      </w:r>
    </w:p>
    <w:p w14:paraId="590FDEB1" w14:textId="26584369" w:rsidR="002E449A" w:rsidRPr="003015CD" w:rsidRDefault="002E449A" w:rsidP="00081885">
      <w:pPr>
        <w:ind w:left="284" w:hanging="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lang w:eastAsia="de-CH"/>
        </w:rPr>
        <w:tab/>
        <w:t>clinical investigation(s) of the device concerned</w:t>
      </w:r>
      <w:r w:rsidR="00AA0520" w:rsidRPr="003015CD">
        <w:rPr>
          <w:rFonts w:asciiTheme="majorHAnsi" w:hAnsiTheme="majorHAnsi" w:cstheme="majorHAnsi"/>
          <w:color w:val="000000" w:themeColor="text1"/>
          <w:lang w:eastAsia="de-CH"/>
        </w:rPr>
        <w:t>,</w:t>
      </w:r>
    </w:p>
    <w:p w14:paraId="50DF1786" w14:textId="7422F4F7" w:rsidR="002E449A" w:rsidRPr="003015CD" w:rsidRDefault="002E449A" w:rsidP="00081885">
      <w:pPr>
        <w:ind w:left="284" w:hanging="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lang w:eastAsia="de-CH"/>
        </w:rPr>
        <w:tab/>
        <w:t>clinical investigation(s) or other studies reported in the scientific literature, of a device for which equivalence to the device in question can be demonstrated</w:t>
      </w:r>
      <w:r w:rsidR="00AA0520" w:rsidRPr="003015CD">
        <w:rPr>
          <w:rFonts w:asciiTheme="majorHAnsi" w:hAnsiTheme="majorHAnsi" w:cstheme="majorHAnsi"/>
          <w:color w:val="000000" w:themeColor="text1"/>
          <w:lang w:eastAsia="de-CH"/>
        </w:rPr>
        <w:t>,</w:t>
      </w:r>
    </w:p>
    <w:p w14:paraId="199646C0" w14:textId="485AA4CB" w:rsidR="00AA0520" w:rsidRPr="003015CD" w:rsidRDefault="002E449A" w:rsidP="00081885">
      <w:pPr>
        <w:ind w:left="284" w:hanging="284"/>
        <w:jc w:val="both"/>
        <w:rPr>
          <w:rFonts w:asciiTheme="majorHAnsi" w:hAnsiTheme="majorHAnsi" w:cstheme="majorHAnsi"/>
          <w:color w:val="000000" w:themeColor="text1"/>
        </w:rPr>
      </w:pPr>
      <w:r w:rsidRPr="003015CD">
        <w:rPr>
          <w:rFonts w:asciiTheme="majorHAnsi" w:hAnsiTheme="majorHAnsi" w:cstheme="majorHAnsi"/>
          <w:color w:val="000000" w:themeColor="text1"/>
          <w:lang w:eastAsia="de-CH"/>
        </w:rPr>
        <w:t>-</w:t>
      </w:r>
      <w:r w:rsidRPr="003015CD">
        <w:rPr>
          <w:rFonts w:asciiTheme="majorHAnsi" w:hAnsiTheme="majorHAnsi" w:cstheme="majorHAnsi"/>
          <w:color w:val="000000" w:themeColor="text1"/>
          <w:lang w:eastAsia="de-CH"/>
        </w:rPr>
        <w:tab/>
      </w:r>
      <w:r w:rsidR="00AA0520" w:rsidRPr="003015CD">
        <w:rPr>
          <w:rFonts w:asciiTheme="majorHAnsi" w:hAnsiTheme="majorHAnsi" w:cstheme="majorHAnsi"/>
          <w:color w:val="000000" w:themeColor="text1"/>
          <w:lang w:eastAsia="de-CH"/>
        </w:rPr>
        <w:t xml:space="preserve">reports </w:t>
      </w:r>
      <w:r w:rsidRPr="003015CD">
        <w:rPr>
          <w:rFonts w:asciiTheme="majorHAnsi" w:hAnsiTheme="majorHAnsi" w:cstheme="majorHAnsi"/>
          <w:color w:val="000000" w:themeColor="text1"/>
          <w:lang w:eastAsia="de-CH"/>
        </w:rPr>
        <w:t xml:space="preserve">published </w:t>
      </w:r>
      <w:r w:rsidR="00AA0520" w:rsidRPr="003015CD">
        <w:rPr>
          <w:rFonts w:asciiTheme="majorHAnsi" w:hAnsiTheme="majorHAnsi" w:cstheme="majorHAnsi"/>
          <w:color w:val="000000" w:themeColor="text1"/>
          <w:lang w:eastAsia="de-CH"/>
        </w:rPr>
        <w:t xml:space="preserve">in peer reviewed scientific literature on other </w:t>
      </w:r>
      <w:r w:rsidRPr="003015CD">
        <w:rPr>
          <w:rFonts w:asciiTheme="majorHAnsi" w:hAnsiTheme="majorHAnsi" w:cstheme="majorHAnsi"/>
          <w:color w:val="000000" w:themeColor="text1"/>
          <w:lang w:eastAsia="de-CH"/>
        </w:rPr>
        <w:t>clinical experience of either the device in question or a device for which equivalence to the device in question can be demonstrated</w:t>
      </w:r>
      <w:r w:rsidR="00AA0520" w:rsidRPr="003015CD">
        <w:rPr>
          <w:rFonts w:asciiTheme="majorHAnsi" w:hAnsiTheme="majorHAnsi" w:cstheme="majorHAnsi"/>
          <w:color w:val="000000" w:themeColor="text1"/>
        </w:rPr>
        <w:t>,</w:t>
      </w:r>
    </w:p>
    <w:p w14:paraId="3524E9C6" w14:textId="0D3E4A49" w:rsidR="002E449A" w:rsidRPr="003015CD" w:rsidRDefault="00AA0520" w:rsidP="00081885">
      <w:pPr>
        <w:ind w:left="284" w:hanging="284"/>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lang w:eastAsia="de-CH"/>
        </w:rPr>
        <w:t>clinically relevant information coming from post-market surveillance, in particular the post-market clinical follow-up</w:t>
      </w:r>
      <w:r w:rsidR="008D1DEB" w:rsidRPr="003015CD">
        <w:rPr>
          <w:rFonts w:asciiTheme="majorHAnsi" w:hAnsiTheme="majorHAnsi" w:cstheme="majorHAnsi"/>
          <w:color w:val="000000" w:themeColor="text1"/>
          <w:lang w:eastAsia="de-CH"/>
        </w:rPr>
        <w:t>.</w:t>
      </w:r>
    </w:p>
    <w:p w14:paraId="64292958" w14:textId="78297C6B" w:rsidR="004F4730" w:rsidRPr="003015CD" w:rsidRDefault="002E449A"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00EA7EB8" w:rsidRPr="003015CD">
        <w:rPr>
          <w:rFonts w:asciiTheme="majorHAnsi" w:hAnsiTheme="majorHAnsi" w:cstheme="majorHAnsi"/>
          <w:color w:val="000000" w:themeColor="text1"/>
        </w:rPr>
        <w:t xml:space="preserve">Article </w:t>
      </w:r>
      <w:r w:rsidR="0002610B" w:rsidRPr="003015CD">
        <w:rPr>
          <w:rFonts w:asciiTheme="majorHAnsi" w:hAnsiTheme="majorHAnsi" w:cstheme="majorHAnsi"/>
          <w:color w:val="000000" w:themeColor="text1"/>
        </w:rPr>
        <w:t>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48</w:t>
      </w:r>
      <w:r w:rsidR="00D018DF" w:rsidRPr="003015CD">
        <w:rPr>
          <w:rFonts w:asciiTheme="majorHAnsi" w:hAnsiTheme="majorHAnsi" w:cstheme="majorHAnsi"/>
          <w:color w:val="000000" w:themeColor="text1"/>
        </w:rPr>
        <w:t>)</w:t>
      </w:r>
      <w:r w:rsidR="00AA0520" w:rsidRPr="003015CD">
        <w:rPr>
          <w:rFonts w:asciiTheme="majorHAnsi" w:hAnsiTheme="majorHAnsi" w:cstheme="majorHAnsi"/>
          <w:color w:val="000000" w:themeColor="text1"/>
        </w:rPr>
        <w:t xml:space="preserve"> MDR</w:t>
      </w:r>
      <w:r w:rsidRPr="003015CD">
        <w:rPr>
          <w:rFonts w:asciiTheme="majorHAnsi" w:hAnsiTheme="majorHAnsi" w:cstheme="majorHAnsi"/>
          <w:color w:val="000000" w:themeColor="text1"/>
        </w:rPr>
        <w:t>]</w:t>
      </w:r>
    </w:p>
    <w:p w14:paraId="41ACA244" w14:textId="77777777" w:rsidR="001171EB" w:rsidRPr="003015CD" w:rsidRDefault="001171EB" w:rsidP="00081885">
      <w:pPr>
        <w:jc w:val="both"/>
        <w:rPr>
          <w:rFonts w:asciiTheme="majorHAnsi" w:hAnsiTheme="majorHAnsi" w:cstheme="majorHAnsi"/>
          <w:color w:val="000000" w:themeColor="text1"/>
        </w:rPr>
      </w:pPr>
    </w:p>
    <w:p w14:paraId="73E69878" w14:textId="13A62612" w:rsidR="005359A7" w:rsidRPr="003015CD" w:rsidRDefault="004F4730"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t xml:space="preserve">Clinical </w:t>
      </w:r>
      <w:r w:rsidR="003E70D1" w:rsidRPr="003015CD">
        <w:rPr>
          <w:rFonts w:asciiTheme="majorHAnsi" w:hAnsiTheme="majorHAnsi" w:cstheme="majorHAnsi"/>
          <w:b/>
          <w:bCs/>
          <w:color w:val="000000" w:themeColor="text1"/>
        </w:rPr>
        <w:t>e</w:t>
      </w:r>
      <w:r w:rsidRPr="003015CD">
        <w:rPr>
          <w:rFonts w:asciiTheme="majorHAnsi" w:hAnsiTheme="majorHAnsi" w:cstheme="majorHAnsi"/>
          <w:b/>
          <w:bCs/>
          <w:color w:val="000000" w:themeColor="text1"/>
        </w:rPr>
        <w:t xml:space="preserve">valuation: </w:t>
      </w:r>
      <w:r w:rsidR="000B30F2" w:rsidRPr="003015CD">
        <w:rPr>
          <w:rFonts w:asciiTheme="majorHAnsi" w:hAnsiTheme="majorHAnsi" w:cstheme="majorHAnsi"/>
          <w:color w:val="000000" w:themeColor="text1"/>
          <w:lang w:eastAsia="de-CH"/>
        </w:rPr>
        <w:t xml:space="preserve">a </w:t>
      </w:r>
      <w:r w:rsidR="00AA0520" w:rsidRPr="003015CD">
        <w:rPr>
          <w:rFonts w:asciiTheme="majorHAnsi" w:hAnsiTheme="majorHAnsi" w:cstheme="majorHAnsi"/>
          <w:color w:val="000000" w:themeColor="text1"/>
          <w:lang w:eastAsia="de-CH"/>
        </w:rPr>
        <w:t xml:space="preserve">systematic and planned process to continuously generate, </w:t>
      </w:r>
      <w:r w:rsidR="00BB28ED" w:rsidRPr="003015CD">
        <w:rPr>
          <w:rFonts w:asciiTheme="majorHAnsi" w:hAnsiTheme="majorHAnsi" w:cstheme="majorHAnsi"/>
          <w:color w:val="000000" w:themeColor="text1"/>
          <w:lang w:eastAsia="de-CH"/>
        </w:rPr>
        <w:t>collect</w:t>
      </w:r>
      <w:r w:rsidR="00781C31" w:rsidRPr="003015CD">
        <w:rPr>
          <w:rFonts w:asciiTheme="majorHAnsi" w:hAnsiTheme="majorHAnsi" w:cstheme="majorHAnsi"/>
          <w:color w:val="000000" w:themeColor="text1"/>
          <w:lang w:eastAsia="de-CH"/>
        </w:rPr>
        <w:t xml:space="preserve">, </w:t>
      </w:r>
      <w:r w:rsidR="00AA0520" w:rsidRPr="003015CD">
        <w:rPr>
          <w:rFonts w:asciiTheme="majorHAnsi" w:hAnsiTheme="majorHAnsi" w:cstheme="majorHAnsi"/>
          <w:color w:val="000000" w:themeColor="text1"/>
          <w:lang w:eastAsia="de-CH"/>
        </w:rPr>
        <w:t>analyse and assess</w:t>
      </w:r>
      <w:r w:rsidR="00E07488" w:rsidRPr="003015CD">
        <w:rPr>
          <w:rFonts w:asciiTheme="majorHAnsi" w:hAnsiTheme="majorHAnsi" w:cstheme="majorHAnsi"/>
          <w:color w:val="000000" w:themeColor="text1"/>
          <w:lang w:eastAsia="de-CH"/>
        </w:rPr>
        <w:t xml:space="preserve"> </w:t>
      </w:r>
      <w:r w:rsidR="00AA0520" w:rsidRPr="003015CD">
        <w:rPr>
          <w:rFonts w:asciiTheme="majorHAnsi" w:hAnsiTheme="majorHAnsi" w:cstheme="majorHAnsi"/>
          <w:color w:val="000000" w:themeColor="text1"/>
          <w:lang w:eastAsia="de-CH"/>
        </w:rPr>
        <w:t xml:space="preserve">the </w:t>
      </w:r>
      <w:r w:rsidR="00BB28ED" w:rsidRPr="003015CD">
        <w:rPr>
          <w:rFonts w:asciiTheme="majorHAnsi" w:hAnsiTheme="majorHAnsi" w:cstheme="majorHAnsi"/>
          <w:color w:val="000000" w:themeColor="text1"/>
          <w:lang w:eastAsia="de-CH"/>
        </w:rPr>
        <w:t>clinical data</w:t>
      </w:r>
      <w:r w:rsidR="00BF011D" w:rsidRPr="003015CD">
        <w:rPr>
          <w:rFonts w:asciiTheme="majorHAnsi" w:hAnsiTheme="majorHAnsi" w:cstheme="majorHAnsi"/>
          <w:color w:val="000000" w:themeColor="text1"/>
          <w:lang w:eastAsia="de-CH"/>
        </w:rPr>
        <w:t xml:space="preserve"> </w:t>
      </w:r>
      <w:r w:rsidR="00BB28ED" w:rsidRPr="003015CD">
        <w:rPr>
          <w:rFonts w:asciiTheme="majorHAnsi" w:hAnsiTheme="majorHAnsi" w:cstheme="majorHAnsi"/>
          <w:color w:val="000000" w:themeColor="text1"/>
          <w:lang w:eastAsia="de-CH"/>
        </w:rPr>
        <w:t xml:space="preserve">pertaining to a device </w:t>
      </w:r>
      <w:r w:rsidR="00AA0520" w:rsidRPr="003015CD">
        <w:rPr>
          <w:rFonts w:asciiTheme="majorHAnsi" w:hAnsiTheme="majorHAnsi" w:cstheme="majorHAnsi"/>
          <w:color w:val="000000" w:themeColor="text1"/>
          <w:lang w:eastAsia="de-CH"/>
        </w:rPr>
        <w:t xml:space="preserve">in order to verify the </w:t>
      </w:r>
      <w:r w:rsidR="00BB28ED" w:rsidRPr="003015CD">
        <w:rPr>
          <w:rFonts w:asciiTheme="majorHAnsi" w:hAnsiTheme="majorHAnsi" w:cstheme="majorHAnsi"/>
          <w:color w:val="000000" w:themeColor="text1"/>
          <w:lang w:eastAsia="de-CH"/>
        </w:rPr>
        <w:t>safety and performance</w:t>
      </w:r>
      <w:r w:rsidR="00AA0520" w:rsidRPr="003015CD">
        <w:rPr>
          <w:rFonts w:asciiTheme="majorHAnsi" w:hAnsiTheme="majorHAnsi" w:cstheme="majorHAnsi"/>
          <w:color w:val="000000" w:themeColor="text1"/>
          <w:lang w:eastAsia="de-CH"/>
        </w:rPr>
        <w:t>,</w:t>
      </w:r>
      <w:r w:rsidR="002E449A" w:rsidRPr="003015CD">
        <w:rPr>
          <w:rFonts w:asciiTheme="majorHAnsi" w:hAnsiTheme="majorHAnsi" w:cstheme="majorHAnsi"/>
          <w:color w:val="000000" w:themeColor="text1"/>
          <w:lang w:eastAsia="de-CH"/>
        </w:rPr>
        <w:t xml:space="preserve"> </w:t>
      </w:r>
      <w:r w:rsidR="00AA0520" w:rsidRPr="003015CD">
        <w:rPr>
          <w:rFonts w:asciiTheme="majorHAnsi" w:hAnsiTheme="majorHAnsi" w:cstheme="majorHAnsi"/>
          <w:color w:val="000000" w:themeColor="text1"/>
          <w:lang w:eastAsia="de-CH"/>
        </w:rPr>
        <w:t xml:space="preserve">including clinical benefits, of the device </w:t>
      </w:r>
      <w:r w:rsidR="00DC7898" w:rsidRPr="003015CD">
        <w:rPr>
          <w:rFonts w:asciiTheme="majorHAnsi" w:hAnsiTheme="majorHAnsi" w:cstheme="majorHAnsi"/>
          <w:color w:val="000000" w:themeColor="text1"/>
        </w:rPr>
        <w:t>when us</w:t>
      </w:r>
      <w:r w:rsidR="00AA0520" w:rsidRPr="003015CD">
        <w:rPr>
          <w:rFonts w:asciiTheme="majorHAnsi" w:hAnsiTheme="majorHAnsi" w:cstheme="majorHAnsi"/>
          <w:color w:val="000000" w:themeColor="text1"/>
        </w:rPr>
        <w:t>ed as intended by the manufacturer;</w:t>
      </w:r>
      <w:r w:rsidR="00DC7898" w:rsidRPr="003015CD">
        <w:rPr>
          <w:rFonts w:asciiTheme="majorHAnsi" w:hAnsiTheme="majorHAnsi" w:cstheme="majorHAnsi"/>
          <w:color w:val="000000" w:themeColor="text1"/>
        </w:rPr>
        <w:t xml:space="preserve"> </w:t>
      </w:r>
      <w:r w:rsidR="0002610B" w:rsidRPr="003015CD">
        <w:rPr>
          <w:rFonts w:asciiTheme="majorHAnsi" w:hAnsiTheme="majorHAnsi" w:cstheme="majorHAnsi"/>
          <w:color w:val="000000" w:themeColor="text1"/>
        </w:rPr>
        <w:t>[Article 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4</w:t>
      </w:r>
      <w:r w:rsidR="005E3180" w:rsidRPr="003015CD">
        <w:rPr>
          <w:rFonts w:asciiTheme="majorHAnsi" w:hAnsiTheme="majorHAnsi" w:cstheme="majorHAnsi"/>
          <w:color w:val="000000" w:themeColor="text1"/>
        </w:rPr>
        <w:t>4</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 xml:space="preserve"> MDR]</w:t>
      </w:r>
    </w:p>
    <w:p w14:paraId="680F3CB4" w14:textId="77777777" w:rsidR="001171EB" w:rsidRPr="003015CD" w:rsidRDefault="001171EB" w:rsidP="00081885">
      <w:pPr>
        <w:jc w:val="both"/>
        <w:rPr>
          <w:rFonts w:asciiTheme="majorHAnsi" w:hAnsiTheme="majorHAnsi" w:cstheme="majorHAnsi"/>
          <w:color w:val="000000" w:themeColor="text1"/>
        </w:rPr>
      </w:pPr>
    </w:p>
    <w:p w14:paraId="0BF96B9E" w14:textId="529B9826" w:rsidR="001171EB" w:rsidRPr="003015CD" w:rsidRDefault="004F4730"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t xml:space="preserve">Clinical </w:t>
      </w:r>
      <w:r w:rsidR="00952A3E" w:rsidRPr="003015CD">
        <w:rPr>
          <w:rFonts w:asciiTheme="majorHAnsi" w:hAnsiTheme="majorHAnsi" w:cstheme="majorHAnsi"/>
          <w:b/>
          <w:bCs/>
          <w:color w:val="000000" w:themeColor="text1"/>
        </w:rPr>
        <w:t>e</w:t>
      </w:r>
      <w:r w:rsidRPr="003015CD">
        <w:rPr>
          <w:rFonts w:asciiTheme="majorHAnsi" w:hAnsiTheme="majorHAnsi" w:cstheme="majorHAnsi"/>
          <w:b/>
          <w:bCs/>
          <w:color w:val="000000" w:themeColor="text1"/>
        </w:rPr>
        <w:t xml:space="preserve">vidence: </w:t>
      </w:r>
      <w:r w:rsidR="0002610B" w:rsidRPr="003015CD">
        <w:rPr>
          <w:rFonts w:asciiTheme="majorHAnsi" w:hAnsiTheme="majorHAnsi" w:cstheme="majorHAnsi"/>
          <w:color w:val="000000" w:themeColor="text1"/>
        </w:rPr>
        <w:t>clinical data and clinical evaluation results pertaining to a device of a sufficient amount and quality to allow a qualified assessment of whether the device is safe and achieves the intended clinical benefit(s), when used as intended by the manufacturer; [Article 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51</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 xml:space="preserve"> MDR]</w:t>
      </w:r>
    </w:p>
    <w:p w14:paraId="764C4C1E" w14:textId="205D58FD" w:rsidR="0002610B" w:rsidRPr="003015CD" w:rsidRDefault="004F4730"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lastRenderedPageBreak/>
        <w:t xml:space="preserve">Clinical </w:t>
      </w:r>
      <w:r w:rsidR="00952A3E" w:rsidRPr="003015CD">
        <w:rPr>
          <w:rFonts w:asciiTheme="majorHAnsi" w:hAnsiTheme="majorHAnsi" w:cstheme="majorHAnsi"/>
          <w:b/>
          <w:bCs/>
          <w:color w:val="000000" w:themeColor="text1"/>
        </w:rPr>
        <w:t>i</w:t>
      </w:r>
      <w:r w:rsidRPr="003015CD">
        <w:rPr>
          <w:rFonts w:asciiTheme="majorHAnsi" w:hAnsiTheme="majorHAnsi" w:cstheme="majorHAnsi"/>
          <w:b/>
          <w:bCs/>
          <w:color w:val="000000" w:themeColor="text1"/>
        </w:rPr>
        <w:t xml:space="preserve">nvestigation: </w:t>
      </w:r>
      <w:r w:rsidR="000B30F2" w:rsidRPr="003015CD">
        <w:rPr>
          <w:rFonts w:asciiTheme="majorHAnsi" w:hAnsiTheme="majorHAnsi" w:cstheme="majorHAnsi"/>
          <w:bCs/>
          <w:color w:val="000000" w:themeColor="text1"/>
        </w:rPr>
        <w:t>s</w:t>
      </w:r>
      <w:r w:rsidR="001F145C" w:rsidRPr="003015CD">
        <w:rPr>
          <w:rFonts w:asciiTheme="majorHAnsi" w:hAnsiTheme="majorHAnsi" w:cstheme="majorHAnsi"/>
          <w:color w:val="000000" w:themeColor="text1"/>
          <w:lang w:eastAsia="de-CH"/>
        </w:rPr>
        <w:t>ystematic investigation in</w:t>
      </w:r>
      <w:r w:rsidR="0002610B" w:rsidRPr="003015CD">
        <w:rPr>
          <w:rFonts w:asciiTheme="majorHAnsi" w:hAnsiTheme="majorHAnsi" w:cstheme="majorHAnsi"/>
          <w:color w:val="000000" w:themeColor="text1"/>
          <w:lang w:eastAsia="de-CH"/>
        </w:rPr>
        <w:t>volving</w:t>
      </w:r>
      <w:r w:rsidR="001F145C" w:rsidRPr="003015CD">
        <w:rPr>
          <w:rFonts w:asciiTheme="majorHAnsi" w:hAnsiTheme="majorHAnsi" w:cstheme="majorHAnsi"/>
          <w:color w:val="000000" w:themeColor="text1"/>
          <w:lang w:eastAsia="de-CH"/>
        </w:rPr>
        <w:t xml:space="preserve"> one or more human subjects, undertaken to assess the safety or performance of a device.</w:t>
      </w:r>
      <w:r w:rsidR="00813CF0" w:rsidRPr="003015CD">
        <w:rPr>
          <w:rFonts w:asciiTheme="majorHAnsi" w:hAnsiTheme="majorHAnsi" w:cstheme="majorHAnsi"/>
          <w:color w:val="000000" w:themeColor="text1"/>
          <w:lang w:eastAsia="de-CH"/>
        </w:rPr>
        <w:t xml:space="preserve"> </w:t>
      </w:r>
      <w:r w:rsidR="0002610B" w:rsidRPr="003015CD">
        <w:rPr>
          <w:rFonts w:asciiTheme="majorHAnsi" w:hAnsiTheme="majorHAnsi" w:cstheme="majorHAnsi"/>
          <w:color w:val="000000" w:themeColor="text1"/>
        </w:rPr>
        <w:t>[Article 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45</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 xml:space="preserve"> MDR]</w:t>
      </w:r>
    </w:p>
    <w:p w14:paraId="382BA0A0" w14:textId="77777777" w:rsidR="001171EB" w:rsidRPr="003015CD" w:rsidRDefault="001171EB" w:rsidP="00081885">
      <w:pPr>
        <w:jc w:val="both"/>
        <w:rPr>
          <w:rFonts w:asciiTheme="majorHAnsi" w:hAnsiTheme="majorHAnsi" w:cstheme="majorHAnsi"/>
          <w:color w:val="000000" w:themeColor="text1"/>
          <w:lang w:eastAsia="de-CH"/>
        </w:rPr>
      </w:pPr>
    </w:p>
    <w:p w14:paraId="45AC6B73" w14:textId="677B3657" w:rsidR="00206FCE" w:rsidRPr="003015CD" w:rsidRDefault="002E449A"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lang w:eastAsia="de-CH"/>
        </w:rPr>
        <w:t xml:space="preserve">Note: </w:t>
      </w:r>
      <w:r w:rsidR="00691380" w:rsidRPr="003015CD">
        <w:rPr>
          <w:rFonts w:asciiTheme="majorHAnsi" w:hAnsiTheme="majorHAnsi" w:cstheme="majorBidi"/>
          <w:color w:val="000000" w:themeColor="text1"/>
          <w:lang w:eastAsia="de-CH"/>
        </w:rPr>
        <w:t>in the international standard</w:t>
      </w:r>
      <w:r w:rsidR="00206FCE" w:rsidRPr="003015CD">
        <w:rPr>
          <w:rFonts w:asciiTheme="majorHAnsi" w:hAnsiTheme="majorHAnsi" w:cstheme="majorBidi"/>
          <w:color w:val="000000" w:themeColor="text1"/>
          <w:lang w:eastAsia="de-CH"/>
        </w:rPr>
        <w:t xml:space="preserve"> EN ISO 14155:2020 </w:t>
      </w:r>
      <w:r w:rsidRPr="003015CD">
        <w:rPr>
          <w:rFonts w:asciiTheme="majorHAnsi" w:hAnsiTheme="majorHAnsi" w:cstheme="majorBidi"/>
          <w:color w:val="000000" w:themeColor="text1"/>
          <w:lang w:eastAsia="de-CH"/>
        </w:rPr>
        <w:t>'clinical trial' or ' clinical study' are synonymous with ' clinical investigation'.</w:t>
      </w:r>
      <w:r w:rsidR="00206FCE" w:rsidRPr="003015CD">
        <w:rPr>
          <w:rFonts w:asciiTheme="majorHAnsi" w:hAnsiTheme="majorHAnsi" w:cstheme="majorBidi"/>
          <w:color w:val="000000" w:themeColor="text1"/>
          <w:lang w:eastAsia="de-CH"/>
        </w:rPr>
        <w:t xml:space="preserve"> However, </w:t>
      </w:r>
      <w:r w:rsidR="00206FCE" w:rsidRPr="003015CD">
        <w:rPr>
          <w:rFonts w:asciiTheme="majorHAnsi" w:hAnsiTheme="majorHAnsi" w:cstheme="majorBidi"/>
          <w:color w:val="000000" w:themeColor="text1"/>
        </w:rPr>
        <w:t xml:space="preserve">it should be acknowledged that the terms are not used synonymously in EU legislation, and for the purpose of this guidance, the term clinical investigation is used, in line with MDR definition (see also MDCG 2021-6 for more details). </w:t>
      </w:r>
    </w:p>
    <w:p w14:paraId="17E74220" w14:textId="77777777" w:rsidR="001171EB" w:rsidRPr="003015CD" w:rsidRDefault="001171EB" w:rsidP="00081885">
      <w:pPr>
        <w:jc w:val="both"/>
        <w:rPr>
          <w:rFonts w:asciiTheme="majorHAnsi" w:hAnsiTheme="majorHAnsi" w:cstheme="majorHAnsi"/>
          <w:color w:val="000000" w:themeColor="text1"/>
        </w:rPr>
      </w:pPr>
    </w:p>
    <w:p w14:paraId="062D0CA6" w14:textId="5AECE8A8" w:rsidR="0002610B" w:rsidRPr="003015CD" w:rsidRDefault="004F4730"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t xml:space="preserve">Clinical </w:t>
      </w:r>
      <w:r w:rsidR="00952A3E" w:rsidRPr="003015CD">
        <w:rPr>
          <w:rFonts w:asciiTheme="majorHAnsi" w:hAnsiTheme="majorHAnsi" w:cstheme="majorHAnsi"/>
          <w:b/>
          <w:bCs/>
          <w:color w:val="000000" w:themeColor="text1"/>
        </w:rPr>
        <w:t>i</w:t>
      </w:r>
      <w:r w:rsidRPr="003015CD">
        <w:rPr>
          <w:rFonts w:asciiTheme="majorHAnsi" w:hAnsiTheme="majorHAnsi" w:cstheme="majorHAnsi"/>
          <w:b/>
          <w:bCs/>
          <w:color w:val="000000" w:themeColor="text1"/>
        </w:rPr>
        <w:t xml:space="preserve">nvestigation </w:t>
      </w:r>
      <w:r w:rsidR="00952A3E" w:rsidRPr="003015CD">
        <w:rPr>
          <w:rFonts w:asciiTheme="majorHAnsi" w:hAnsiTheme="majorHAnsi" w:cstheme="majorHAnsi"/>
          <w:b/>
          <w:bCs/>
          <w:color w:val="000000" w:themeColor="text1"/>
        </w:rPr>
        <w:t>p</w:t>
      </w:r>
      <w:r w:rsidRPr="003015CD">
        <w:rPr>
          <w:rFonts w:asciiTheme="majorHAnsi" w:hAnsiTheme="majorHAnsi" w:cstheme="majorHAnsi"/>
          <w:b/>
          <w:bCs/>
          <w:color w:val="000000" w:themeColor="text1"/>
        </w:rPr>
        <w:t xml:space="preserve">lan: </w:t>
      </w:r>
      <w:r w:rsidR="000B30F2" w:rsidRPr="003015CD">
        <w:rPr>
          <w:rFonts w:asciiTheme="majorHAnsi" w:hAnsiTheme="majorHAnsi" w:cstheme="majorHAnsi"/>
          <w:color w:val="000000" w:themeColor="text1"/>
        </w:rPr>
        <w:t>d</w:t>
      </w:r>
      <w:r w:rsidRPr="003015CD">
        <w:rPr>
          <w:rFonts w:asciiTheme="majorHAnsi" w:hAnsiTheme="majorHAnsi" w:cstheme="majorHAnsi"/>
          <w:color w:val="000000" w:themeColor="text1"/>
        </w:rPr>
        <w:t xml:space="preserve">ocument that </w:t>
      </w:r>
      <w:r w:rsidR="0002610B" w:rsidRPr="003015CD">
        <w:rPr>
          <w:rFonts w:asciiTheme="majorHAnsi" w:hAnsiTheme="majorHAnsi" w:cstheme="majorHAnsi"/>
          <w:color w:val="000000" w:themeColor="text1"/>
        </w:rPr>
        <w:t>describes</w:t>
      </w:r>
      <w:r w:rsidR="005E3180"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the rationale, objectives, design and methodology, monitoring,</w:t>
      </w:r>
      <w:r w:rsidR="0002610B" w:rsidRPr="003015CD">
        <w:rPr>
          <w:rFonts w:asciiTheme="majorHAnsi" w:hAnsiTheme="majorHAnsi" w:cstheme="majorHAnsi"/>
          <w:color w:val="000000" w:themeColor="text1"/>
        </w:rPr>
        <w:t xml:space="preserve"> statistical considerations, organisation and</w:t>
      </w:r>
      <w:r w:rsidRPr="003015CD">
        <w:rPr>
          <w:rFonts w:asciiTheme="majorHAnsi" w:hAnsiTheme="majorHAnsi" w:cstheme="majorHAnsi"/>
          <w:color w:val="000000" w:themeColor="text1"/>
        </w:rPr>
        <w:t xml:space="preserve"> conduct of the clinical</w:t>
      </w:r>
      <w:r w:rsidR="00C16CF9"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investigation.</w:t>
      </w:r>
      <w:r w:rsidR="001F145C" w:rsidRPr="003015CD">
        <w:rPr>
          <w:rFonts w:asciiTheme="majorHAnsi" w:hAnsiTheme="majorHAnsi" w:cstheme="majorHAnsi"/>
          <w:color w:val="000000" w:themeColor="text1"/>
        </w:rPr>
        <w:t xml:space="preserve"> </w:t>
      </w:r>
      <w:r w:rsidR="0002610B" w:rsidRPr="003015CD">
        <w:rPr>
          <w:rFonts w:asciiTheme="majorHAnsi" w:hAnsiTheme="majorHAnsi" w:cstheme="majorHAnsi"/>
          <w:color w:val="000000" w:themeColor="text1"/>
        </w:rPr>
        <w:t>[Article 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47</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 xml:space="preserve"> MDR]</w:t>
      </w:r>
    </w:p>
    <w:p w14:paraId="4DA64FC5" w14:textId="77777777" w:rsidR="001171EB" w:rsidRPr="003015CD" w:rsidRDefault="001171EB" w:rsidP="00081885">
      <w:pPr>
        <w:jc w:val="both"/>
        <w:rPr>
          <w:rFonts w:asciiTheme="majorHAnsi" w:hAnsiTheme="majorHAnsi" w:cstheme="majorHAnsi"/>
          <w:color w:val="000000" w:themeColor="text1"/>
          <w:lang w:eastAsia="de-CH"/>
        </w:rPr>
      </w:pPr>
    </w:p>
    <w:p w14:paraId="0FF89AAF" w14:textId="67DFEB0E" w:rsidR="004F4730" w:rsidRPr="003015CD" w:rsidRDefault="00CD6DC4"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lang w:eastAsia="de-CH"/>
        </w:rPr>
        <w:t xml:space="preserve">Clinical </w:t>
      </w:r>
      <w:r w:rsidR="00952A3E" w:rsidRPr="003015CD">
        <w:rPr>
          <w:rFonts w:asciiTheme="majorHAnsi" w:hAnsiTheme="majorHAnsi" w:cstheme="majorHAnsi"/>
          <w:b/>
          <w:bCs/>
          <w:color w:val="000000" w:themeColor="text1"/>
          <w:lang w:eastAsia="de-CH"/>
        </w:rPr>
        <w:t>p</w:t>
      </w:r>
      <w:r w:rsidRPr="003015CD">
        <w:rPr>
          <w:rFonts w:asciiTheme="majorHAnsi" w:hAnsiTheme="majorHAnsi" w:cstheme="majorHAnsi"/>
          <w:b/>
          <w:bCs/>
          <w:color w:val="000000" w:themeColor="text1"/>
          <w:lang w:eastAsia="de-CH"/>
        </w:rPr>
        <w:t>erformance</w:t>
      </w:r>
      <w:r w:rsidR="000B30F2" w:rsidRPr="003015CD">
        <w:rPr>
          <w:rFonts w:asciiTheme="majorHAnsi" w:hAnsiTheme="majorHAnsi" w:cstheme="majorHAnsi"/>
          <w:b/>
          <w:bCs/>
          <w:color w:val="000000" w:themeColor="text1"/>
          <w:lang w:eastAsia="de-CH"/>
        </w:rPr>
        <w:t xml:space="preserve">: </w:t>
      </w:r>
      <w:r w:rsidR="0002610B" w:rsidRPr="003015CD">
        <w:rPr>
          <w:rFonts w:asciiTheme="majorHAnsi" w:hAnsiTheme="majorHAnsi" w:cstheme="majorHAnsi"/>
          <w:color w:val="000000" w:themeColor="text1"/>
        </w:rPr>
        <w:t>the ability of a device, resulting from any direct or indirect medical effects which stem from its technical or functional characteristics, including diagnostic characteristics, to achieve its intended purpose as claimed by the manufacturer, thereby leading to a clinical benefit for patients, when used as intended by the manufacturer; [Article 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52</w:t>
      </w:r>
      <w:r w:rsidR="00D018DF" w:rsidRPr="003015CD">
        <w:rPr>
          <w:rFonts w:asciiTheme="majorHAnsi" w:hAnsiTheme="majorHAnsi" w:cstheme="majorHAnsi"/>
          <w:color w:val="000000" w:themeColor="text1"/>
        </w:rPr>
        <w:t>)</w:t>
      </w:r>
      <w:r w:rsidR="0002610B" w:rsidRPr="003015CD">
        <w:rPr>
          <w:rFonts w:asciiTheme="majorHAnsi" w:hAnsiTheme="majorHAnsi" w:cstheme="majorHAnsi"/>
          <w:color w:val="000000" w:themeColor="text1"/>
        </w:rPr>
        <w:t xml:space="preserve"> MDR]</w:t>
      </w:r>
    </w:p>
    <w:p w14:paraId="1449596C" w14:textId="77777777" w:rsidR="001171EB" w:rsidRPr="003015CD" w:rsidRDefault="001171EB" w:rsidP="00081885">
      <w:pPr>
        <w:jc w:val="both"/>
        <w:rPr>
          <w:rFonts w:asciiTheme="majorHAnsi" w:hAnsiTheme="majorHAnsi" w:cstheme="majorHAnsi"/>
          <w:color w:val="000000" w:themeColor="text1"/>
        </w:rPr>
      </w:pPr>
    </w:p>
    <w:p w14:paraId="38388F22" w14:textId="50005A5B" w:rsidR="00844560" w:rsidRPr="003015CD" w:rsidRDefault="004F4730"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t xml:space="preserve">Clinical </w:t>
      </w:r>
      <w:r w:rsidR="00952A3E" w:rsidRPr="003015CD">
        <w:rPr>
          <w:rFonts w:asciiTheme="majorHAnsi" w:hAnsiTheme="majorHAnsi" w:cstheme="majorHAnsi"/>
          <w:b/>
          <w:bCs/>
          <w:color w:val="000000" w:themeColor="text1"/>
        </w:rPr>
        <w:t>s</w:t>
      </w:r>
      <w:r w:rsidRPr="003015CD">
        <w:rPr>
          <w:rFonts w:asciiTheme="majorHAnsi" w:hAnsiTheme="majorHAnsi" w:cstheme="majorHAnsi"/>
          <w:b/>
          <w:bCs/>
          <w:color w:val="000000" w:themeColor="text1"/>
        </w:rPr>
        <w:t xml:space="preserve">afety: </w:t>
      </w:r>
      <w:r w:rsidR="00986CC6" w:rsidRPr="003015CD">
        <w:rPr>
          <w:rFonts w:asciiTheme="majorHAnsi" w:hAnsiTheme="majorHAnsi" w:cstheme="majorHAnsi"/>
          <w:bCs/>
          <w:color w:val="000000" w:themeColor="text1"/>
        </w:rPr>
        <w:t>f</w:t>
      </w:r>
      <w:r w:rsidR="00604916" w:rsidRPr="003015CD">
        <w:rPr>
          <w:rFonts w:asciiTheme="majorHAnsi" w:hAnsiTheme="majorHAnsi" w:cstheme="majorHAnsi"/>
          <w:bCs/>
          <w:color w:val="000000" w:themeColor="text1"/>
        </w:rPr>
        <w:t>reedom from</w:t>
      </w:r>
      <w:r w:rsidR="00604916"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 xml:space="preserve">unacceptable </w:t>
      </w:r>
      <w:r w:rsidR="00EA1119" w:rsidRPr="003015CD">
        <w:rPr>
          <w:rFonts w:asciiTheme="majorHAnsi" w:hAnsiTheme="majorHAnsi" w:cstheme="majorHAnsi"/>
          <w:color w:val="000000" w:themeColor="text1"/>
        </w:rPr>
        <w:t>risk</w:t>
      </w:r>
      <w:r w:rsidRPr="003015CD">
        <w:rPr>
          <w:rFonts w:asciiTheme="majorHAnsi" w:hAnsiTheme="majorHAnsi" w:cstheme="majorHAnsi"/>
          <w:color w:val="000000" w:themeColor="text1"/>
        </w:rPr>
        <w:t>s</w:t>
      </w:r>
      <w:r w:rsidR="00FD54AD" w:rsidRPr="003015CD">
        <w:rPr>
          <w:rFonts w:asciiTheme="majorHAnsi" w:hAnsiTheme="majorHAnsi" w:cstheme="majorHAnsi"/>
          <w:color w:val="000000" w:themeColor="text1"/>
        </w:rPr>
        <w:t xml:space="preserve"> to a patient </w:t>
      </w:r>
      <w:r w:rsidR="004B1F1F" w:rsidRPr="003015CD">
        <w:rPr>
          <w:rFonts w:asciiTheme="majorHAnsi" w:hAnsiTheme="majorHAnsi" w:cstheme="majorHAnsi"/>
          <w:color w:val="000000" w:themeColor="text1"/>
        </w:rPr>
        <w:t>and/</w:t>
      </w:r>
      <w:r w:rsidR="00184111" w:rsidRPr="003015CD">
        <w:rPr>
          <w:rFonts w:asciiTheme="majorHAnsi" w:hAnsiTheme="majorHAnsi" w:cstheme="majorHAnsi"/>
          <w:color w:val="000000" w:themeColor="text1"/>
        </w:rPr>
        <w:t>or user</w:t>
      </w:r>
      <w:r w:rsidRPr="003015CD">
        <w:rPr>
          <w:rFonts w:asciiTheme="majorHAnsi" w:hAnsiTheme="majorHAnsi" w:cstheme="majorHAnsi"/>
          <w:color w:val="000000" w:themeColor="text1"/>
        </w:rPr>
        <w:t>, when using the device according to</w:t>
      </w:r>
      <w:r w:rsidR="00C16CF9" w:rsidRPr="003015CD">
        <w:rPr>
          <w:rFonts w:asciiTheme="majorHAnsi" w:hAnsiTheme="majorHAnsi" w:cstheme="majorHAnsi"/>
          <w:color w:val="000000" w:themeColor="text1"/>
        </w:rPr>
        <w:t xml:space="preserve"> </w:t>
      </w:r>
      <w:r w:rsidR="00644229" w:rsidRPr="003015CD">
        <w:rPr>
          <w:rFonts w:asciiTheme="majorHAnsi" w:hAnsiTheme="majorHAnsi" w:cstheme="majorHAnsi"/>
          <w:color w:val="000000" w:themeColor="text1"/>
        </w:rPr>
        <w:t xml:space="preserve">its </w:t>
      </w:r>
      <w:r w:rsidR="00110908" w:rsidRPr="003015CD">
        <w:rPr>
          <w:rFonts w:asciiTheme="majorHAnsi" w:hAnsiTheme="majorHAnsi" w:cstheme="majorHAnsi"/>
          <w:color w:val="000000" w:themeColor="text1"/>
        </w:rPr>
        <w:t>intended purpose</w:t>
      </w:r>
      <w:r w:rsidR="004A4A02" w:rsidRPr="003015CD">
        <w:rPr>
          <w:rFonts w:asciiTheme="majorHAnsi" w:hAnsiTheme="majorHAnsi" w:cstheme="majorHAnsi"/>
          <w:color w:val="000000" w:themeColor="text1"/>
        </w:rPr>
        <w:t xml:space="preserve"> </w:t>
      </w:r>
      <w:r w:rsidR="00B344E6" w:rsidRPr="003015CD">
        <w:rPr>
          <w:rFonts w:asciiTheme="majorHAnsi" w:hAnsiTheme="majorHAnsi" w:cstheme="majorHAnsi"/>
          <w:color w:val="000000" w:themeColor="text1"/>
        </w:rPr>
        <w:t>and</w:t>
      </w:r>
      <w:r w:rsidR="004A4A02" w:rsidRPr="003015CD">
        <w:rPr>
          <w:rFonts w:asciiTheme="majorHAnsi" w:hAnsiTheme="majorHAnsi" w:cstheme="majorHAnsi"/>
          <w:color w:val="000000" w:themeColor="text1"/>
        </w:rPr>
        <w:t xml:space="preserve"> the </w:t>
      </w:r>
      <w:r w:rsidR="00B344E6" w:rsidRPr="003015CD">
        <w:rPr>
          <w:rFonts w:asciiTheme="majorHAnsi" w:hAnsiTheme="majorHAnsi" w:cstheme="majorHAnsi"/>
          <w:color w:val="000000" w:themeColor="text1"/>
        </w:rPr>
        <w:t xml:space="preserve">manufacturer’s </w:t>
      </w:r>
      <w:r w:rsidR="00C43B8E" w:rsidRPr="003015CD">
        <w:rPr>
          <w:rFonts w:asciiTheme="majorHAnsi" w:hAnsiTheme="majorHAnsi" w:cstheme="majorHAnsi"/>
          <w:color w:val="000000" w:themeColor="text1"/>
        </w:rPr>
        <w:t>i</w:t>
      </w:r>
      <w:r w:rsidRPr="003015CD">
        <w:rPr>
          <w:rFonts w:asciiTheme="majorHAnsi" w:hAnsiTheme="majorHAnsi" w:cstheme="majorHAnsi"/>
          <w:color w:val="000000" w:themeColor="text1"/>
        </w:rPr>
        <w:t xml:space="preserve">nstructions for </w:t>
      </w:r>
      <w:r w:rsidR="00C43B8E" w:rsidRPr="003015CD">
        <w:rPr>
          <w:rFonts w:asciiTheme="majorHAnsi" w:hAnsiTheme="majorHAnsi" w:cstheme="majorHAnsi"/>
          <w:color w:val="000000" w:themeColor="text1"/>
        </w:rPr>
        <w:t>u</w:t>
      </w:r>
      <w:r w:rsidRPr="003015CD">
        <w:rPr>
          <w:rFonts w:asciiTheme="majorHAnsi" w:hAnsiTheme="majorHAnsi" w:cstheme="majorHAnsi"/>
          <w:color w:val="000000" w:themeColor="text1"/>
        </w:rPr>
        <w:t>se.</w:t>
      </w:r>
    </w:p>
    <w:p w14:paraId="746067ED" w14:textId="17E416F8" w:rsidR="005A3212" w:rsidRPr="003015CD" w:rsidRDefault="009E3F9A" w:rsidP="00081885">
      <w:p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rPr>
        <w:t xml:space="preserve">Note: In exceptional cases where an instruction for use is not required, the collection, analysis and assessment </w:t>
      </w:r>
      <w:r w:rsidR="00104F42" w:rsidRPr="003015CD">
        <w:rPr>
          <w:rFonts w:asciiTheme="majorHAnsi" w:hAnsiTheme="majorHAnsi" w:cstheme="majorHAnsi"/>
          <w:color w:val="000000" w:themeColor="text1"/>
        </w:rPr>
        <w:t xml:space="preserve">of clinical data </w:t>
      </w:r>
      <w:r w:rsidRPr="003015CD">
        <w:rPr>
          <w:rFonts w:asciiTheme="majorHAnsi" w:hAnsiTheme="majorHAnsi" w:cstheme="majorHAnsi"/>
          <w:color w:val="000000" w:themeColor="text1"/>
        </w:rPr>
        <w:t>are conducted taking into account generally recognised modalities of use</w:t>
      </w:r>
      <w:r w:rsidRPr="003015CD">
        <w:rPr>
          <w:rFonts w:asciiTheme="majorHAnsi" w:hAnsiTheme="majorHAnsi" w:cstheme="majorHAnsi"/>
          <w:color w:val="000000" w:themeColor="text1"/>
          <w:lang w:eastAsia="de-CH"/>
        </w:rPr>
        <w:t xml:space="preserve">. </w:t>
      </w:r>
    </w:p>
    <w:p w14:paraId="22BE7A02" w14:textId="77777777" w:rsidR="001171EB" w:rsidRPr="003015CD" w:rsidRDefault="001171EB" w:rsidP="00081885">
      <w:pPr>
        <w:jc w:val="both"/>
        <w:rPr>
          <w:rFonts w:asciiTheme="majorHAnsi" w:hAnsiTheme="majorHAnsi" w:cstheme="majorHAnsi"/>
          <w:color w:val="000000" w:themeColor="text1"/>
          <w:lang w:eastAsia="de-CH"/>
        </w:rPr>
      </w:pPr>
    </w:p>
    <w:p w14:paraId="121AE52C" w14:textId="5378E083" w:rsidR="005D2BAD" w:rsidRPr="003015CD" w:rsidRDefault="002503B5"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 xml:space="preserve">Clinical </w:t>
      </w:r>
      <w:r w:rsidR="00952A3E" w:rsidRPr="003015CD">
        <w:rPr>
          <w:rFonts w:asciiTheme="majorHAnsi" w:hAnsiTheme="majorHAnsi" w:cstheme="majorHAnsi"/>
          <w:b/>
          <w:color w:val="000000" w:themeColor="text1"/>
        </w:rPr>
        <w:t>u</w:t>
      </w:r>
      <w:r w:rsidRPr="003015CD">
        <w:rPr>
          <w:rFonts w:asciiTheme="majorHAnsi" w:hAnsiTheme="majorHAnsi" w:cstheme="majorHAnsi"/>
          <w:b/>
          <w:color w:val="000000" w:themeColor="text1"/>
        </w:rPr>
        <w:t>se:</w:t>
      </w:r>
      <w:r w:rsidRPr="003015CD">
        <w:rPr>
          <w:rFonts w:asciiTheme="majorHAnsi" w:hAnsiTheme="majorHAnsi" w:cstheme="majorHAnsi"/>
          <w:color w:val="000000" w:themeColor="text1"/>
        </w:rPr>
        <w:t xml:space="preserve"> </w:t>
      </w:r>
      <w:r w:rsidR="00986CC6" w:rsidRPr="003015CD">
        <w:rPr>
          <w:rFonts w:asciiTheme="majorHAnsi" w:hAnsiTheme="majorHAnsi" w:cstheme="majorHAnsi"/>
          <w:color w:val="000000" w:themeColor="text1"/>
        </w:rPr>
        <w:t>u</w:t>
      </w:r>
      <w:r w:rsidRPr="003015CD">
        <w:rPr>
          <w:rFonts w:asciiTheme="majorHAnsi" w:hAnsiTheme="majorHAnsi" w:cstheme="majorHAnsi"/>
          <w:color w:val="000000" w:themeColor="text1"/>
        </w:rPr>
        <w:t>se of a device in or on living human subjects.</w:t>
      </w:r>
    </w:p>
    <w:p w14:paraId="2CD679FD" w14:textId="33354B67" w:rsidR="002503B5" w:rsidRPr="003015CD" w:rsidRDefault="004A6E64"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Note: Includes use of a medical device that does not have direct patient contact.</w:t>
      </w:r>
    </w:p>
    <w:p w14:paraId="1E9A6B30" w14:textId="77777777" w:rsidR="001171EB" w:rsidRPr="003015CD" w:rsidRDefault="001171EB" w:rsidP="00081885">
      <w:pPr>
        <w:jc w:val="both"/>
        <w:rPr>
          <w:rFonts w:asciiTheme="majorHAnsi" w:hAnsiTheme="majorHAnsi" w:cstheme="majorHAnsi"/>
          <w:color w:val="000000" w:themeColor="text1"/>
        </w:rPr>
      </w:pPr>
    </w:p>
    <w:p w14:paraId="354965AD" w14:textId="5B28B845" w:rsidR="00AD710A" w:rsidRPr="003015CD" w:rsidRDefault="00AD710A" w:rsidP="00081885">
      <w:pPr>
        <w:jc w:val="both"/>
        <w:rPr>
          <w:rFonts w:asciiTheme="majorHAnsi" w:hAnsiTheme="majorHAnsi" w:cstheme="majorHAnsi"/>
          <w:color w:val="000000" w:themeColor="text1"/>
        </w:rPr>
      </w:pPr>
      <w:r w:rsidRPr="003015CD">
        <w:rPr>
          <w:rFonts w:cstheme="minorHAnsi"/>
          <w:b/>
          <w:bCs/>
          <w:color w:val="000000" w:themeColor="text1"/>
        </w:rPr>
        <w:t>Device lifetime:</w:t>
      </w:r>
      <w:r w:rsidRPr="003015CD">
        <w:rPr>
          <w:rFonts w:cstheme="minorHAnsi"/>
          <w:color w:val="000000" w:themeColor="text1"/>
        </w:rPr>
        <w:t xml:space="preserve"> the time period defined by the manufacturer in the device documentation during which the device is expected to remain safe and effective for use / in use.</w:t>
      </w:r>
    </w:p>
    <w:p w14:paraId="1590FD71" w14:textId="77777777" w:rsidR="00AD710A" w:rsidRPr="003015CD" w:rsidRDefault="00AD710A" w:rsidP="00081885">
      <w:pPr>
        <w:jc w:val="both"/>
        <w:rPr>
          <w:rFonts w:asciiTheme="majorHAnsi" w:hAnsiTheme="majorHAnsi" w:cstheme="majorHAnsi"/>
          <w:color w:val="000000" w:themeColor="text1"/>
        </w:rPr>
      </w:pPr>
    </w:p>
    <w:p w14:paraId="5715BD21" w14:textId="23216E35" w:rsidR="008E0C70" w:rsidRPr="003015CD" w:rsidRDefault="00782FF7"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t>D</w:t>
      </w:r>
      <w:r w:rsidR="008E0C70" w:rsidRPr="003015CD">
        <w:rPr>
          <w:rFonts w:asciiTheme="majorHAnsi" w:hAnsiTheme="majorHAnsi" w:cstheme="majorHAnsi"/>
          <w:b/>
          <w:bCs/>
          <w:color w:val="000000" w:themeColor="text1"/>
        </w:rPr>
        <w:t>evice deficiency</w:t>
      </w:r>
      <w:r w:rsidRPr="003015CD">
        <w:rPr>
          <w:rFonts w:asciiTheme="majorHAnsi" w:hAnsiTheme="majorHAnsi" w:cstheme="majorHAnsi"/>
          <w:b/>
          <w:bCs/>
          <w:color w:val="000000" w:themeColor="text1"/>
        </w:rPr>
        <w:t>:</w:t>
      </w:r>
      <w:r w:rsidRPr="003015CD">
        <w:rPr>
          <w:rFonts w:asciiTheme="majorHAnsi" w:hAnsiTheme="majorHAnsi" w:cstheme="majorHAnsi"/>
          <w:color w:val="000000" w:themeColor="text1"/>
        </w:rPr>
        <w:t xml:space="preserve"> </w:t>
      </w:r>
      <w:r w:rsidR="008E0C70" w:rsidRPr="003015CD">
        <w:rPr>
          <w:rFonts w:asciiTheme="majorHAnsi" w:hAnsiTheme="majorHAnsi" w:cstheme="majorHAnsi"/>
          <w:color w:val="000000" w:themeColor="text1"/>
        </w:rPr>
        <w:t>any inadequacy in the identity, quality, durability, reliability, safety or performance of an investigational device, including malfunction, use errors or inadequacy in information supplied by the manufacturer; [Article 2</w:t>
      </w:r>
      <w:r w:rsidR="00D018DF"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59</w:t>
      </w:r>
      <w:r w:rsidR="00D018DF" w:rsidRPr="003015CD">
        <w:rPr>
          <w:rFonts w:asciiTheme="majorHAnsi" w:hAnsiTheme="majorHAnsi" w:cstheme="majorHAnsi"/>
          <w:color w:val="000000" w:themeColor="text1"/>
        </w:rPr>
        <w:t>)</w:t>
      </w:r>
      <w:r w:rsidR="008E0C70" w:rsidRPr="003015CD">
        <w:rPr>
          <w:rFonts w:asciiTheme="majorHAnsi" w:hAnsiTheme="majorHAnsi" w:cstheme="majorHAnsi"/>
          <w:color w:val="000000" w:themeColor="text1"/>
        </w:rPr>
        <w:t xml:space="preserve"> MDR]</w:t>
      </w:r>
    </w:p>
    <w:p w14:paraId="548DA42B" w14:textId="77777777" w:rsidR="001171EB" w:rsidRPr="003015CD" w:rsidRDefault="001171EB" w:rsidP="00081885">
      <w:pPr>
        <w:jc w:val="both"/>
        <w:rPr>
          <w:rFonts w:asciiTheme="majorHAnsi" w:hAnsiTheme="majorHAnsi" w:cstheme="majorHAnsi"/>
          <w:color w:val="000000" w:themeColor="text1"/>
        </w:rPr>
      </w:pPr>
    </w:p>
    <w:p w14:paraId="2634E309" w14:textId="38974394" w:rsidR="001171EB" w:rsidRPr="003015CD" w:rsidRDefault="005A3212"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 xml:space="preserve">Equivalent </w:t>
      </w:r>
      <w:r w:rsidR="00952A3E" w:rsidRPr="003015CD">
        <w:rPr>
          <w:rFonts w:asciiTheme="majorHAnsi" w:hAnsiTheme="majorHAnsi" w:cstheme="majorHAnsi"/>
          <w:b/>
          <w:color w:val="000000" w:themeColor="text1"/>
        </w:rPr>
        <w:t>d</w:t>
      </w:r>
      <w:r w:rsidRPr="003015CD">
        <w:rPr>
          <w:rFonts w:asciiTheme="majorHAnsi" w:hAnsiTheme="majorHAnsi" w:cstheme="majorHAnsi"/>
          <w:b/>
          <w:color w:val="000000" w:themeColor="text1"/>
        </w:rPr>
        <w:t xml:space="preserve">evice: </w:t>
      </w:r>
      <w:r w:rsidR="005B1DEB" w:rsidRPr="003015CD">
        <w:rPr>
          <w:rFonts w:asciiTheme="majorHAnsi" w:hAnsiTheme="majorHAnsi" w:cstheme="majorHAnsi"/>
          <w:color w:val="000000" w:themeColor="text1"/>
        </w:rPr>
        <w:t>a</w:t>
      </w:r>
      <w:r w:rsidR="00BF1B2F" w:rsidRPr="003015CD">
        <w:rPr>
          <w:rFonts w:asciiTheme="majorHAnsi" w:hAnsiTheme="majorHAnsi" w:cstheme="majorHAnsi"/>
          <w:color w:val="000000" w:themeColor="text1"/>
        </w:rPr>
        <w:t xml:space="preserve"> device for which equivalence </w:t>
      </w:r>
      <w:r w:rsidR="005B1DEB" w:rsidRPr="003015CD">
        <w:rPr>
          <w:rFonts w:asciiTheme="majorHAnsi" w:hAnsiTheme="majorHAnsi" w:cstheme="majorHAnsi"/>
          <w:color w:val="000000" w:themeColor="text1"/>
        </w:rPr>
        <w:t xml:space="preserve">to the device </w:t>
      </w:r>
      <w:r w:rsidR="00064751" w:rsidRPr="003015CD">
        <w:rPr>
          <w:rFonts w:asciiTheme="majorHAnsi" w:hAnsiTheme="majorHAnsi" w:cstheme="majorHAnsi"/>
          <w:color w:val="000000" w:themeColor="text1"/>
        </w:rPr>
        <w:t>under e</w:t>
      </w:r>
      <w:r w:rsidR="008A087A" w:rsidRPr="003015CD">
        <w:rPr>
          <w:rFonts w:asciiTheme="majorHAnsi" w:hAnsiTheme="majorHAnsi" w:cstheme="majorHAnsi"/>
          <w:color w:val="000000" w:themeColor="text1"/>
        </w:rPr>
        <w:t>v</w:t>
      </w:r>
      <w:r w:rsidR="00064751" w:rsidRPr="003015CD">
        <w:rPr>
          <w:rFonts w:asciiTheme="majorHAnsi" w:hAnsiTheme="majorHAnsi" w:cstheme="majorHAnsi"/>
          <w:color w:val="000000" w:themeColor="text1"/>
        </w:rPr>
        <w:t>aluation</w:t>
      </w:r>
      <w:r w:rsidR="005B1DEB" w:rsidRPr="003015CD">
        <w:rPr>
          <w:rFonts w:asciiTheme="majorHAnsi" w:hAnsiTheme="majorHAnsi" w:cstheme="majorHAnsi"/>
          <w:color w:val="000000" w:themeColor="text1"/>
        </w:rPr>
        <w:t xml:space="preserve"> </w:t>
      </w:r>
      <w:r w:rsidR="00BF1B2F" w:rsidRPr="003015CD">
        <w:rPr>
          <w:rFonts w:asciiTheme="majorHAnsi" w:hAnsiTheme="majorHAnsi" w:cstheme="majorHAnsi"/>
          <w:color w:val="000000" w:themeColor="text1"/>
        </w:rPr>
        <w:t>can be demonstrated, taking into account the clinical, technical and biological equivalence criteria described in MDR Annex XIV Section 3.</w:t>
      </w:r>
      <w:r w:rsidR="00D755B5" w:rsidRPr="003015CD">
        <w:rPr>
          <w:rFonts w:asciiTheme="majorHAnsi" w:hAnsiTheme="majorHAnsi" w:cstheme="majorHAnsi"/>
          <w:color w:val="000000" w:themeColor="text1"/>
        </w:rPr>
        <w:t xml:space="preserve"> [Derived from MDR Annex XIV, part </w:t>
      </w:r>
      <w:r w:rsidR="00404836" w:rsidRPr="003015CD">
        <w:rPr>
          <w:rFonts w:asciiTheme="majorHAnsi" w:hAnsiTheme="majorHAnsi" w:cstheme="majorHAnsi"/>
          <w:color w:val="000000" w:themeColor="text1"/>
        </w:rPr>
        <w:t xml:space="preserve">A] </w:t>
      </w:r>
    </w:p>
    <w:p w14:paraId="1C59367D" w14:textId="3CC382C8" w:rsidR="00BF1B2F" w:rsidRPr="003015CD" w:rsidRDefault="00404836"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Note</w:t>
      </w:r>
      <w:r w:rsidR="00BF1B2F" w:rsidRPr="003015CD">
        <w:rPr>
          <w:rFonts w:asciiTheme="majorHAnsi" w:hAnsiTheme="majorHAnsi" w:cstheme="majorBidi"/>
          <w:color w:val="000000" w:themeColor="text1"/>
        </w:rPr>
        <w:t xml:space="preserve">: </w:t>
      </w:r>
      <w:r w:rsidR="007B3B03" w:rsidRPr="003015CD">
        <w:rPr>
          <w:rFonts w:asciiTheme="majorHAnsi" w:hAnsiTheme="majorHAnsi" w:cstheme="majorBidi"/>
          <w:color w:val="000000" w:themeColor="text1"/>
        </w:rPr>
        <w:t>f</w:t>
      </w:r>
      <w:r w:rsidR="00BF1B2F" w:rsidRPr="003015CD">
        <w:rPr>
          <w:rFonts w:asciiTheme="majorHAnsi" w:hAnsiTheme="majorHAnsi" w:cstheme="majorBidi"/>
          <w:color w:val="000000" w:themeColor="text1"/>
        </w:rPr>
        <w:t xml:space="preserve">urther guidance on equivalence is </w:t>
      </w:r>
      <w:r w:rsidR="00216D3F" w:rsidRPr="003015CD">
        <w:rPr>
          <w:rFonts w:asciiTheme="majorHAnsi" w:hAnsiTheme="majorHAnsi" w:cstheme="majorBidi"/>
          <w:color w:val="000000" w:themeColor="text1"/>
        </w:rPr>
        <w:t xml:space="preserve">provided in MDCG 2020-5; these concepts </w:t>
      </w:r>
      <w:r w:rsidR="002843B1" w:rsidRPr="003015CD">
        <w:rPr>
          <w:rFonts w:asciiTheme="majorHAnsi" w:hAnsiTheme="majorHAnsi" w:cstheme="majorBidi"/>
          <w:color w:val="000000" w:themeColor="text1"/>
        </w:rPr>
        <w:t>related to equivalence</w:t>
      </w:r>
      <w:r w:rsidR="00216D3F" w:rsidRPr="003015CD">
        <w:rPr>
          <w:rFonts w:asciiTheme="majorHAnsi" w:hAnsiTheme="majorHAnsi" w:cstheme="majorBidi"/>
          <w:color w:val="000000" w:themeColor="text1"/>
        </w:rPr>
        <w:t xml:space="preserve"> are considered equally applicable to legacy</w:t>
      </w:r>
      <w:r w:rsidR="003E67C5" w:rsidRPr="003015CD">
        <w:rPr>
          <w:rFonts w:asciiTheme="majorHAnsi" w:hAnsiTheme="majorHAnsi" w:cstheme="majorBidi"/>
          <w:color w:val="000000" w:themeColor="text1"/>
        </w:rPr>
        <w:t xml:space="preserve"> devices</w:t>
      </w:r>
      <w:r w:rsidR="002F0686" w:rsidRPr="003015CD">
        <w:rPr>
          <w:rFonts w:asciiTheme="majorHAnsi" w:hAnsiTheme="majorHAnsi" w:cstheme="majorBidi"/>
          <w:color w:val="000000" w:themeColor="text1"/>
        </w:rPr>
        <w:t xml:space="preserve"> (devices previously CE marked under the European Medical Devices Directive 93/42/EEC or Active Implantable Medical Devices Directive 90/385/EEC)</w:t>
      </w:r>
      <w:r w:rsidR="00216D3F" w:rsidRPr="003015CD">
        <w:rPr>
          <w:rFonts w:asciiTheme="majorHAnsi" w:hAnsiTheme="majorHAnsi" w:cstheme="majorBidi"/>
          <w:color w:val="000000" w:themeColor="text1"/>
        </w:rPr>
        <w:t xml:space="preserve"> and new devices.</w:t>
      </w:r>
    </w:p>
    <w:p w14:paraId="69B7F704" w14:textId="77777777" w:rsidR="001171EB" w:rsidRPr="003015CD" w:rsidRDefault="001171EB" w:rsidP="00081885">
      <w:pPr>
        <w:jc w:val="both"/>
        <w:rPr>
          <w:rFonts w:asciiTheme="majorHAnsi" w:hAnsiTheme="majorHAnsi" w:cstheme="majorHAnsi"/>
          <w:color w:val="000000" w:themeColor="text1"/>
        </w:rPr>
      </w:pPr>
    </w:p>
    <w:p w14:paraId="210E5FCF" w14:textId="3D0A12A9" w:rsidR="001171EB" w:rsidRPr="003015CD" w:rsidRDefault="00DF3BDA"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Evaluator</w:t>
      </w:r>
      <w:r w:rsidRPr="003015CD">
        <w:rPr>
          <w:rFonts w:asciiTheme="majorHAnsi" w:hAnsiTheme="majorHAnsi" w:cstheme="majorHAnsi"/>
          <w:color w:val="000000" w:themeColor="text1"/>
        </w:rPr>
        <w:t>: appropriately qualified individual appointed by the manufacturer to carry out the clinical evaluation process under its responsibility.</w:t>
      </w:r>
    </w:p>
    <w:p w14:paraId="69A0D1F2" w14:textId="1E085B89" w:rsidR="00216D3F" w:rsidRPr="003015CD" w:rsidRDefault="000F1931"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lastRenderedPageBreak/>
        <w:t>Harmonis</w:t>
      </w:r>
      <w:r w:rsidR="00357759" w:rsidRPr="003015CD">
        <w:rPr>
          <w:rFonts w:asciiTheme="majorHAnsi" w:hAnsiTheme="majorHAnsi" w:cstheme="majorHAnsi"/>
          <w:b/>
          <w:color w:val="000000" w:themeColor="text1"/>
        </w:rPr>
        <w:t xml:space="preserve">ed </w:t>
      </w:r>
      <w:r w:rsidR="001A767A" w:rsidRPr="003015CD">
        <w:rPr>
          <w:rFonts w:asciiTheme="majorHAnsi" w:hAnsiTheme="majorHAnsi" w:cstheme="majorHAnsi"/>
          <w:b/>
          <w:color w:val="000000" w:themeColor="text1"/>
        </w:rPr>
        <w:t>s</w:t>
      </w:r>
      <w:r w:rsidR="00357759" w:rsidRPr="003015CD">
        <w:rPr>
          <w:rFonts w:asciiTheme="majorHAnsi" w:hAnsiTheme="majorHAnsi" w:cstheme="majorHAnsi"/>
          <w:b/>
          <w:color w:val="000000" w:themeColor="text1"/>
        </w:rPr>
        <w:t>tandard:</w:t>
      </w:r>
      <w:r w:rsidR="00357759" w:rsidRPr="003015CD">
        <w:rPr>
          <w:rFonts w:asciiTheme="majorHAnsi" w:hAnsiTheme="majorHAnsi" w:cstheme="majorHAnsi"/>
          <w:color w:val="000000" w:themeColor="text1"/>
        </w:rPr>
        <w:t xml:space="preserve"> </w:t>
      </w:r>
      <w:r w:rsidR="00C575A0" w:rsidRPr="003015CD">
        <w:rPr>
          <w:rFonts w:asciiTheme="majorHAnsi" w:hAnsiTheme="majorHAnsi" w:cstheme="majorHAnsi"/>
          <w:color w:val="000000" w:themeColor="text1"/>
        </w:rPr>
        <w:t>a European standard adopted on the basis of a request made by the Commission for the application of Union harmonisation legislation [</w:t>
      </w:r>
      <w:r w:rsidR="00A412B8" w:rsidRPr="003015CD">
        <w:rPr>
          <w:rFonts w:asciiTheme="majorHAnsi" w:hAnsiTheme="majorHAnsi" w:cstheme="majorHAnsi"/>
          <w:color w:val="000000" w:themeColor="text1"/>
        </w:rPr>
        <w:t>point (1)(c) of Article 2 of Regulation (EU) No 1025/2012</w:t>
      </w:r>
      <w:r w:rsidR="00C575A0"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w:t>
      </w:r>
    </w:p>
    <w:p w14:paraId="1F676A14" w14:textId="77777777" w:rsidR="001171EB" w:rsidRPr="003015CD" w:rsidRDefault="001171EB" w:rsidP="00081885">
      <w:pPr>
        <w:jc w:val="both"/>
        <w:rPr>
          <w:rFonts w:asciiTheme="majorHAnsi" w:hAnsiTheme="majorHAnsi" w:cstheme="majorHAnsi"/>
          <w:color w:val="000000" w:themeColor="text1"/>
        </w:rPr>
      </w:pPr>
    </w:p>
    <w:p w14:paraId="09EFC7DC" w14:textId="745564C2" w:rsidR="00FD4E83" w:rsidRPr="003015CD" w:rsidRDefault="00FD4E83" w:rsidP="2D4ECF1A">
      <w:pPr>
        <w:jc w:val="both"/>
        <w:rPr>
          <w:rFonts w:asciiTheme="majorHAnsi" w:hAnsiTheme="majorHAnsi" w:cstheme="majorBidi"/>
          <w:color w:val="000000" w:themeColor="text1"/>
          <w:lang w:eastAsia="de-CH"/>
        </w:rPr>
      </w:pPr>
      <w:r w:rsidRPr="003015CD">
        <w:rPr>
          <w:rFonts w:asciiTheme="majorHAnsi" w:hAnsiTheme="majorHAnsi" w:cstheme="majorBidi"/>
          <w:b/>
          <w:bCs/>
          <w:color w:val="000000" w:themeColor="text1"/>
          <w:lang w:eastAsia="de-CH"/>
        </w:rPr>
        <w:t>Hazard:</w:t>
      </w:r>
      <w:r w:rsidRPr="003015CD">
        <w:rPr>
          <w:rFonts w:asciiTheme="majorHAnsi" w:hAnsiTheme="majorHAnsi" w:cstheme="majorBidi"/>
          <w:color w:val="000000" w:themeColor="text1"/>
          <w:lang w:eastAsia="de-CH"/>
        </w:rPr>
        <w:t xml:space="preserve"> potential source of harm. [</w:t>
      </w:r>
      <w:r w:rsidR="00EB516B" w:rsidRPr="003015CD">
        <w:rPr>
          <w:rFonts w:asciiTheme="majorHAnsi" w:hAnsiTheme="majorHAnsi" w:cstheme="majorBidi"/>
          <w:color w:val="000000" w:themeColor="text1"/>
          <w:lang w:eastAsia="de-CH"/>
        </w:rPr>
        <w:t>EN ISO 14971:2019/A11:2021</w:t>
      </w:r>
      <w:r w:rsidRPr="003015CD">
        <w:rPr>
          <w:rFonts w:asciiTheme="majorHAnsi" w:hAnsiTheme="majorHAnsi" w:cstheme="majorBidi"/>
          <w:color w:val="000000" w:themeColor="text1"/>
          <w:lang w:eastAsia="de-CH"/>
        </w:rPr>
        <w:t>]</w:t>
      </w:r>
    </w:p>
    <w:p w14:paraId="638F7A39" w14:textId="77777777" w:rsidR="001171EB" w:rsidRPr="003015CD" w:rsidRDefault="001171EB" w:rsidP="00081885">
      <w:pPr>
        <w:jc w:val="both"/>
        <w:rPr>
          <w:rFonts w:asciiTheme="majorHAnsi" w:hAnsiTheme="majorHAnsi" w:cstheme="majorHAnsi"/>
          <w:b/>
          <w:color w:val="000000" w:themeColor="text1"/>
        </w:rPr>
      </w:pPr>
    </w:p>
    <w:p w14:paraId="6283B5E2" w14:textId="2CFAAE4F" w:rsidR="00216D3F" w:rsidRPr="003015CD" w:rsidRDefault="00FD4E83"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Incident:</w:t>
      </w:r>
      <w:r w:rsidRPr="003015CD">
        <w:rPr>
          <w:rFonts w:asciiTheme="majorHAnsi" w:hAnsiTheme="majorHAnsi" w:cstheme="majorHAnsi"/>
          <w:color w:val="000000" w:themeColor="text1"/>
        </w:rPr>
        <w:t xml:space="preserve"> any malfunction or deterioration in the characteristics or performance of a device</w:t>
      </w:r>
      <w:r w:rsidR="00A412B8" w:rsidRPr="003015CD">
        <w:rPr>
          <w:rFonts w:asciiTheme="majorHAnsi" w:hAnsiTheme="majorHAnsi" w:cstheme="majorHAnsi"/>
          <w:color w:val="000000" w:themeColor="text1"/>
        </w:rPr>
        <w:t xml:space="preserve"> made available on the market, including use-error due to ergonomic features, as well as any inadequacy in the information supplied by the manufacturer and any undesirable side-effect; [Article 2</w:t>
      </w:r>
      <w:r w:rsidR="00D018DF"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64</w:t>
      </w:r>
      <w:r w:rsidR="00D018DF"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 xml:space="preserve"> MDR]</w:t>
      </w:r>
    </w:p>
    <w:p w14:paraId="27FDE92A" w14:textId="77777777" w:rsidR="001171EB" w:rsidRPr="003015CD" w:rsidRDefault="001171EB" w:rsidP="00081885">
      <w:pPr>
        <w:jc w:val="both"/>
        <w:rPr>
          <w:rFonts w:asciiTheme="majorHAnsi" w:hAnsiTheme="majorHAnsi" w:cstheme="majorHAnsi"/>
          <w:color w:val="000000" w:themeColor="text1"/>
        </w:rPr>
      </w:pPr>
    </w:p>
    <w:p w14:paraId="15EC76B9" w14:textId="191E7123" w:rsidR="001171EB" w:rsidRPr="003015CD" w:rsidRDefault="009D3EDF"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Indication, indication for use: </w:t>
      </w:r>
      <w:r w:rsidRPr="003015CD">
        <w:rPr>
          <w:rFonts w:asciiTheme="majorHAnsi" w:hAnsiTheme="majorHAnsi" w:cstheme="majorBidi"/>
          <w:color w:val="000000" w:themeColor="text1"/>
        </w:rPr>
        <w:t xml:space="preserve">refers to the clinical condition that is to be diagnosed, </w:t>
      </w:r>
      <w:r w:rsidR="007A090C" w:rsidRPr="003015CD">
        <w:rPr>
          <w:rFonts w:asciiTheme="majorHAnsi" w:hAnsiTheme="majorHAnsi" w:cstheme="majorBidi"/>
          <w:color w:val="000000" w:themeColor="text1"/>
        </w:rPr>
        <w:t xml:space="preserve">predicted, </w:t>
      </w:r>
      <w:r w:rsidRPr="003015CD">
        <w:rPr>
          <w:rFonts w:asciiTheme="majorHAnsi" w:hAnsiTheme="majorHAnsi" w:cstheme="majorBidi"/>
          <w:color w:val="000000" w:themeColor="text1"/>
        </w:rPr>
        <w:t xml:space="preserve">prevented, monitored, treated, alleviated, compensated for, replaced, modified or controlled by the medical device. It should be distinguished from ‘intended purpose/intended use’, which describes the effect of a device. All devices have an intended purpose/intended use, but not all devices have an indication (e.g. medical devices with an intended purpose of </w:t>
      </w:r>
      <w:r w:rsidR="00A41945" w:rsidRPr="003015CD">
        <w:rPr>
          <w:rFonts w:asciiTheme="majorHAnsi" w:hAnsiTheme="majorHAnsi" w:cstheme="majorBidi"/>
          <w:color w:val="000000" w:themeColor="text1"/>
        </w:rPr>
        <w:t xml:space="preserve">cleaning, </w:t>
      </w:r>
      <w:r w:rsidRPr="003015CD">
        <w:rPr>
          <w:rFonts w:asciiTheme="majorHAnsi" w:hAnsiTheme="majorHAnsi" w:cstheme="majorBidi"/>
          <w:color w:val="000000" w:themeColor="text1"/>
        </w:rPr>
        <w:t>disinfection or sterilisation of devices).</w:t>
      </w:r>
      <w:r w:rsidR="00D507E6"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[MDCG 2020-6]</w:t>
      </w:r>
      <w:r w:rsidR="00413AF7" w:rsidRPr="003015CD">
        <w:rPr>
          <w:rFonts w:asciiTheme="majorHAnsi" w:hAnsiTheme="majorHAnsi" w:cstheme="majorBidi"/>
          <w:color w:val="000000" w:themeColor="text1"/>
        </w:rPr>
        <w:t xml:space="preserve">. </w:t>
      </w:r>
      <w:bookmarkStart w:id="16" w:name="_Hlk167800110"/>
    </w:p>
    <w:p w14:paraId="2F454D7A" w14:textId="77777777" w:rsidR="00485282" w:rsidRPr="003015CD" w:rsidRDefault="00485282" w:rsidP="00081885">
      <w:pPr>
        <w:jc w:val="both"/>
        <w:rPr>
          <w:rFonts w:asciiTheme="majorHAnsi" w:hAnsiTheme="majorHAnsi" w:cstheme="majorHAnsi"/>
          <w:b/>
          <w:color w:val="000000" w:themeColor="text1"/>
        </w:rPr>
      </w:pPr>
    </w:p>
    <w:p w14:paraId="049A78CB" w14:textId="65740734" w:rsidR="00FD4E83" w:rsidRPr="003015CD" w:rsidRDefault="00B26CB3"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I</w:t>
      </w:r>
      <w:r w:rsidR="00FD4E83" w:rsidRPr="003015CD">
        <w:rPr>
          <w:rFonts w:asciiTheme="majorHAnsi" w:hAnsiTheme="majorHAnsi" w:cstheme="majorHAnsi"/>
          <w:b/>
          <w:color w:val="000000" w:themeColor="text1"/>
        </w:rPr>
        <w:t xml:space="preserve">nformation </w:t>
      </w:r>
      <w:r w:rsidR="001A767A" w:rsidRPr="003015CD">
        <w:rPr>
          <w:rFonts w:asciiTheme="majorHAnsi" w:hAnsiTheme="majorHAnsi" w:cstheme="majorHAnsi"/>
          <w:b/>
          <w:color w:val="000000" w:themeColor="text1"/>
        </w:rPr>
        <w:t>m</w:t>
      </w:r>
      <w:r w:rsidR="00FD4E83" w:rsidRPr="003015CD">
        <w:rPr>
          <w:rFonts w:asciiTheme="majorHAnsi" w:hAnsiTheme="majorHAnsi" w:cstheme="majorHAnsi"/>
          <w:b/>
          <w:color w:val="000000" w:themeColor="text1"/>
        </w:rPr>
        <w:t xml:space="preserve">aterials </w:t>
      </w:r>
      <w:r w:rsidR="001A767A" w:rsidRPr="003015CD">
        <w:rPr>
          <w:rFonts w:asciiTheme="majorHAnsi" w:hAnsiTheme="majorHAnsi" w:cstheme="majorHAnsi"/>
          <w:b/>
          <w:color w:val="000000" w:themeColor="text1"/>
        </w:rPr>
        <w:t>s</w:t>
      </w:r>
      <w:r w:rsidR="00FD4E83" w:rsidRPr="003015CD">
        <w:rPr>
          <w:rFonts w:asciiTheme="majorHAnsi" w:hAnsiTheme="majorHAnsi" w:cstheme="majorHAnsi"/>
          <w:b/>
          <w:color w:val="000000" w:themeColor="text1"/>
        </w:rPr>
        <w:t xml:space="preserve">upplied </w:t>
      </w:r>
      <w:r w:rsidR="001A767A" w:rsidRPr="003015CD">
        <w:rPr>
          <w:rFonts w:asciiTheme="majorHAnsi" w:hAnsiTheme="majorHAnsi" w:cstheme="majorHAnsi"/>
          <w:b/>
          <w:color w:val="000000" w:themeColor="text1"/>
        </w:rPr>
        <w:t>b</w:t>
      </w:r>
      <w:r w:rsidR="00FD4E83" w:rsidRPr="003015CD">
        <w:rPr>
          <w:rFonts w:asciiTheme="majorHAnsi" w:hAnsiTheme="majorHAnsi" w:cstheme="majorHAnsi"/>
          <w:b/>
          <w:color w:val="000000" w:themeColor="text1"/>
        </w:rPr>
        <w:t xml:space="preserve">y </w:t>
      </w:r>
      <w:r w:rsidR="001A767A" w:rsidRPr="003015CD">
        <w:rPr>
          <w:rFonts w:asciiTheme="majorHAnsi" w:hAnsiTheme="majorHAnsi" w:cstheme="majorHAnsi"/>
          <w:b/>
          <w:color w:val="000000" w:themeColor="text1"/>
        </w:rPr>
        <w:t>t</w:t>
      </w:r>
      <w:r w:rsidR="00FD4E83" w:rsidRPr="003015CD">
        <w:rPr>
          <w:rFonts w:asciiTheme="majorHAnsi" w:hAnsiTheme="majorHAnsi" w:cstheme="majorHAnsi"/>
          <w:b/>
          <w:color w:val="000000" w:themeColor="text1"/>
        </w:rPr>
        <w:t xml:space="preserve">he </w:t>
      </w:r>
      <w:r w:rsidR="001A767A" w:rsidRPr="003015CD">
        <w:rPr>
          <w:rFonts w:asciiTheme="majorHAnsi" w:hAnsiTheme="majorHAnsi" w:cstheme="majorHAnsi"/>
          <w:b/>
          <w:color w:val="000000" w:themeColor="text1"/>
        </w:rPr>
        <w:t>m</w:t>
      </w:r>
      <w:r w:rsidR="00FD4E83" w:rsidRPr="003015CD">
        <w:rPr>
          <w:rFonts w:asciiTheme="majorHAnsi" w:hAnsiTheme="majorHAnsi" w:cstheme="majorHAnsi"/>
          <w:b/>
          <w:color w:val="000000" w:themeColor="text1"/>
        </w:rPr>
        <w:t>anufacturer</w:t>
      </w:r>
      <w:bookmarkEnd w:id="16"/>
      <w:r w:rsidR="00FD4E83" w:rsidRPr="003015CD">
        <w:rPr>
          <w:rFonts w:asciiTheme="majorHAnsi" w:hAnsiTheme="majorHAnsi" w:cstheme="majorHAnsi"/>
          <w:b/>
          <w:color w:val="000000" w:themeColor="text1"/>
        </w:rPr>
        <w:t>:</w:t>
      </w:r>
      <w:r w:rsidR="00FD4E83" w:rsidRPr="003015CD">
        <w:rPr>
          <w:rFonts w:asciiTheme="majorHAnsi" w:hAnsiTheme="majorHAnsi" w:cstheme="majorHAnsi"/>
          <w:color w:val="000000" w:themeColor="text1"/>
        </w:rPr>
        <w:t xml:space="preserve"> for the purpose of this document, </w:t>
      </w:r>
      <w:r w:rsidR="00E34D94" w:rsidRPr="003015CD">
        <w:rPr>
          <w:rFonts w:asciiTheme="majorHAnsi" w:hAnsiTheme="majorHAnsi" w:cstheme="majorHAnsi"/>
          <w:color w:val="000000" w:themeColor="text1"/>
        </w:rPr>
        <w:t xml:space="preserve">this refers to </w:t>
      </w:r>
      <w:r w:rsidR="00FD4E83" w:rsidRPr="003015CD">
        <w:rPr>
          <w:rFonts w:asciiTheme="majorHAnsi" w:hAnsiTheme="majorHAnsi" w:cstheme="majorHAnsi"/>
          <w:color w:val="000000" w:themeColor="text1"/>
        </w:rPr>
        <w:t>the labelling, instructions for use</w:t>
      </w:r>
      <w:r w:rsidR="00114C42" w:rsidRPr="003015CD">
        <w:rPr>
          <w:rFonts w:asciiTheme="majorHAnsi" w:hAnsiTheme="majorHAnsi" w:cstheme="majorHAnsi"/>
          <w:color w:val="000000" w:themeColor="text1"/>
        </w:rPr>
        <w:t xml:space="preserve">, </w:t>
      </w:r>
      <w:r w:rsidR="00FD4E83" w:rsidRPr="003015CD">
        <w:rPr>
          <w:rFonts w:asciiTheme="majorHAnsi" w:hAnsiTheme="majorHAnsi" w:cstheme="majorHAnsi"/>
          <w:color w:val="000000" w:themeColor="text1"/>
        </w:rPr>
        <w:t>promotional materials</w:t>
      </w:r>
      <w:r w:rsidR="007E3221" w:rsidRPr="003015CD">
        <w:rPr>
          <w:rFonts w:asciiTheme="majorHAnsi" w:hAnsiTheme="majorHAnsi" w:cstheme="majorHAnsi"/>
          <w:color w:val="000000" w:themeColor="text1"/>
        </w:rPr>
        <w:t xml:space="preserve"> </w:t>
      </w:r>
      <w:r w:rsidR="00114C42" w:rsidRPr="003015CD">
        <w:rPr>
          <w:rFonts w:asciiTheme="majorHAnsi" w:hAnsiTheme="majorHAnsi" w:cstheme="majorHAnsi"/>
          <w:color w:val="000000" w:themeColor="text1"/>
        </w:rPr>
        <w:t>and</w:t>
      </w:r>
      <w:r w:rsidR="00E54CBB" w:rsidRPr="003015CD">
        <w:rPr>
          <w:rFonts w:asciiTheme="majorHAnsi" w:hAnsiTheme="majorHAnsi" w:cstheme="majorHAnsi"/>
          <w:color w:val="000000" w:themeColor="text1"/>
        </w:rPr>
        <w:t>,</w:t>
      </w:r>
      <w:r w:rsidR="00114C42" w:rsidRPr="003015CD">
        <w:rPr>
          <w:rFonts w:asciiTheme="majorHAnsi" w:hAnsiTheme="majorHAnsi" w:cstheme="majorHAnsi"/>
          <w:color w:val="000000" w:themeColor="text1"/>
        </w:rPr>
        <w:t xml:space="preserve"> where applicable</w:t>
      </w:r>
      <w:r w:rsidR="007E3221" w:rsidRPr="003015CD">
        <w:rPr>
          <w:rFonts w:asciiTheme="majorHAnsi" w:hAnsiTheme="majorHAnsi" w:cstheme="majorHAnsi"/>
          <w:color w:val="000000" w:themeColor="text1"/>
        </w:rPr>
        <w:t xml:space="preserve"> </w:t>
      </w:r>
      <w:r w:rsidR="00114C42" w:rsidRPr="003015CD">
        <w:rPr>
          <w:rFonts w:asciiTheme="majorHAnsi" w:hAnsiTheme="majorHAnsi" w:cstheme="majorHAnsi"/>
          <w:color w:val="000000" w:themeColor="text1"/>
        </w:rPr>
        <w:t xml:space="preserve">implant card </w:t>
      </w:r>
      <w:r w:rsidR="007E3221" w:rsidRPr="003015CD">
        <w:rPr>
          <w:rFonts w:asciiTheme="majorHAnsi" w:hAnsiTheme="majorHAnsi" w:cstheme="majorHAnsi"/>
          <w:color w:val="000000" w:themeColor="text1"/>
        </w:rPr>
        <w:t xml:space="preserve">and SSCP </w:t>
      </w:r>
      <w:r w:rsidR="00FD4E83" w:rsidRPr="003015CD">
        <w:rPr>
          <w:rFonts w:asciiTheme="majorHAnsi" w:hAnsiTheme="majorHAnsi" w:cstheme="majorHAnsi"/>
          <w:color w:val="000000" w:themeColor="text1"/>
        </w:rPr>
        <w:t>for the device under evaluation. [Derived from M</w:t>
      </w:r>
      <w:r w:rsidR="00A412B8" w:rsidRPr="003015CD">
        <w:rPr>
          <w:rFonts w:asciiTheme="majorHAnsi" w:hAnsiTheme="majorHAnsi" w:cstheme="majorHAnsi"/>
          <w:color w:val="000000" w:themeColor="text1"/>
        </w:rPr>
        <w:t>DR Article 2</w:t>
      </w:r>
      <w:r w:rsidR="00D018DF"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12</w:t>
      </w:r>
      <w:r w:rsidR="00D018DF"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w:t>
      </w:r>
      <w:r w:rsidR="00DD7290" w:rsidRPr="003015CD">
        <w:rPr>
          <w:rFonts w:asciiTheme="majorHAnsi" w:hAnsiTheme="majorHAnsi" w:cstheme="majorHAnsi"/>
          <w:color w:val="000000" w:themeColor="text1"/>
        </w:rPr>
        <w:t xml:space="preserve"> article 18(1) and</w:t>
      </w:r>
      <w:r w:rsidR="00A412B8" w:rsidRPr="003015CD">
        <w:rPr>
          <w:rFonts w:asciiTheme="majorHAnsi" w:hAnsiTheme="majorHAnsi" w:cstheme="majorHAnsi"/>
          <w:color w:val="000000" w:themeColor="text1"/>
        </w:rPr>
        <w:t xml:space="preserve"> Annex I </w:t>
      </w:r>
      <w:r w:rsidR="00D018DF" w:rsidRPr="003015CD">
        <w:rPr>
          <w:rFonts w:asciiTheme="majorHAnsi" w:hAnsiTheme="majorHAnsi" w:cstheme="majorHAnsi"/>
          <w:color w:val="000000" w:themeColor="text1"/>
        </w:rPr>
        <w:t>S</w:t>
      </w:r>
      <w:r w:rsidR="00A412B8" w:rsidRPr="003015CD">
        <w:rPr>
          <w:rFonts w:asciiTheme="majorHAnsi" w:hAnsiTheme="majorHAnsi" w:cstheme="majorHAnsi"/>
          <w:color w:val="000000" w:themeColor="text1"/>
        </w:rPr>
        <w:t>ection 23</w:t>
      </w:r>
      <w:r w:rsidR="00FD4E83" w:rsidRPr="003015CD">
        <w:rPr>
          <w:rFonts w:asciiTheme="majorHAnsi" w:hAnsiTheme="majorHAnsi" w:cstheme="majorHAnsi"/>
          <w:color w:val="000000" w:themeColor="text1"/>
        </w:rPr>
        <w:t xml:space="preserve">] </w:t>
      </w:r>
    </w:p>
    <w:p w14:paraId="089F2809" w14:textId="77777777" w:rsidR="001171EB" w:rsidRPr="003015CD" w:rsidRDefault="001171EB" w:rsidP="00081885">
      <w:pPr>
        <w:jc w:val="both"/>
        <w:rPr>
          <w:rFonts w:asciiTheme="majorHAnsi" w:hAnsiTheme="majorHAnsi" w:cstheme="majorHAnsi"/>
          <w:color w:val="000000" w:themeColor="text1"/>
        </w:rPr>
      </w:pPr>
    </w:p>
    <w:p w14:paraId="0E7F2B4C" w14:textId="781DD93A" w:rsidR="00FD4E83" w:rsidRPr="003015CD" w:rsidRDefault="00FD4E83"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 xml:space="preserve">Intended </w:t>
      </w:r>
      <w:r w:rsidR="00EA1119" w:rsidRPr="003015CD">
        <w:rPr>
          <w:rFonts w:asciiTheme="majorHAnsi" w:hAnsiTheme="majorHAnsi" w:cstheme="majorHAnsi"/>
          <w:b/>
          <w:color w:val="000000" w:themeColor="text1"/>
        </w:rPr>
        <w:t>p</w:t>
      </w:r>
      <w:r w:rsidRPr="003015CD">
        <w:rPr>
          <w:rFonts w:asciiTheme="majorHAnsi" w:hAnsiTheme="majorHAnsi" w:cstheme="majorHAnsi"/>
          <w:b/>
          <w:color w:val="000000" w:themeColor="text1"/>
        </w:rPr>
        <w:t xml:space="preserve">urpose: </w:t>
      </w:r>
      <w:r w:rsidR="00A412B8" w:rsidRPr="003015CD">
        <w:rPr>
          <w:rFonts w:asciiTheme="majorHAnsi" w:hAnsiTheme="majorHAnsi" w:cstheme="majorHAnsi"/>
          <w:color w:val="000000" w:themeColor="text1"/>
        </w:rPr>
        <w:t>the use for which a device is intended according to the data supplied by the manufacturer on the label, in the instructions for use or in promotional or sales materials or statements and as specified by the manufacturer in the clinical evaluation</w:t>
      </w:r>
      <w:r w:rsidR="00F960EA" w:rsidRPr="003015CD">
        <w:rPr>
          <w:rFonts w:asciiTheme="majorHAnsi" w:hAnsiTheme="majorHAnsi" w:cstheme="majorHAnsi"/>
          <w:color w:val="000000" w:themeColor="text1"/>
        </w:rPr>
        <w:t>, including and the claims of the manufacturer</w:t>
      </w:r>
      <w:r w:rsidR="00A412B8" w:rsidRPr="003015CD">
        <w:rPr>
          <w:rFonts w:asciiTheme="majorHAnsi" w:hAnsiTheme="majorHAnsi" w:cstheme="majorHAnsi"/>
          <w:color w:val="000000" w:themeColor="text1"/>
        </w:rPr>
        <w:t>;</w:t>
      </w:r>
      <w:r w:rsidR="00C17ACE"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 xml:space="preserve"> Article 2</w:t>
      </w:r>
      <w:r w:rsidR="00D018DF" w:rsidRPr="003015CD">
        <w:rPr>
          <w:rFonts w:asciiTheme="majorHAnsi" w:hAnsiTheme="majorHAnsi" w:cstheme="majorHAnsi"/>
          <w:color w:val="000000" w:themeColor="text1"/>
        </w:rPr>
        <w:t>(</w:t>
      </w:r>
      <w:r w:rsidR="00A412B8" w:rsidRPr="003015CD">
        <w:rPr>
          <w:rFonts w:asciiTheme="majorHAnsi" w:hAnsiTheme="majorHAnsi" w:cstheme="majorHAnsi"/>
          <w:color w:val="000000" w:themeColor="text1"/>
        </w:rPr>
        <w:t>12</w:t>
      </w:r>
      <w:r w:rsidR="00D018DF" w:rsidRPr="003015CD">
        <w:rPr>
          <w:rFonts w:asciiTheme="majorHAnsi" w:hAnsiTheme="majorHAnsi" w:cstheme="majorHAnsi"/>
          <w:color w:val="000000" w:themeColor="text1"/>
        </w:rPr>
        <w:t>)</w:t>
      </w:r>
      <w:r w:rsidR="00DF4F6B" w:rsidRPr="003015CD">
        <w:rPr>
          <w:rFonts w:asciiTheme="majorHAnsi" w:hAnsiTheme="majorHAnsi" w:cstheme="majorHAnsi"/>
          <w:color w:val="000000" w:themeColor="text1"/>
        </w:rPr>
        <w:t xml:space="preserve"> MDR</w:t>
      </w:r>
      <w:r w:rsidRPr="003015CD">
        <w:rPr>
          <w:rFonts w:asciiTheme="majorHAnsi" w:hAnsiTheme="majorHAnsi" w:cstheme="majorHAnsi"/>
          <w:color w:val="000000" w:themeColor="text1"/>
        </w:rPr>
        <w:t>]</w:t>
      </w:r>
      <w:r w:rsidR="00302F32" w:rsidRPr="003015CD">
        <w:rPr>
          <w:rFonts w:asciiTheme="majorHAnsi" w:hAnsiTheme="majorHAnsi" w:cstheme="majorHAnsi"/>
          <w:color w:val="000000" w:themeColor="text1"/>
        </w:rPr>
        <w:t>.</w:t>
      </w:r>
    </w:p>
    <w:p w14:paraId="3FACCA77" w14:textId="5F8FB1DD" w:rsidR="00357759" w:rsidRPr="003015CD" w:rsidRDefault="0034485F" w:rsidP="2D4ECF1A">
      <w:pPr>
        <w:autoSpaceDE w:val="0"/>
        <w:autoSpaceDN w:val="0"/>
        <w:adjustRightInd w:val="0"/>
        <w:spacing w:before="0" w:after="0"/>
        <w:jc w:val="both"/>
        <w:rPr>
          <w:rFonts w:asciiTheme="majorHAnsi" w:hAnsiTheme="majorHAnsi" w:cstheme="majorBidi"/>
          <w:color w:val="000000" w:themeColor="text1"/>
        </w:rPr>
      </w:pPr>
      <w:r w:rsidRPr="003015CD">
        <w:rPr>
          <w:rFonts w:asciiTheme="majorHAnsi" w:hAnsiTheme="majorHAnsi" w:cstheme="majorBidi"/>
          <w:color w:val="000000" w:themeColor="text1"/>
        </w:rPr>
        <w:t>Note</w:t>
      </w:r>
      <w:r w:rsidR="00DC5F2F" w:rsidRPr="003015CD">
        <w:rPr>
          <w:rFonts w:asciiTheme="majorHAnsi" w:hAnsiTheme="majorHAnsi" w:cstheme="majorBidi"/>
          <w:color w:val="000000" w:themeColor="text1"/>
        </w:rPr>
        <w:t xml:space="preserve"> 1</w:t>
      </w:r>
      <w:r w:rsidRPr="003015CD">
        <w:rPr>
          <w:rFonts w:asciiTheme="majorHAnsi" w:hAnsiTheme="majorHAnsi" w:cstheme="majorBidi"/>
          <w:color w:val="000000" w:themeColor="text1"/>
        </w:rPr>
        <w:t>: MDR defines ‘intended purpose’, but not ‘intended use’. ‘</w:t>
      </w:r>
      <w:r w:rsidR="005A6B27" w:rsidRPr="003015CD">
        <w:rPr>
          <w:rFonts w:asciiTheme="majorHAnsi" w:hAnsiTheme="majorHAnsi" w:cstheme="majorBidi"/>
          <w:color w:val="000000" w:themeColor="text1"/>
        </w:rPr>
        <w:t>I</w:t>
      </w:r>
      <w:r w:rsidRPr="003015CD">
        <w:rPr>
          <w:rFonts w:asciiTheme="majorHAnsi" w:hAnsiTheme="majorHAnsi" w:cstheme="majorBidi"/>
          <w:color w:val="000000" w:themeColor="text1"/>
        </w:rPr>
        <w:t>ntended use’ should be considered to have the same meaning as ‘intended purpose’.</w:t>
      </w:r>
      <w:r w:rsidR="00D018DF"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[MDCG 2020-6].</w:t>
      </w:r>
    </w:p>
    <w:p w14:paraId="779E7F9D" w14:textId="5CC6B35F" w:rsidR="00DC5F2F" w:rsidRPr="003015CD" w:rsidRDefault="00DC5F2F"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Note 2: </w:t>
      </w:r>
      <w:r w:rsidR="00DD60FE" w:rsidRPr="003015CD">
        <w:rPr>
          <w:rFonts w:asciiTheme="majorHAnsi" w:hAnsiTheme="majorHAnsi" w:cstheme="majorBidi"/>
          <w:color w:val="000000" w:themeColor="text1"/>
        </w:rPr>
        <w:t xml:space="preserve">Annex I </w:t>
      </w:r>
      <w:r w:rsidR="00827990" w:rsidRPr="003015CD">
        <w:rPr>
          <w:rFonts w:asciiTheme="majorHAnsi" w:hAnsiTheme="majorHAnsi" w:cstheme="majorBidi"/>
          <w:color w:val="000000" w:themeColor="text1"/>
        </w:rPr>
        <w:t xml:space="preserve">point </w:t>
      </w:r>
      <w:r w:rsidR="00DD60FE" w:rsidRPr="003015CD">
        <w:rPr>
          <w:rFonts w:asciiTheme="majorHAnsi" w:hAnsiTheme="majorHAnsi" w:cstheme="majorBidi"/>
          <w:color w:val="000000" w:themeColor="text1"/>
        </w:rPr>
        <w:t>23.4</w:t>
      </w:r>
      <w:r w:rsidR="00827990" w:rsidRPr="003015CD">
        <w:rPr>
          <w:rFonts w:asciiTheme="majorHAnsi" w:hAnsiTheme="majorHAnsi" w:cstheme="majorBidi"/>
          <w:color w:val="000000" w:themeColor="text1"/>
        </w:rPr>
        <w:t>(b)</w:t>
      </w:r>
      <w:r w:rsidR="00DD60FE" w:rsidRPr="003015CD">
        <w:rPr>
          <w:rFonts w:asciiTheme="majorHAnsi" w:hAnsiTheme="majorHAnsi" w:cstheme="majorBidi"/>
          <w:color w:val="000000" w:themeColor="text1"/>
        </w:rPr>
        <w:t xml:space="preserve"> requires that </w:t>
      </w:r>
      <w:r w:rsidR="00827990" w:rsidRPr="003015CD">
        <w:rPr>
          <w:rFonts w:asciiTheme="majorHAnsi" w:hAnsiTheme="majorHAnsi" w:cstheme="majorBidi"/>
          <w:color w:val="000000" w:themeColor="text1"/>
        </w:rPr>
        <w:t xml:space="preserve">the </w:t>
      </w:r>
      <w:r w:rsidRPr="003015CD">
        <w:rPr>
          <w:rFonts w:asciiTheme="majorHAnsi" w:hAnsiTheme="majorHAnsi" w:cstheme="majorBidi"/>
          <w:color w:val="000000" w:themeColor="text1"/>
        </w:rPr>
        <w:t>intended purpose</w:t>
      </w:r>
      <w:r w:rsidR="00827990" w:rsidRPr="003015CD">
        <w:rPr>
          <w:rFonts w:asciiTheme="majorHAnsi" w:hAnsiTheme="majorHAnsi" w:cstheme="majorBidi"/>
          <w:color w:val="000000" w:themeColor="text1"/>
        </w:rPr>
        <w:t xml:space="preserve"> is included in the </w:t>
      </w:r>
      <w:r w:rsidR="00CE6048" w:rsidRPr="003015CD">
        <w:rPr>
          <w:rFonts w:asciiTheme="majorHAnsi" w:hAnsiTheme="majorHAnsi" w:cstheme="majorBidi"/>
          <w:color w:val="000000" w:themeColor="text1"/>
        </w:rPr>
        <w:t>IFU with</w:t>
      </w:r>
      <w:r w:rsidR="0010582B" w:rsidRPr="003015CD">
        <w:rPr>
          <w:rFonts w:asciiTheme="majorHAnsi" w:hAnsiTheme="majorHAnsi" w:cstheme="majorBidi"/>
          <w:color w:val="000000" w:themeColor="text1"/>
        </w:rPr>
        <w:t xml:space="preserve"> a clear specification of</w:t>
      </w:r>
      <w:r w:rsidR="009F3532"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w:t>
      </w:r>
      <w:r w:rsidR="009F3532" w:rsidRPr="003015CD">
        <w:rPr>
          <w:rFonts w:asciiTheme="majorHAnsi" w:hAnsiTheme="majorHAnsi" w:cstheme="majorBidi"/>
          <w:color w:val="000000" w:themeColor="text1"/>
        </w:rPr>
        <w:t xml:space="preserve">as appropriate, </w:t>
      </w:r>
      <w:r w:rsidRPr="003015CD">
        <w:rPr>
          <w:rFonts w:asciiTheme="majorHAnsi" w:hAnsiTheme="majorHAnsi" w:cstheme="majorBidi"/>
          <w:color w:val="000000" w:themeColor="text1"/>
        </w:rPr>
        <w:t>indications, contra-indications, the patient target group or groups, and the intended users</w:t>
      </w:r>
      <w:r w:rsidR="00392F5A" w:rsidRPr="003015CD">
        <w:rPr>
          <w:rFonts w:asciiTheme="majorHAnsi" w:hAnsiTheme="majorHAnsi" w:cstheme="majorBidi"/>
          <w:color w:val="000000" w:themeColor="text1"/>
        </w:rPr>
        <w:t xml:space="preserve">. </w:t>
      </w:r>
      <w:r w:rsidR="00CE6048" w:rsidRPr="003015CD">
        <w:rPr>
          <w:rFonts w:asciiTheme="majorHAnsi" w:hAnsiTheme="majorHAnsi" w:cstheme="majorBidi"/>
          <w:color w:val="000000" w:themeColor="text1"/>
        </w:rPr>
        <w:t>Therefore,</w:t>
      </w:r>
      <w:r w:rsidR="00392F5A" w:rsidRPr="003015CD">
        <w:rPr>
          <w:rFonts w:asciiTheme="majorHAnsi" w:hAnsiTheme="majorHAnsi" w:cstheme="majorBidi"/>
          <w:color w:val="000000" w:themeColor="text1"/>
        </w:rPr>
        <w:t xml:space="preserve"> the intended purpose </w:t>
      </w:r>
      <w:r w:rsidR="00846B59" w:rsidRPr="003015CD">
        <w:rPr>
          <w:rFonts w:asciiTheme="majorHAnsi" w:hAnsiTheme="majorHAnsi" w:cstheme="majorBidi"/>
          <w:color w:val="000000" w:themeColor="text1"/>
        </w:rPr>
        <w:t>should specify these aspects as appropriate</w:t>
      </w:r>
      <w:r w:rsidR="00302F32"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w:t>
      </w:r>
    </w:p>
    <w:p w14:paraId="37A29FAB" w14:textId="77777777" w:rsidR="001171EB" w:rsidRPr="003015CD" w:rsidRDefault="001171EB" w:rsidP="00081885">
      <w:pPr>
        <w:jc w:val="both"/>
        <w:rPr>
          <w:rFonts w:asciiTheme="majorHAnsi" w:hAnsiTheme="majorHAnsi" w:cstheme="majorHAnsi"/>
          <w:color w:val="000000" w:themeColor="text1"/>
        </w:rPr>
      </w:pPr>
    </w:p>
    <w:p w14:paraId="4D38EA3C" w14:textId="69B487A6" w:rsidR="00BC4C2C" w:rsidRPr="003015CD" w:rsidRDefault="00BC4C2C"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Level of clinical evidence</w:t>
      </w:r>
      <w:r w:rsidRPr="003015CD">
        <w:rPr>
          <w:rFonts w:asciiTheme="majorHAnsi" w:hAnsiTheme="majorHAnsi" w:cstheme="majorBidi"/>
          <w:color w:val="000000" w:themeColor="text1"/>
        </w:rPr>
        <w:t>: this terminology is used in MDR with respect to requirements for demonstration of conformity with the relevant GSPR</w:t>
      </w:r>
      <w:r w:rsidR="00F306BB"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and overall benefit-risk. It is understood to encompass the amount and quality of evidence (i.e. its characterisation by quality, quantity, completeness and statistical validity, etc.) required to demonstrate safety, performance and the benefit-risk conclusion of a medical device. It should not be confused with the term ‘levels of evidence’ (as used in evidence-based medicine) which is used to rank study </w:t>
      </w:r>
      <w:r w:rsidR="00D07EB1" w:rsidRPr="003015CD">
        <w:rPr>
          <w:rFonts w:asciiTheme="majorHAnsi" w:hAnsiTheme="majorHAnsi" w:cstheme="majorBidi"/>
          <w:color w:val="000000" w:themeColor="text1"/>
        </w:rPr>
        <w:t>designs and</w:t>
      </w:r>
      <w:r w:rsidRPr="003015CD">
        <w:rPr>
          <w:rFonts w:asciiTheme="majorHAnsi" w:hAnsiTheme="majorHAnsi" w:cstheme="majorBidi"/>
          <w:color w:val="000000" w:themeColor="text1"/>
        </w:rPr>
        <w:t xml:space="preserve"> is only a part of the concept ‘level of clinical evidence’.</w:t>
      </w:r>
    </w:p>
    <w:p w14:paraId="252CA66E" w14:textId="77777777" w:rsidR="001171EB" w:rsidRPr="003015CD" w:rsidRDefault="001171EB" w:rsidP="00081885">
      <w:pPr>
        <w:jc w:val="both"/>
        <w:rPr>
          <w:rFonts w:asciiTheme="majorHAnsi" w:hAnsiTheme="majorHAnsi" w:cstheme="majorHAnsi"/>
          <w:color w:val="000000" w:themeColor="text1"/>
        </w:rPr>
      </w:pPr>
    </w:p>
    <w:p w14:paraId="4C11121E" w14:textId="39B615ED" w:rsidR="0038052F" w:rsidRPr="003015CD" w:rsidRDefault="0038052F" w:rsidP="2D4ECF1A">
      <w:pPr>
        <w:pStyle w:val="Paragraphedeliste"/>
        <w:ind w:left="0"/>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Performance: </w:t>
      </w:r>
      <w:r w:rsidR="00B0233F" w:rsidRPr="003015CD">
        <w:rPr>
          <w:rFonts w:asciiTheme="majorHAnsi" w:hAnsiTheme="majorHAnsi" w:cstheme="majorBidi"/>
          <w:color w:val="000000" w:themeColor="text1"/>
        </w:rPr>
        <w:t>the ability of a device to achieve its intended purpose as stated by the manufacturer</w:t>
      </w:r>
      <w:r w:rsidR="00EE0D8E" w:rsidRPr="003015CD">
        <w:rPr>
          <w:rFonts w:asciiTheme="majorHAnsi" w:hAnsiTheme="majorHAnsi" w:cstheme="majorBidi"/>
          <w:color w:val="000000" w:themeColor="text1"/>
        </w:rPr>
        <w:t>.</w:t>
      </w:r>
      <w:r w:rsidR="00B0233F" w:rsidRPr="003015CD">
        <w:rPr>
          <w:rFonts w:asciiTheme="majorHAnsi" w:hAnsiTheme="majorHAnsi" w:cstheme="majorBidi"/>
          <w:b/>
          <w:bCs/>
          <w:color w:val="000000" w:themeColor="text1"/>
        </w:rPr>
        <w:t xml:space="preserve"> </w:t>
      </w:r>
      <w:r w:rsidR="00B0233F" w:rsidRPr="003015CD">
        <w:rPr>
          <w:rFonts w:asciiTheme="majorHAnsi" w:hAnsiTheme="majorHAnsi" w:cstheme="majorBidi"/>
          <w:color w:val="000000" w:themeColor="text1"/>
        </w:rPr>
        <w:t>[Article 2(22) MDR]</w:t>
      </w:r>
    </w:p>
    <w:p w14:paraId="2DBC3CFF" w14:textId="77777777" w:rsidR="001171EB" w:rsidRPr="003015CD" w:rsidRDefault="001171EB" w:rsidP="00081885">
      <w:pPr>
        <w:pStyle w:val="Paragraphedeliste"/>
        <w:ind w:left="0"/>
        <w:jc w:val="both"/>
        <w:rPr>
          <w:rFonts w:asciiTheme="majorHAnsi" w:hAnsiTheme="majorHAnsi" w:cstheme="majorHAnsi"/>
          <w:b/>
          <w:color w:val="000000" w:themeColor="text1"/>
        </w:rPr>
      </w:pPr>
    </w:p>
    <w:p w14:paraId="2D498B55" w14:textId="6C320D56" w:rsidR="00DE0A08" w:rsidRPr="003015CD" w:rsidRDefault="00AD2656" w:rsidP="00081885">
      <w:pPr>
        <w:jc w:val="both"/>
        <w:rPr>
          <w:rFonts w:asciiTheme="majorHAnsi" w:hAnsiTheme="majorHAnsi" w:cstheme="majorHAnsi"/>
          <w:color w:val="000000" w:themeColor="text1"/>
          <w:shd w:val="clear" w:color="auto" w:fill="FFFFFF"/>
        </w:rPr>
      </w:pPr>
      <w:r w:rsidRPr="003015CD">
        <w:rPr>
          <w:rFonts w:asciiTheme="majorHAnsi" w:hAnsiTheme="majorHAnsi" w:cstheme="majorHAnsi"/>
          <w:b/>
          <w:bCs/>
          <w:color w:val="000000" w:themeColor="text1"/>
          <w:shd w:val="clear" w:color="auto" w:fill="FFFFFF"/>
        </w:rPr>
        <w:lastRenderedPageBreak/>
        <w:t>Post-market surveillance:</w:t>
      </w:r>
      <w:r w:rsidRPr="003015CD">
        <w:rPr>
          <w:rFonts w:asciiTheme="majorHAnsi" w:hAnsiTheme="majorHAnsi" w:cstheme="majorHAnsi"/>
          <w:color w:val="000000" w:themeColor="text1"/>
          <w:shd w:val="clear" w:color="auto" w:fill="FFFFFF"/>
        </w:rPr>
        <w:t xml:space="preserve"> all activities carried out by manufacturers in cooperation with other economic operators to institute and keep up to date a systematic procedure to proactively collect and review experience gained from devices they place on the market, make available on the market or put into service for the purpose of identifying any need to immediately apply any necessary corrective or preventive actions. [Article 2</w:t>
      </w:r>
      <w:r w:rsidR="00D018DF" w:rsidRPr="003015CD">
        <w:rPr>
          <w:rFonts w:asciiTheme="majorHAnsi" w:hAnsiTheme="majorHAnsi" w:cstheme="majorHAnsi"/>
          <w:color w:val="000000" w:themeColor="text1"/>
          <w:shd w:val="clear" w:color="auto" w:fill="FFFFFF"/>
        </w:rPr>
        <w:t>(</w:t>
      </w:r>
      <w:r w:rsidRPr="003015CD">
        <w:rPr>
          <w:rFonts w:asciiTheme="majorHAnsi" w:hAnsiTheme="majorHAnsi" w:cstheme="majorHAnsi"/>
          <w:color w:val="000000" w:themeColor="text1"/>
          <w:shd w:val="clear" w:color="auto" w:fill="FFFFFF"/>
        </w:rPr>
        <w:t>60</w:t>
      </w:r>
      <w:r w:rsidR="00D018DF" w:rsidRPr="003015CD">
        <w:rPr>
          <w:rFonts w:asciiTheme="majorHAnsi" w:hAnsiTheme="majorHAnsi" w:cstheme="majorHAnsi"/>
          <w:color w:val="000000" w:themeColor="text1"/>
          <w:shd w:val="clear" w:color="auto" w:fill="FFFFFF"/>
        </w:rPr>
        <w:t>)</w:t>
      </w:r>
      <w:r w:rsidRPr="003015CD">
        <w:rPr>
          <w:rFonts w:asciiTheme="majorHAnsi" w:hAnsiTheme="majorHAnsi" w:cstheme="majorHAnsi"/>
          <w:color w:val="000000" w:themeColor="text1"/>
          <w:shd w:val="clear" w:color="auto" w:fill="FFFFFF"/>
        </w:rPr>
        <w:t xml:space="preserve"> MDR]</w:t>
      </w:r>
    </w:p>
    <w:p w14:paraId="57368225" w14:textId="77777777" w:rsidR="001171EB" w:rsidRPr="003015CD" w:rsidRDefault="001171EB" w:rsidP="00081885">
      <w:pPr>
        <w:jc w:val="both"/>
        <w:rPr>
          <w:rFonts w:asciiTheme="majorHAnsi" w:hAnsiTheme="majorHAnsi" w:cstheme="majorHAnsi"/>
          <w:color w:val="000000" w:themeColor="text1"/>
          <w:shd w:val="clear" w:color="auto" w:fill="FFFFFF"/>
        </w:rPr>
      </w:pPr>
    </w:p>
    <w:p w14:paraId="6C1A4F2F" w14:textId="62393BAC" w:rsidR="00DF3BDA" w:rsidRPr="003015CD" w:rsidRDefault="00DF3BDA"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Real</w:t>
      </w:r>
      <w:r w:rsidR="00B37858" w:rsidRPr="003015CD">
        <w:rPr>
          <w:rFonts w:asciiTheme="majorHAnsi" w:hAnsiTheme="majorHAnsi" w:cstheme="majorBidi"/>
          <w:b/>
          <w:bCs/>
          <w:color w:val="000000" w:themeColor="text1"/>
        </w:rPr>
        <w:t>-</w:t>
      </w:r>
      <w:r w:rsidRPr="003015CD" w:rsidDel="00B37858">
        <w:rPr>
          <w:rFonts w:asciiTheme="majorHAnsi" w:hAnsiTheme="majorHAnsi" w:cstheme="majorBidi"/>
          <w:b/>
          <w:bCs/>
          <w:color w:val="000000" w:themeColor="text1"/>
        </w:rPr>
        <w:t xml:space="preserve">World </w:t>
      </w:r>
      <w:r w:rsidR="0080276E" w:rsidRPr="003015CD">
        <w:rPr>
          <w:rFonts w:asciiTheme="majorHAnsi" w:hAnsiTheme="majorHAnsi" w:cstheme="majorBidi"/>
          <w:b/>
          <w:bCs/>
          <w:color w:val="000000" w:themeColor="text1"/>
        </w:rPr>
        <w:t>D</w:t>
      </w:r>
      <w:r w:rsidRPr="003015CD">
        <w:rPr>
          <w:rFonts w:asciiTheme="majorHAnsi" w:hAnsiTheme="majorHAnsi" w:cstheme="majorBidi"/>
          <w:b/>
          <w:bCs/>
          <w:color w:val="000000" w:themeColor="text1"/>
        </w:rPr>
        <w:t xml:space="preserve">ata: </w:t>
      </w:r>
      <w:r w:rsidRPr="003015CD">
        <w:rPr>
          <w:rFonts w:asciiTheme="majorHAnsi" w:hAnsiTheme="majorHAnsi" w:cstheme="majorBidi"/>
          <w:color w:val="000000" w:themeColor="text1"/>
        </w:rPr>
        <w:t>data relating to patient health status and/or the delivery of health care collected from a variety of sources</w:t>
      </w:r>
      <w:r w:rsidR="00B70977" w:rsidRPr="003015CD">
        <w:rPr>
          <w:rFonts w:asciiTheme="majorHAnsi" w:hAnsiTheme="majorHAnsi" w:cstheme="majorBidi"/>
          <w:color w:val="000000" w:themeColor="text1"/>
        </w:rPr>
        <w:t xml:space="preserve"> in </w:t>
      </w:r>
      <w:r w:rsidR="001D71AD" w:rsidRPr="003015CD">
        <w:rPr>
          <w:rFonts w:asciiTheme="majorHAnsi" w:hAnsiTheme="majorHAnsi" w:cstheme="majorBidi"/>
          <w:color w:val="000000" w:themeColor="text1"/>
        </w:rPr>
        <w:t>routine clinical practice</w:t>
      </w:r>
      <w:r w:rsidR="005D0F57" w:rsidRPr="003015CD">
        <w:rPr>
          <w:rStyle w:val="Appelnotedebasdep"/>
          <w:rFonts w:asciiTheme="majorHAnsi" w:hAnsiTheme="majorHAnsi" w:cstheme="majorBidi"/>
          <w:color w:val="000000" w:themeColor="text1"/>
        </w:rPr>
        <w:t xml:space="preserve"> </w:t>
      </w:r>
      <w:r w:rsidRPr="003015CD">
        <w:rPr>
          <w:rStyle w:val="Appelnotedebasdep"/>
          <w:rFonts w:asciiTheme="majorHAnsi" w:hAnsiTheme="majorHAnsi" w:cstheme="majorBidi"/>
          <w:color w:val="000000" w:themeColor="text1"/>
        </w:rPr>
        <w:footnoteReference w:id="2"/>
      </w:r>
      <w:r w:rsidRPr="003015CD">
        <w:rPr>
          <w:rFonts w:asciiTheme="majorHAnsi" w:hAnsiTheme="majorHAnsi" w:cstheme="majorBidi"/>
          <w:color w:val="000000" w:themeColor="text1"/>
        </w:rPr>
        <w:t>.</w:t>
      </w:r>
    </w:p>
    <w:p w14:paraId="2F567248" w14:textId="77777777" w:rsidR="001171EB" w:rsidRPr="003015CD" w:rsidRDefault="001171EB" w:rsidP="00081885">
      <w:pPr>
        <w:jc w:val="both"/>
        <w:rPr>
          <w:rFonts w:asciiTheme="majorHAnsi" w:hAnsiTheme="majorHAnsi" w:cstheme="majorHAnsi"/>
          <w:color w:val="000000" w:themeColor="text1"/>
        </w:rPr>
      </w:pPr>
    </w:p>
    <w:p w14:paraId="485CB715" w14:textId="0FAC2A29" w:rsidR="00DF3BDA" w:rsidRPr="003015CD" w:rsidRDefault="00DF3BDA" w:rsidP="2D4ECF1A">
      <w:pPr>
        <w:jc w:val="both"/>
        <w:rPr>
          <w:rFonts w:asciiTheme="majorHAnsi" w:hAnsiTheme="majorHAnsi" w:cstheme="majorBidi"/>
          <w:color w:val="000000" w:themeColor="text1"/>
          <w:vertAlign w:val="superscript"/>
        </w:rPr>
      </w:pPr>
      <w:r w:rsidRPr="003015CD">
        <w:rPr>
          <w:rFonts w:asciiTheme="majorHAnsi" w:hAnsiTheme="majorHAnsi" w:cstheme="majorBidi"/>
          <w:b/>
          <w:bCs/>
          <w:color w:val="000000" w:themeColor="text1"/>
        </w:rPr>
        <w:t>Real</w:t>
      </w:r>
      <w:r w:rsidR="003D7646" w:rsidRPr="003015CD">
        <w:rPr>
          <w:rFonts w:asciiTheme="majorHAnsi" w:hAnsiTheme="majorHAnsi" w:cstheme="majorBidi"/>
          <w:b/>
          <w:bCs/>
          <w:color w:val="000000" w:themeColor="text1"/>
        </w:rPr>
        <w:t>-</w:t>
      </w:r>
      <w:r w:rsidRPr="003015CD" w:rsidDel="003D7646">
        <w:rPr>
          <w:rFonts w:asciiTheme="majorHAnsi" w:hAnsiTheme="majorHAnsi" w:cstheme="majorBidi"/>
          <w:b/>
          <w:bCs/>
          <w:color w:val="000000" w:themeColor="text1"/>
        </w:rPr>
        <w:t xml:space="preserve">World </w:t>
      </w:r>
      <w:r w:rsidR="0080276E" w:rsidRPr="003015CD">
        <w:rPr>
          <w:rFonts w:asciiTheme="majorHAnsi" w:hAnsiTheme="majorHAnsi" w:cstheme="majorBidi"/>
          <w:b/>
          <w:bCs/>
          <w:color w:val="000000" w:themeColor="text1"/>
        </w:rPr>
        <w:t>E</w:t>
      </w:r>
      <w:r w:rsidRPr="003015CD">
        <w:rPr>
          <w:rFonts w:asciiTheme="majorHAnsi" w:hAnsiTheme="majorHAnsi" w:cstheme="majorBidi"/>
          <w:b/>
          <w:bCs/>
          <w:color w:val="000000" w:themeColor="text1"/>
        </w:rPr>
        <w:t>vidence:</w:t>
      </w:r>
      <w:r w:rsidRPr="003015CD">
        <w:rPr>
          <w:rFonts w:asciiTheme="majorHAnsi" w:eastAsiaTheme="minorEastAsia" w:hAnsiTheme="majorHAnsi" w:cstheme="majorBidi"/>
          <w:color w:val="000000" w:themeColor="text1"/>
          <w:sz w:val="40"/>
          <w:szCs w:val="40"/>
        </w:rPr>
        <w:t xml:space="preserve"> </w:t>
      </w:r>
      <w:r w:rsidRPr="003015CD">
        <w:rPr>
          <w:rFonts w:asciiTheme="majorHAnsi" w:hAnsiTheme="majorHAnsi" w:cstheme="majorBidi"/>
          <w:color w:val="000000" w:themeColor="text1"/>
        </w:rPr>
        <w:t xml:space="preserve">clinical evidence derived from analysis of </w:t>
      </w:r>
      <w:r w:rsidR="00B93EE7" w:rsidRPr="003015CD">
        <w:rPr>
          <w:rFonts w:asciiTheme="majorHAnsi" w:hAnsiTheme="majorHAnsi" w:cstheme="majorBidi"/>
          <w:color w:val="000000" w:themeColor="text1"/>
        </w:rPr>
        <w:t>real-world</w:t>
      </w:r>
      <w:r w:rsidR="005D6E7A" w:rsidRPr="003015CD">
        <w:rPr>
          <w:rFonts w:asciiTheme="majorHAnsi" w:hAnsiTheme="majorHAnsi" w:cstheme="majorBidi"/>
          <w:color w:val="000000" w:themeColor="text1"/>
        </w:rPr>
        <w:t xml:space="preserve"> data</w:t>
      </w:r>
      <w:r w:rsidRPr="003015CD">
        <w:rPr>
          <w:rFonts w:asciiTheme="majorHAnsi" w:hAnsiTheme="majorHAnsi" w:cstheme="majorBidi"/>
          <w:color w:val="000000" w:themeColor="text1"/>
        </w:rPr>
        <w:t>.</w:t>
      </w:r>
      <w:r w:rsidR="00834E53" w:rsidRPr="003015CD">
        <w:rPr>
          <w:rFonts w:asciiTheme="majorHAnsi" w:hAnsiTheme="majorHAnsi" w:cstheme="majorBidi"/>
          <w:color w:val="000000" w:themeColor="text1"/>
          <w:vertAlign w:val="superscript"/>
        </w:rPr>
        <w:t>1</w:t>
      </w:r>
    </w:p>
    <w:p w14:paraId="031E365F" w14:textId="77777777" w:rsidR="001171EB" w:rsidRPr="003015CD" w:rsidRDefault="001171EB" w:rsidP="00081885">
      <w:pPr>
        <w:jc w:val="both"/>
        <w:rPr>
          <w:rFonts w:asciiTheme="majorHAnsi" w:hAnsiTheme="majorHAnsi" w:cstheme="majorHAnsi"/>
          <w:b/>
          <w:bCs/>
          <w:color w:val="000000" w:themeColor="text1"/>
        </w:rPr>
      </w:pPr>
    </w:p>
    <w:p w14:paraId="79604493" w14:textId="7E74AFA2" w:rsidR="00723A09" w:rsidRPr="003015CD" w:rsidRDefault="00723A09" w:rsidP="00081885">
      <w:pPr>
        <w:jc w:val="both"/>
        <w:rPr>
          <w:rFonts w:asciiTheme="majorHAnsi" w:hAnsiTheme="majorHAnsi" w:cstheme="majorHAnsi"/>
          <w:color w:val="000000" w:themeColor="text1"/>
        </w:rPr>
      </w:pPr>
      <w:r w:rsidRPr="003015CD">
        <w:rPr>
          <w:rFonts w:asciiTheme="majorHAnsi" w:hAnsiTheme="majorHAnsi" w:cstheme="majorHAnsi"/>
          <w:b/>
          <w:color w:val="000000" w:themeColor="text1"/>
        </w:rPr>
        <w:t>Registry:</w:t>
      </w:r>
      <w:r w:rsidRPr="003015CD">
        <w:rPr>
          <w:rFonts w:asciiTheme="majorHAnsi" w:hAnsiTheme="majorHAnsi" w:cstheme="majorHAnsi"/>
          <w:color w:val="000000" w:themeColor="text1"/>
        </w:rPr>
        <w:t xml:space="preserve"> an organised system that uses observational methods to collect defined clinical data under normal conditions of use relating to one or more devices to evaluate specified outcomes for a population defined by a particular disease, condition, or exposure and that serves predetermined scientific, clinical or policy purpose(s). [derived from ISO 14155]</w:t>
      </w:r>
    </w:p>
    <w:p w14:paraId="463509AC" w14:textId="6DB6B7D8" w:rsidR="00723A09" w:rsidRPr="003015CD" w:rsidRDefault="00EF2C13"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Note</w:t>
      </w:r>
      <w:r w:rsidR="00BA336C" w:rsidRPr="003015CD">
        <w:rPr>
          <w:rFonts w:asciiTheme="majorHAnsi" w:hAnsiTheme="majorHAnsi" w:cstheme="majorBidi"/>
          <w:color w:val="000000" w:themeColor="text1"/>
        </w:rPr>
        <w:t xml:space="preserve"> 1</w:t>
      </w:r>
      <w:r w:rsidR="00723A09" w:rsidRPr="003015CD">
        <w:rPr>
          <w:rFonts w:asciiTheme="majorHAnsi" w:hAnsiTheme="majorHAnsi" w:cstheme="majorBidi"/>
          <w:color w:val="000000" w:themeColor="text1"/>
        </w:rPr>
        <w:t>: the term “register” and “registry” are considered synonymous for the purpose of this guidance document.</w:t>
      </w:r>
    </w:p>
    <w:p w14:paraId="7BC0DFA0" w14:textId="74503E38" w:rsidR="00723A09" w:rsidRPr="003015CD" w:rsidRDefault="00BA336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Note 2: </w:t>
      </w:r>
      <w:r w:rsidR="00723A09" w:rsidRPr="003015CD">
        <w:rPr>
          <w:rFonts w:asciiTheme="majorHAnsi" w:hAnsiTheme="majorHAnsi" w:cstheme="majorBidi"/>
          <w:color w:val="000000" w:themeColor="text1"/>
        </w:rPr>
        <w:t>there are several types of registries, for example patient</w:t>
      </w:r>
      <w:r w:rsidR="00787B7B" w:rsidRPr="003015CD">
        <w:rPr>
          <w:rFonts w:asciiTheme="majorHAnsi" w:hAnsiTheme="majorHAnsi" w:cstheme="majorBidi"/>
          <w:color w:val="000000" w:themeColor="text1"/>
        </w:rPr>
        <w:t xml:space="preserve"> registry</w:t>
      </w:r>
      <w:r w:rsidR="00723A09" w:rsidRPr="003015CD">
        <w:rPr>
          <w:rFonts w:asciiTheme="majorHAnsi" w:hAnsiTheme="majorHAnsi" w:cstheme="majorBidi"/>
          <w:color w:val="000000" w:themeColor="text1"/>
        </w:rPr>
        <w:t>, disease</w:t>
      </w:r>
      <w:r w:rsidR="00787B7B" w:rsidRPr="003015CD">
        <w:rPr>
          <w:rFonts w:asciiTheme="majorHAnsi" w:hAnsiTheme="majorHAnsi" w:cstheme="majorBidi"/>
          <w:color w:val="000000" w:themeColor="text1"/>
        </w:rPr>
        <w:t xml:space="preserve"> registry</w:t>
      </w:r>
      <w:r w:rsidR="00723A09" w:rsidRPr="003015CD">
        <w:rPr>
          <w:rFonts w:asciiTheme="majorHAnsi" w:hAnsiTheme="majorHAnsi" w:cstheme="majorBidi"/>
          <w:color w:val="000000" w:themeColor="text1"/>
        </w:rPr>
        <w:t>, device</w:t>
      </w:r>
      <w:r w:rsidR="00787B7B" w:rsidRPr="003015CD">
        <w:rPr>
          <w:rFonts w:asciiTheme="majorHAnsi" w:hAnsiTheme="majorHAnsi" w:cstheme="majorBidi"/>
          <w:color w:val="000000" w:themeColor="text1"/>
        </w:rPr>
        <w:t xml:space="preserve"> </w:t>
      </w:r>
      <w:r w:rsidR="00B93EE7" w:rsidRPr="003015CD">
        <w:rPr>
          <w:rFonts w:asciiTheme="majorHAnsi" w:hAnsiTheme="majorHAnsi" w:cstheme="majorBidi"/>
          <w:color w:val="000000" w:themeColor="text1"/>
        </w:rPr>
        <w:t>registry</w:t>
      </w:r>
      <w:r w:rsidR="00285325" w:rsidRPr="003015CD">
        <w:rPr>
          <w:rFonts w:asciiTheme="majorHAnsi" w:hAnsiTheme="majorHAnsi" w:cstheme="majorBidi"/>
          <w:color w:val="000000" w:themeColor="text1"/>
        </w:rPr>
        <w:t>.</w:t>
      </w:r>
    </w:p>
    <w:p w14:paraId="54D9F647" w14:textId="77777777" w:rsidR="001171EB" w:rsidRPr="003015CD" w:rsidRDefault="001171EB" w:rsidP="00081885">
      <w:pPr>
        <w:pStyle w:val="Paragraphedeliste"/>
        <w:ind w:left="285"/>
        <w:jc w:val="both"/>
        <w:rPr>
          <w:rFonts w:asciiTheme="majorHAnsi" w:hAnsiTheme="majorHAnsi" w:cstheme="majorHAnsi"/>
          <w:color w:val="000000" w:themeColor="text1"/>
        </w:rPr>
      </w:pPr>
    </w:p>
    <w:p w14:paraId="5D739BC7" w14:textId="4B6EAC62" w:rsidR="005A3212" w:rsidRPr="003015CD" w:rsidRDefault="000B30F2" w:rsidP="00081885">
      <w:pPr>
        <w:jc w:val="both"/>
        <w:rPr>
          <w:rFonts w:asciiTheme="majorHAnsi" w:hAnsiTheme="majorHAnsi" w:cstheme="majorHAnsi"/>
          <w:color w:val="000000" w:themeColor="text1"/>
          <w:lang w:eastAsia="de-CH"/>
        </w:rPr>
      </w:pPr>
      <w:r w:rsidRPr="003015CD">
        <w:rPr>
          <w:rFonts w:asciiTheme="majorHAnsi" w:hAnsiTheme="majorHAnsi" w:cstheme="majorHAnsi"/>
          <w:b/>
          <w:bCs/>
          <w:color w:val="000000" w:themeColor="text1"/>
          <w:lang w:eastAsia="de-CH"/>
        </w:rPr>
        <w:t>Risk:</w:t>
      </w:r>
      <w:r w:rsidRPr="003015CD">
        <w:rPr>
          <w:rFonts w:asciiTheme="majorHAnsi" w:hAnsiTheme="majorHAnsi" w:cstheme="majorHAnsi"/>
          <w:bCs/>
          <w:color w:val="000000" w:themeColor="text1"/>
          <w:lang w:eastAsia="de-CH"/>
        </w:rPr>
        <w:t xml:space="preserve"> c</w:t>
      </w:r>
      <w:r w:rsidR="005A3212" w:rsidRPr="003015CD">
        <w:rPr>
          <w:rFonts w:asciiTheme="majorHAnsi" w:hAnsiTheme="majorHAnsi" w:cstheme="majorHAnsi"/>
          <w:color w:val="000000" w:themeColor="text1"/>
          <w:lang w:eastAsia="de-CH"/>
        </w:rPr>
        <w:t>ombination of the probability of occurrence of harm and the severity of that harm.</w:t>
      </w:r>
      <w:r w:rsidR="00E46028" w:rsidRPr="003015CD">
        <w:rPr>
          <w:rFonts w:asciiTheme="majorHAnsi" w:hAnsiTheme="majorHAnsi" w:cstheme="majorHAnsi"/>
          <w:color w:val="000000" w:themeColor="text1"/>
          <w:lang w:eastAsia="de-CH"/>
        </w:rPr>
        <w:br/>
      </w:r>
      <w:r w:rsidR="005A3212" w:rsidRPr="003015CD">
        <w:rPr>
          <w:rFonts w:asciiTheme="majorHAnsi" w:hAnsiTheme="majorHAnsi" w:cstheme="majorHAnsi"/>
          <w:color w:val="000000" w:themeColor="text1"/>
          <w:lang w:eastAsia="de-CH"/>
        </w:rPr>
        <w:t>[</w:t>
      </w:r>
      <w:r w:rsidR="00DF4F6B" w:rsidRPr="003015CD">
        <w:rPr>
          <w:rFonts w:asciiTheme="majorHAnsi" w:hAnsiTheme="majorHAnsi" w:cstheme="majorHAnsi"/>
          <w:color w:val="000000" w:themeColor="text1"/>
          <w:lang w:eastAsia="de-CH"/>
        </w:rPr>
        <w:t xml:space="preserve"> Article 2</w:t>
      </w:r>
      <w:r w:rsidR="00D018DF" w:rsidRPr="003015CD">
        <w:rPr>
          <w:rFonts w:asciiTheme="majorHAnsi" w:hAnsiTheme="majorHAnsi" w:cstheme="majorHAnsi"/>
          <w:color w:val="000000" w:themeColor="text1"/>
          <w:lang w:eastAsia="de-CH"/>
        </w:rPr>
        <w:t>(</w:t>
      </w:r>
      <w:r w:rsidR="00DF4F6B" w:rsidRPr="003015CD">
        <w:rPr>
          <w:rFonts w:asciiTheme="majorHAnsi" w:hAnsiTheme="majorHAnsi" w:cstheme="majorHAnsi"/>
          <w:color w:val="000000" w:themeColor="text1"/>
          <w:lang w:eastAsia="de-CH"/>
        </w:rPr>
        <w:t>23</w:t>
      </w:r>
      <w:r w:rsidR="00D018DF" w:rsidRPr="003015CD">
        <w:rPr>
          <w:rFonts w:asciiTheme="majorHAnsi" w:hAnsiTheme="majorHAnsi" w:cstheme="majorHAnsi"/>
          <w:color w:val="000000" w:themeColor="text1"/>
          <w:lang w:eastAsia="de-CH"/>
        </w:rPr>
        <w:t>)</w:t>
      </w:r>
      <w:r w:rsidR="00DF4F6B" w:rsidRPr="003015CD">
        <w:rPr>
          <w:rFonts w:asciiTheme="majorHAnsi" w:hAnsiTheme="majorHAnsi" w:cstheme="majorHAnsi"/>
          <w:color w:val="000000" w:themeColor="text1"/>
          <w:lang w:eastAsia="de-CH"/>
        </w:rPr>
        <w:t xml:space="preserve"> MDR</w:t>
      </w:r>
      <w:r w:rsidR="00131A82" w:rsidRPr="003015CD">
        <w:rPr>
          <w:rFonts w:asciiTheme="majorHAnsi" w:hAnsiTheme="majorHAnsi" w:cstheme="majorHAnsi"/>
          <w:color w:val="000000" w:themeColor="text1"/>
          <w:lang w:eastAsia="de-CH"/>
        </w:rPr>
        <w:t>]</w:t>
      </w:r>
    </w:p>
    <w:p w14:paraId="6FD802D1" w14:textId="77777777" w:rsidR="001171EB" w:rsidRPr="003015CD" w:rsidRDefault="001171EB" w:rsidP="00081885">
      <w:pPr>
        <w:jc w:val="both"/>
        <w:rPr>
          <w:rFonts w:asciiTheme="majorHAnsi" w:hAnsiTheme="majorHAnsi" w:cstheme="majorHAnsi"/>
          <w:b/>
          <w:bCs/>
          <w:color w:val="000000" w:themeColor="text1"/>
        </w:rPr>
      </w:pPr>
    </w:p>
    <w:p w14:paraId="30E5EFA4" w14:textId="0A195BBF" w:rsidR="005A3212" w:rsidRPr="003015CD" w:rsidRDefault="005A3212"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lang w:eastAsia="de-CH"/>
        </w:rPr>
        <w:t xml:space="preserve">Risk </w:t>
      </w:r>
      <w:r w:rsidR="00EA1119" w:rsidRPr="003015CD">
        <w:rPr>
          <w:rFonts w:asciiTheme="majorHAnsi" w:hAnsiTheme="majorHAnsi" w:cstheme="majorBidi"/>
          <w:b/>
          <w:bCs/>
          <w:color w:val="000000" w:themeColor="text1"/>
          <w:lang w:eastAsia="de-CH"/>
        </w:rPr>
        <w:t>m</w:t>
      </w:r>
      <w:r w:rsidRPr="003015CD">
        <w:rPr>
          <w:rFonts w:asciiTheme="majorHAnsi" w:hAnsiTheme="majorHAnsi" w:cstheme="majorBidi"/>
          <w:b/>
          <w:bCs/>
          <w:color w:val="000000" w:themeColor="text1"/>
          <w:lang w:eastAsia="de-CH"/>
        </w:rPr>
        <w:t>anagement</w:t>
      </w:r>
      <w:r w:rsidR="000B30F2" w:rsidRPr="003015CD">
        <w:rPr>
          <w:rFonts w:asciiTheme="majorHAnsi" w:hAnsiTheme="majorHAnsi" w:cstheme="majorBidi"/>
          <w:b/>
          <w:bCs/>
          <w:color w:val="000000" w:themeColor="text1"/>
          <w:lang w:eastAsia="de-CH"/>
        </w:rPr>
        <w:t xml:space="preserve">: </w:t>
      </w:r>
      <w:r w:rsidR="000B30F2" w:rsidRPr="003015CD">
        <w:rPr>
          <w:rFonts w:asciiTheme="majorHAnsi" w:hAnsiTheme="majorHAnsi" w:cstheme="majorBidi"/>
          <w:color w:val="000000" w:themeColor="text1"/>
          <w:lang w:eastAsia="de-CH"/>
        </w:rPr>
        <w:t>s</w:t>
      </w:r>
      <w:r w:rsidRPr="003015CD">
        <w:rPr>
          <w:rFonts w:asciiTheme="majorHAnsi" w:hAnsiTheme="majorHAnsi" w:cstheme="majorBidi"/>
          <w:color w:val="000000" w:themeColor="text1"/>
          <w:lang w:eastAsia="de-CH"/>
        </w:rPr>
        <w:t xml:space="preserve">ystematic application of management policies, procedures and practices to the tasks of analysing, evaluating, controlling and monitoring </w:t>
      </w:r>
      <w:r w:rsidR="00EA1119" w:rsidRPr="003015CD">
        <w:rPr>
          <w:rFonts w:asciiTheme="majorHAnsi" w:hAnsiTheme="majorHAnsi" w:cstheme="majorBidi"/>
          <w:color w:val="000000" w:themeColor="text1"/>
          <w:lang w:eastAsia="de-CH"/>
        </w:rPr>
        <w:t>risk</w:t>
      </w:r>
      <w:r w:rsidRPr="003015CD">
        <w:rPr>
          <w:rFonts w:asciiTheme="majorHAnsi" w:hAnsiTheme="majorHAnsi" w:cstheme="majorBidi"/>
          <w:color w:val="000000" w:themeColor="text1"/>
          <w:lang w:eastAsia="de-CH"/>
        </w:rPr>
        <w:t>.</w:t>
      </w:r>
      <w:r w:rsidR="00E46028" w:rsidRPr="003015CD">
        <w:rPr>
          <w:rFonts w:asciiTheme="majorHAnsi" w:hAnsiTheme="majorHAnsi" w:cstheme="majorBidi"/>
          <w:color w:val="000000" w:themeColor="text1"/>
          <w:lang w:eastAsia="de-CH"/>
        </w:rPr>
        <w:t xml:space="preserve"> </w:t>
      </w:r>
      <w:r w:rsidRPr="003015CD">
        <w:rPr>
          <w:rFonts w:asciiTheme="majorHAnsi" w:hAnsiTheme="majorHAnsi" w:cstheme="majorBidi"/>
          <w:color w:val="000000" w:themeColor="text1"/>
        </w:rPr>
        <w:t>[</w:t>
      </w:r>
      <w:r w:rsidR="00EB516B" w:rsidRPr="003015CD">
        <w:rPr>
          <w:rFonts w:asciiTheme="majorHAnsi" w:hAnsiTheme="majorHAnsi" w:cstheme="majorBidi"/>
          <w:color w:val="000000" w:themeColor="text1"/>
        </w:rPr>
        <w:t>EN ISO 14971:2019/A11:2021</w:t>
      </w:r>
      <w:r w:rsidRPr="003015CD">
        <w:rPr>
          <w:rFonts w:asciiTheme="majorHAnsi" w:hAnsiTheme="majorHAnsi" w:cstheme="majorBidi"/>
          <w:color w:val="000000" w:themeColor="text1"/>
        </w:rPr>
        <w:t>]</w:t>
      </w:r>
    </w:p>
    <w:p w14:paraId="266B8F33" w14:textId="77777777" w:rsidR="001171EB" w:rsidRPr="003015CD" w:rsidRDefault="001171EB" w:rsidP="00081885">
      <w:pPr>
        <w:jc w:val="both"/>
        <w:rPr>
          <w:rFonts w:asciiTheme="majorHAnsi" w:hAnsiTheme="majorHAnsi" w:cstheme="majorHAnsi"/>
          <w:color w:val="000000" w:themeColor="text1"/>
        </w:rPr>
      </w:pPr>
    </w:p>
    <w:p w14:paraId="122C7246" w14:textId="53A694BE" w:rsidR="0040366F" w:rsidRPr="003015CD" w:rsidRDefault="0040366F" w:rsidP="00081885">
      <w:pPr>
        <w:jc w:val="both"/>
        <w:rPr>
          <w:rFonts w:asciiTheme="majorHAnsi" w:hAnsiTheme="majorHAnsi" w:cstheme="majorHAnsi"/>
          <w:color w:val="000000" w:themeColor="text1"/>
        </w:rPr>
      </w:pPr>
      <w:r w:rsidRPr="003015CD">
        <w:rPr>
          <w:rFonts w:asciiTheme="majorHAnsi" w:hAnsiTheme="majorHAnsi" w:cstheme="majorHAnsi"/>
          <w:b/>
          <w:bCs/>
          <w:color w:val="000000" w:themeColor="text1"/>
        </w:rPr>
        <w:t>Scientific validity / scientifically valid:</w:t>
      </w:r>
      <w:r w:rsidRPr="003015CD">
        <w:rPr>
          <w:rFonts w:asciiTheme="majorHAnsi" w:hAnsiTheme="majorHAnsi" w:cstheme="majorHAnsi"/>
          <w:color w:val="000000" w:themeColor="text1"/>
        </w:rPr>
        <w:t xml:space="preserve"> the association of a study, evaluation or other process and its results with reality and real-world outcomes.</w:t>
      </w:r>
    </w:p>
    <w:p w14:paraId="5BF9C9CF" w14:textId="4938E0A9" w:rsidR="004D079E" w:rsidRPr="003015CD" w:rsidRDefault="004D079E"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Note: </w:t>
      </w:r>
      <w:r w:rsidR="00634C02" w:rsidRPr="003015CD">
        <w:rPr>
          <w:rFonts w:asciiTheme="majorHAnsi" w:hAnsiTheme="majorHAnsi" w:cstheme="majorBidi"/>
          <w:color w:val="000000" w:themeColor="text1"/>
        </w:rPr>
        <w:t>scientific validity encompasses both internal and external validity</w:t>
      </w:r>
      <w:r w:rsidR="007F5240" w:rsidRPr="003015CD">
        <w:rPr>
          <w:rFonts w:asciiTheme="majorHAnsi" w:hAnsiTheme="majorHAnsi" w:cstheme="majorBidi"/>
          <w:color w:val="000000" w:themeColor="text1"/>
        </w:rPr>
        <w:t>.</w:t>
      </w:r>
      <w:r w:rsidR="00634C02" w:rsidRPr="003015CD">
        <w:rPr>
          <w:rFonts w:asciiTheme="majorHAnsi" w:hAnsiTheme="majorHAnsi" w:cstheme="majorBidi"/>
          <w:color w:val="000000" w:themeColor="text1"/>
        </w:rPr>
        <w:t xml:space="preserve"> </w:t>
      </w:r>
      <w:r w:rsidR="007F5240" w:rsidRPr="003015CD">
        <w:rPr>
          <w:rFonts w:asciiTheme="majorHAnsi" w:hAnsiTheme="majorHAnsi" w:cstheme="majorBidi"/>
          <w:color w:val="000000" w:themeColor="text1"/>
        </w:rPr>
        <w:t>[</w:t>
      </w:r>
      <w:r w:rsidR="00634C02" w:rsidRPr="003015CD">
        <w:rPr>
          <w:rFonts w:asciiTheme="majorHAnsi" w:hAnsiTheme="majorHAnsi" w:cstheme="majorBidi"/>
          <w:color w:val="000000" w:themeColor="text1"/>
        </w:rPr>
        <w:t>see Section 9</w:t>
      </w:r>
      <w:r w:rsidR="007F5240" w:rsidRPr="003015CD">
        <w:rPr>
          <w:rFonts w:asciiTheme="majorHAnsi" w:hAnsiTheme="majorHAnsi" w:cstheme="majorBidi"/>
          <w:color w:val="000000" w:themeColor="text1"/>
        </w:rPr>
        <w:t>]</w:t>
      </w:r>
    </w:p>
    <w:p w14:paraId="367F8230" w14:textId="77777777" w:rsidR="00634C02" w:rsidRPr="003015CD" w:rsidRDefault="00634C02" w:rsidP="00081885">
      <w:pPr>
        <w:jc w:val="both"/>
        <w:rPr>
          <w:rFonts w:asciiTheme="majorHAnsi" w:hAnsiTheme="majorHAnsi" w:cstheme="majorHAnsi"/>
          <w:b/>
          <w:color w:val="000000" w:themeColor="text1"/>
          <w:lang w:eastAsia="de-CH"/>
        </w:rPr>
      </w:pPr>
    </w:p>
    <w:p w14:paraId="01760F43" w14:textId="03462ED6" w:rsidR="00F72816" w:rsidRPr="003015CD" w:rsidRDefault="00CD6DC4" w:rsidP="00081885">
      <w:pPr>
        <w:jc w:val="both"/>
        <w:rPr>
          <w:rFonts w:asciiTheme="majorHAnsi" w:hAnsiTheme="majorHAnsi" w:cstheme="majorHAnsi"/>
          <w:color w:val="000000" w:themeColor="text1"/>
          <w:lang w:eastAsia="de-CH"/>
        </w:rPr>
      </w:pPr>
      <w:r w:rsidRPr="003015CD">
        <w:rPr>
          <w:rFonts w:asciiTheme="majorHAnsi" w:hAnsiTheme="majorHAnsi" w:cstheme="majorHAnsi"/>
          <w:b/>
          <w:color w:val="000000" w:themeColor="text1"/>
          <w:lang w:eastAsia="de-CH"/>
        </w:rPr>
        <w:t>S</w:t>
      </w:r>
      <w:r w:rsidR="000B30F2" w:rsidRPr="003015CD">
        <w:rPr>
          <w:rFonts w:asciiTheme="majorHAnsi" w:hAnsiTheme="majorHAnsi" w:cstheme="majorHAnsi"/>
          <w:b/>
          <w:color w:val="000000" w:themeColor="text1"/>
          <w:lang w:eastAsia="de-CH"/>
        </w:rPr>
        <w:t xml:space="preserve">erious </w:t>
      </w:r>
      <w:r w:rsidR="003E70D1" w:rsidRPr="003015CD">
        <w:rPr>
          <w:rFonts w:asciiTheme="majorHAnsi" w:hAnsiTheme="majorHAnsi" w:cstheme="majorHAnsi"/>
          <w:b/>
          <w:color w:val="000000" w:themeColor="text1"/>
          <w:lang w:eastAsia="de-CH"/>
        </w:rPr>
        <w:t>a</w:t>
      </w:r>
      <w:r w:rsidR="000B30F2" w:rsidRPr="003015CD">
        <w:rPr>
          <w:rFonts w:asciiTheme="majorHAnsi" w:hAnsiTheme="majorHAnsi" w:cstheme="majorHAnsi"/>
          <w:b/>
          <w:color w:val="000000" w:themeColor="text1"/>
          <w:lang w:eastAsia="de-CH"/>
        </w:rPr>
        <w:t xml:space="preserve">dverse </w:t>
      </w:r>
      <w:r w:rsidR="003E70D1" w:rsidRPr="003015CD">
        <w:rPr>
          <w:rFonts w:asciiTheme="majorHAnsi" w:hAnsiTheme="majorHAnsi" w:cstheme="majorHAnsi"/>
          <w:b/>
          <w:color w:val="000000" w:themeColor="text1"/>
          <w:lang w:eastAsia="de-CH"/>
        </w:rPr>
        <w:t>e</w:t>
      </w:r>
      <w:r w:rsidR="000B30F2" w:rsidRPr="003015CD">
        <w:rPr>
          <w:rFonts w:asciiTheme="majorHAnsi" w:hAnsiTheme="majorHAnsi" w:cstheme="majorHAnsi"/>
          <w:b/>
          <w:color w:val="000000" w:themeColor="text1"/>
          <w:lang w:eastAsia="de-CH"/>
        </w:rPr>
        <w:t>vent:</w:t>
      </w:r>
      <w:r w:rsidR="000B30F2" w:rsidRPr="003015CD">
        <w:rPr>
          <w:rFonts w:asciiTheme="majorHAnsi" w:hAnsiTheme="majorHAnsi" w:cstheme="majorHAnsi"/>
          <w:color w:val="000000" w:themeColor="text1"/>
          <w:lang w:eastAsia="de-CH"/>
        </w:rPr>
        <w:t xml:space="preserve"> </w:t>
      </w:r>
      <w:r w:rsidR="00A32DF5" w:rsidRPr="003015CD">
        <w:rPr>
          <w:rFonts w:asciiTheme="majorHAnsi" w:hAnsiTheme="majorHAnsi" w:cstheme="majorHAnsi"/>
          <w:color w:val="000000" w:themeColor="text1"/>
          <w:lang w:eastAsia="de-CH"/>
        </w:rPr>
        <w:t>any adverse event that led to any of the following:</w:t>
      </w:r>
    </w:p>
    <w:p w14:paraId="6CB9417C" w14:textId="45A12E72" w:rsidR="00CD6DC4" w:rsidRPr="003015CD" w:rsidRDefault="00CD6DC4" w:rsidP="00081885">
      <w:pPr>
        <w:jc w:val="both"/>
        <w:rPr>
          <w:rFonts w:asciiTheme="majorHAnsi" w:hAnsiTheme="majorHAnsi" w:cstheme="majorHAnsi"/>
          <w:b/>
          <w:color w:val="000000" w:themeColor="text1"/>
          <w:lang w:eastAsia="de-CH"/>
        </w:rPr>
      </w:pPr>
      <w:r w:rsidRPr="003015CD">
        <w:rPr>
          <w:rFonts w:asciiTheme="majorHAnsi" w:hAnsiTheme="majorHAnsi" w:cstheme="majorHAnsi"/>
          <w:color w:val="000000" w:themeColor="text1"/>
          <w:lang w:eastAsia="de-CH"/>
        </w:rPr>
        <w:t>a) death,</w:t>
      </w:r>
    </w:p>
    <w:p w14:paraId="29343769" w14:textId="66A8DCB0" w:rsidR="00F72816" w:rsidRPr="003015CD" w:rsidRDefault="00CD6DC4" w:rsidP="00081885">
      <w:p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 xml:space="preserve">b) serious deterioration in the health of the subject, that resulted </w:t>
      </w:r>
      <w:r w:rsidR="00A32DF5" w:rsidRPr="003015CD">
        <w:rPr>
          <w:rFonts w:asciiTheme="majorHAnsi" w:hAnsiTheme="majorHAnsi" w:cstheme="majorHAnsi"/>
          <w:color w:val="000000" w:themeColor="text1"/>
          <w:lang w:eastAsia="de-CH"/>
        </w:rPr>
        <w:t>in any of the following:</w:t>
      </w:r>
    </w:p>
    <w:p w14:paraId="3C8644B1" w14:textId="37C967F6" w:rsidR="00CD6DC4" w:rsidRPr="003015CD" w:rsidRDefault="00CD6DC4" w:rsidP="00081885">
      <w:pPr>
        <w:ind w:left="284"/>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1)</w:t>
      </w:r>
      <w:r w:rsidRPr="003015CD">
        <w:rPr>
          <w:rFonts w:asciiTheme="majorHAnsi" w:hAnsiTheme="majorHAnsi" w:cstheme="majorHAnsi"/>
          <w:color w:val="000000" w:themeColor="text1"/>
          <w:lang w:eastAsia="de-CH"/>
        </w:rPr>
        <w:tab/>
        <w:t>life-threatening illness or injury,</w:t>
      </w:r>
    </w:p>
    <w:p w14:paraId="0606089B" w14:textId="323C36CB" w:rsidR="00CD6DC4" w:rsidRPr="003015CD" w:rsidRDefault="00CD6DC4" w:rsidP="00081885">
      <w:pPr>
        <w:ind w:left="709" w:hanging="425"/>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2)</w:t>
      </w:r>
      <w:r w:rsidRPr="003015CD">
        <w:rPr>
          <w:rFonts w:asciiTheme="majorHAnsi" w:hAnsiTheme="majorHAnsi" w:cstheme="majorHAnsi"/>
          <w:color w:val="000000" w:themeColor="text1"/>
          <w:lang w:eastAsia="de-CH"/>
        </w:rPr>
        <w:tab/>
        <w:t>permanent impairment of a body structure or a body function</w:t>
      </w:r>
    </w:p>
    <w:p w14:paraId="3084CEAB" w14:textId="4B0ECF5B" w:rsidR="00CD6DC4" w:rsidRPr="003015CD" w:rsidRDefault="00CD6DC4" w:rsidP="00081885">
      <w:pPr>
        <w:ind w:left="709" w:hanging="425"/>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lastRenderedPageBreak/>
        <w:t>3)</w:t>
      </w:r>
      <w:r w:rsidRPr="003015CD">
        <w:rPr>
          <w:rFonts w:asciiTheme="majorHAnsi" w:hAnsiTheme="majorHAnsi" w:cstheme="majorHAnsi"/>
          <w:color w:val="000000" w:themeColor="text1"/>
          <w:lang w:eastAsia="de-CH"/>
        </w:rPr>
        <w:tab/>
      </w:r>
      <w:r w:rsidR="00A32DF5" w:rsidRPr="003015CD">
        <w:rPr>
          <w:rFonts w:asciiTheme="majorHAnsi" w:hAnsiTheme="majorHAnsi" w:cstheme="majorHAnsi"/>
          <w:color w:val="000000" w:themeColor="text1"/>
          <w:lang w:eastAsia="de-CH"/>
        </w:rPr>
        <w:t>hospitalisation or prolongation of patient hospitalisation,</w:t>
      </w:r>
    </w:p>
    <w:p w14:paraId="71F93DF9" w14:textId="77777777" w:rsidR="00CD6DC4" w:rsidRPr="003015CD" w:rsidRDefault="00CD6DC4" w:rsidP="00081885">
      <w:pPr>
        <w:ind w:left="709" w:hanging="425"/>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4)</w:t>
      </w:r>
      <w:r w:rsidRPr="003015CD">
        <w:rPr>
          <w:rFonts w:asciiTheme="majorHAnsi" w:hAnsiTheme="majorHAnsi" w:cstheme="majorHAnsi"/>
          <w:color w:val="000000" w:themeColor="text1"/>
          <w:lang w:eastAsia="de-CH"/>
        </w:rPr>
        <w:tab/>
        <w:t>medical or surgical intervention to prevent life-threatening illness or injury or permanent impairment to a body structure or a body function,</w:t>
      </w:r>
    </w:p>
    <w:p w14:paraId="01CB8115" w14:textId="77777777" w:rsidR="00A32DF5" w:rsidRPr="003015CD" w:rsidRDefault="00A32DF5" w:rsidP="00081885">
      <w:pPr>
        <w:ind w:left="709" w:hanging="425"/>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 xml:space="preserve">5) </w:t>
      </w:r>
      <w:r w:rsidR="00F72816" w:rsidRPr="003015CD">
        <w:rPr>
          <w:rFonts w:asciiTheme="majorHAnsi" w:hAnsiTheme="majorHAnsi" w:cstheme="majorHAnsi"/>
          <w:color w:val="000000" w:themeColor="text1"/>
          <w:lang w:eastAsia="de-CH"/>
        </w:rPr>
        <w:tab/>
      </w:r>
      <w:r w:rsidRPr="003015CD">
        <w:rPr>
          <w:rFonts w:asciiTheme="majorHAnsi" w:hAnsiTheme="majorHAnsi" w:cstheme="majorHAnsi"/>
          <w:color w:val="000000" w:themeColor="text1"/>
          <w:lang w:eastAsia="de-CH"/>
        </w:rPr>
        <w:t>chronic disease,</w:t>
      </w:r>
    </w:p>
    <w:p w14:paraId="7723AD69" w14:textId="456FDE1C" w:rsidR="00CD6DC4" w:rsidRPr="003015CD" w:rsidRDefault="00CD6DC4" w:rsidP="00081885">
      <w:pPr>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lang w:eastAsia="de-CH"/>
        </w:rPr>
        <w:t>c) foetal distress, foetal death or a congenital abnormality or birth defect</w:t>
      </w:r>
      <w:r w:rsidR="00CA48AF" w:rsidRPr="003015CD">
        <w:rPr>
          <w:rFonts w:asciiTheme="majorHAnsi" w:hAnsiTheme="majorHAnsi" w:cstheme="majorHAnsi"/>
          <w:color w:val="000000" w:themeColor="text1"/>
          <w:lang w:eastAsia="de-CH"/>
        </w:rPr>
        <w:t>.</w:t>
      </w:r>
      <w:r w:rsidR="007F4BAA" w:rsidRPr="003015CD">
        <w:rPr>
          <w:rFonts w:asciiTheme="majorHAnsi" w:hAnsiTheme="majorHAnsi" w:cstheme="majorHAnsi"/>
          <w:color w:val="000000" w:themeColor="text1"/>
          <w:lang w:eastAsia="de-CH"/>
        </w:rPr>
        <w:t xml:space="preserve">   [</w:t>
      </w:r>
      <w:r w:rsidR="00767F8D" w:rsidRPr="003015CD">
        <w:rPr>
          <w:rFonts w:asciiTheme="majorHAnsi" w:hAnsiTheme="majorHAnsi" w:cstheme="majorHAnsi"/>
          <w:color w:val="000000" w:themeColor="text1"/>
          <w:lang w:eastAsia="de-CH"/>
        </w:rPr>
        <w:t>Article 2.58 MDR]</w:t>
      </w:r>
    </w:p>
    <w:p w14:paraId="571B7773" w14:textId="77777777" w:rsidR="001171EB" w:rsidRPr="003015CD" w:rsidRDefault="001171EB" w:rsidP="00081885">
      <w:pPr>
        <w:jc w:val="both"/>
        <w:rPr>
          <w:rFonts w:asciiTheme="majorHAnsi" w:hAnsiTheme="majorHAnsi" w:cstheme="majorHAnsi"/>
          <w:color w:val="000000" w:themeColor="text1"/>
          <w:lang w:eastAsia="de-CH"/>
        </w:rPr>
      </w:pPr>
    </w:p>
    <w:p w14:paraId="37CA1B5B" w14:textId="74165871" w:rsidR="00DF3BDA" w:rsidRPr="003015CD" w:rsidRDefault="00DF3BDA" w:rsidP="2D4ECF1A">
      <w:pPr>
        <w:jc w:val="both"/>
        <w:rPr>
          <w:rFonts w:asciiTheme="majorHAnsi" w:hAnsiTheme="majorHAnsi" w:cstheme="majorBidi"/>
          <w:color w:val="000000" w:themeColor="text1"/>
        </w:rPr>
      </w:pPr>
      <w:bookmarkStart w:id="17" w:name="_Hlk126239436"/>
      <w:r w:rsidRPr="003015CD">
        <w:rPr>
          <w:rFonts w:asciiTheme="majorHAnsi" w:hAnsiTheme="majorHAnsi" w:cstheme="majorBidi"/>
          <w:b/>
          <w:bCs/>
          <w:color w:val="000000" w:themeColor="text1"/>
        </w:rPr>
        <w:t xml:space="preserve">Similar devices: </w:t>
      </w:r>
      <w:r w:rsidRPr="003015CD">
        <w:rPr>
          <w:rFonts w:asciiTheme="majorHAnsi" w:hAnsiTheme="majorHAnsi" w:cstheme="majorBidi"/>
          <w:color w:val="000000" w:themeColor="text1"/>
        </w:rPr>
        <w:t xml:space="preserve">devices belonging to the same generic device group. MDR defines </w:t>
      </w:r>
      <w:r w:rsidR="009B0BE1" w:rsidRPr="003015CD">
        <w:rPr>
          <w:rFonts w:asciiTheme="majorHAnsi" w:hAnsiTheme="majorHAnsi" w:cstheme="majorBidi"/>
          <w:color w:val="000000" w:themeColor="text1"/>
        </w:rPr>
        <w:t>the generic device group</w:t>
      </w:r>
      <w:r w:rsidRPr="003015CD">
        <w:rPr>
          <w:rFonts w:asciiTheme="majorHAnsi" w:hAnsiTheme="majorHAnsi" w:cstheme="majorBidi"/>
          <w:color w:val="000000" w:themeColor="text1"/>
        </w:rPr>
        <w:t xml:space="preserve"> as a set of devices having the same or similar intended purposes or a commonality of technology allowing them to be classified in a generic manner not reflecting specific characteristics. [</w:t>
      </w:r>
      <w:r w:rsidR="009B0BE1" w:rsidRPr="003015CD">
        <w:rPr>
          <w:rFonts w:asciiTheme="majorHAnsi" w:hAnsiTheme="majorHAnsi" w:cstheme="majorBidi"/>
          <w:color w:val="000000" w:themeColor="text1"/>
        </w:rPr>
        <w:t>MDCG 2020-6</w:t>
      </w:r>
      <w:r w:rsidRPr="003015CD">
        <w:rPr>
          <w:rFonts w:asciiTheme="majorHAnsi" w:hAnsiTheme="majorHAnsi" w:cstheme="majorBidi"/>
          <w:color w:val="000000" w:themeColor="text1"/>
        </w:rPr>
        <w:t>]</w:t>
      </w:r>
    </w:p>
    <w:p w14:paraId="31A47A37" w14:textId="77777777" w:rsidR="001171EB" w:rsidRPr="003015CD" w:rsidRDefault="001171EB" w:rsidP="00081885">
      <w:pPr>
        <w:jc w:val="both"/>
        <w:rPr>
          <w:rFonts w:asciiTheme="majorHAnsi" w:hAnsiTheme="majorHAnsi" w:cstheme="majorHAnsi"/>
          <w:color w:val="000000" w:themeColor="text1"/>
        </w:rPr>
      </w:pPr>
    </w:p>
    <w:p w14:paraId="0C63F57E" w14:textId="08FAA78D" w:rsidR="00396F56" w:rsidRPr="003015CD" w:rsidRDefault="00396F56"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State of the art</w:t>
      </w:r>
      <w:r w:rsidR="005514C4" w:rsidRPr="003015CD">
        <w:rPr>
          <w:rFonts w:asciiTheme="majorHAnsi" w:hAnsiTheme="majorHAnsi" w:cstheme="majorBidi"/>
          <w:b/>
          <w:bCs/>
          <w:color w:val="000000" w:themeColor="text1"/>
        </w:rPr>
        <w:t>:</w:t>
      </w:r>
      <w:r w:rsidRPr="003015CD">
        <w:rPr>
          <w:rFonts w:asciiTheme="majorHAnsi" w:hAnsiTheme="majorHAnsi" w:cstheme="majorBidi"/>
          <w:color w:val="000000" w:themeColor="text1"/>
        </w:rPr>
        <w:t xml:space="preserve"> </w:t>
      </w:r>
      <w:r w:rsidR="004936B9" w:rsidRPr="003015CD">
        <w:rPr>
          <w:rFonts w:asciiTheme="majorHAnsi" w:hAnsiTheme="majorHAnsi" w:cstheme="majorBidi"/>
          <w:color w:val="000000" w:themeColor="text1"/>
        </w:rPr>
        <w:t>d</w:t>
      </w:r>
      <w:r w:rsidRPr="003015CD">
        <w:rPr>
          <w:rFonts w:asciiTheme="majorHAnsi" w:hAnsiTheme="majorHAnsi" w:cstheme="majorBidi"/>
          <w:color w:val="000000" w:themeColor="text1"/>
        </w:rPr>
        <w:t xml:space="preserve">eveloped stage of current technical capability and/or accepted clinical practice in regard to products, processes and patient management, based on the relevant consolidated findings of science, technology and experience. </w:t>
      </w:r>
    </w:p>
    <w:p w14:paraId="2207A56B" w14:textId="159DC535" w:rsidR="00AD2656" w:rsidRPr="003015CD" w:rsidRDefault="00396F56"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Note: The state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of</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the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art embodies what is currently and generally accepted as good practice in technology and medicine. The state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of</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the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art does not necessarily imply the most technologically advanced solution. The state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of</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the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art described here is sometimes referred to as the “generally acknowledged state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of</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the</w:t>
      </w:r>
      <w:r w:rsidR="006C424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art</w:t>
      </w:r>
      <w:r w:rsidR="006C424D"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[IMDRF/GRRP WG/N47]</w:t>
      </w:r>
    </w:p>
    <w:p w14:paraId="60A33594" w14:textId="77777777" w:rsidR="001171EB" w:rsidRPr="003015CD" w:rsidRDefault="001171EB" w:rsidP="00081885">
      <w:pPr>
        <w:jc w:val="both"/>
        <w:rPr>
          <w:rFonts w:asciiTheme="majorHAnsi" w:hAnsiTheme="majorHAnsi" w:cstheme="majorHAnsi"/>
          <w:color w:val="000000" w:themeColor="text1"/>
        </w:rPr>
      </w:pPr>
    </w:p>
    <w:p w14:paraId="7146E2C6" w14:textId="67EDA063" w:rsidR="002E449A" w:rsidRPr="003015CD" w:rsidRDefault="00D64EA9"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Sufficient </w:t>
      </w:r>
      <w:r w:rsidR="00952A3E" w:rsidRPr="003015CD">
        <w:rPr>
          <w:rFonts w:asciiTheme="majorHAnsi" w:hAnsiTheme="majorHAnsi" w:cstheme="majorBidi"/>
          <w:b/>
          <w:bCs/>
          <w:color w:val="000000" w:themeColor="text1"/>
        </w:rPr>
        <w:t>clinical evidence</w:t>
      </w:r>
      <w:r w:rsidR="002E449A" w:rsidRPr="003015CD">
        <w:rPr>
          <w:rFonts w:asciiTheme="majorHAnsi" w:hAnsiTheme="majorHAnsi" w:cstheme="majorBidi"/>
          <w:b/>
          <w:bCs/>
          <w:color w:val="000000" w:themeColor="text1"/>
        </w:rPr>
        <w:t>:</w:t>
      </w:r>
      <w:bookmarkEnd w:id="17"/>
      <w:r w:rsidR="002E449A" w:rsidRPr="003015CD">
        <w:rPr>
          <w:rFonts w:asciiTheme="majorHAnsi" w:hAnsiTheme="majorHAnsi" w:cstheme="majorBidi"/>
          <w:color w:val="000000" w:themeColor="text1"/>
        </w:rPr>
        <w:t xml:space="preserve"> an amount and quality </w:t>
      </w:r>
      <w:r w:rsidR="005651C8" w:rsidRPr="003015CD">
        <w:rPr>
          <w:rFonts w:asciiTheme="majorHAnsi" w:hAnsiTheme="majorHAnsi" w:cstheme="majorBidi"/>
          <w:color w:val="000000" w:themeColor="text1"/>
        </w:rPr>
        <w:t xml:space="preserve">of clinical evidence </w:t>
      </w:r>
      <w:r w:rsidR="006F0A16" w:rsidRPr="003015CD" w:rsidDel="006F0A16">
        <w:rPr>
          <w:rFonts w:asciiTheme="majorHAnsi" w:hAnsiTheme="majorHAnsi" w:cstheme="majorBidi"/>
          <w:color w:val="000000" w:themeColor="text1"/>
        </w:rPr>
        <w:t xml:space="preserve">to </w:t>
      </w:r>
      <w:r w:rsidR="006F0A16" w:rsidRPr="003015CD">
        <w:rPr>
          <w:rFonts w:asciiTheme="majorHAnsi" w:hAnsiTheme="majorHAnsi" w:cstheme="majorBidi"/>
          <w:color w:val="000000" w:themeColor="text1"/>
        </w:rPr>
        <w:t>demonstrate</w:t>
      </w:r>
      <w:r w:rsidR="0081456A" w:rsidRPr="003015CD">
        <w:rPr>
          <w:rFonts w:asciiTheme="majorHAnsi" w:hAnsiTheme="majorHAnsi" w:cstheme="majorBidi"/>
          <w:color w:val="000000" w:themeColor="text1"/>
        </w:rPr>
        <w:t xml:space="preserve"> the safety and </w:t>
      </w:r>
      <w:r w:rsidR="00435821" w:rsidRPr="003015CD">
        <w:rPr>
          <w:rFonts w:asciiTheme="majorHAnsi" w:hAnsiTheme="majorHAnsi" w:cstheme="majorBidi"/>
          <w:color w:val="000000" w:themeColor="text1"/>
        </w:rPr>
        <w:t xml:space="preserve">clinical </w:t>
      </w:r>
      <w:r w:rsidR="00F2268D" w:rsidRPr="003015CD">
        <w:rPr>
          <w:rFonts w:asciiTheme="majorHAnsi" w:hAnsiTheme="majorHAnsi" w:cstheme="majorBidi"/>
          <w:color w:val="000000" w:themeColor="text1"/>
        </w:rPr>
        <w:t>benefit</w:t>
      </w:r>
      <w:r w:rsidR="0081456A" w:rsidRPr="003015CD">
        <w:rPr>
          <w:rFonts w:asciiTheme="majorHAnsi" w:hAnsiTheme="majorHAnsi" w:cstheme="majorBidi"/>
          <w:color w:val="000000" w:themeColor="text1"/>
        </w:rPr>
        <w:t xml:space="preserve"> of the device</w:t>
      </w:r>
      <w:r w:rsidR="000B2227" w:rsidRPr="003015CD">
        <w:rPr>
          <w:rFonts w:asciiTheme="majorHAnsi" w:hAnsiTheme="majorHAnsi" w:cstheme="majorBidi"/>
          <w:color w:val="000000" w:themeColor="text1"/>
        </w:rPr>
        <w:t xml:space="preserve"> when used as intended</w:t>
      </w:r>
      <w:r w:rsidR="0081240D" w:rsidRPr="003015CD">
        <w:rPr>
          <w:rFonts w:asciiTheme="majorHAnsi" w:hAnsiTheme="majorHAnsi" w:cstheme="majorBidi"/>
          <w:color w:val="000000" w:themeColor="text1"/>
        </w:rPr>
        <w:t xml:space="preserve"> by the manufacturer</w:t>
      </w:r>
      <w:r w:rsidR="0081456A" w:rsidRPr="003015CD">
        <w:rPr>
          <w:rFonts w:asciiTheme="majorHAnsi" w:hAnsiTheme="majorHAnsi" w:cstheme="majorBidi"/>
          <w:color w:val="000000" w:themeColor="text1"/>
        </w:rPr>
        <w:t>.</w:t>
      </w:r>
      <w:r w:rsidR="00F2268D" w:rsidRPr="003015CD">
        <w:rPr>
          <w:rFonts w:asciiTheme="majorHAnsi" w:hAnsiTheme="majorHAnsi" w:cstheme="majorBidi"/>
          <w:color w:val="000000" w:themeColor="text1"/>
        </w:rPr>
        <w:t xml:space="preserve"> [See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_Ref233292132 \r \h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10</w:t>
      </w:r>
      <w:r w:rsidRPr="003015CD">
        <w:rPr>
          <w:rFonts w:asciiTheme="majorHAnsi" w:hAnsiTheme="majorHAnsi" w:cstheme="majorBidi"/>
          <w:color w:val="000000" w:themeColor="text1"/>
        </w:rPr>
        <w:fldChar w:fldCharType="end"/>
      </w:r>
      <w:r w:rsidR="00F2268D" w:rsidRPr="003015CD">
        <w:rPr>
          <w:rFonts w:asciiTheme="majorHAnsi" w:hAnsiTheme="majorHAnsi" w:cstheme="majorBidi"/>
          <w:color w:val="000000" w:themeColor="text1"/>
        </w:rPr>
        <w:t>]</w:t>
      </w:r>
    </w:p>
    <w:p w14:paraId="693B585C" w14:textId="4B52BE6B" w:rsidR="00CA00B7" w:rsidRPr="003015CD" w:rsidRDefault="00CA00B7" w:rsidP="00081885">
      <w:pPr>
        <w:jc w:val="both"/>
        <w:rPr>
          <w:rFonts w:asciiTheme="majorHAnsi" w:hAnsiTheme="majorHAnsi" w:cstheme="majorHAnsi"/>
          <w:color w:val="000000" w:themeColor="text1"/>
        </w:rPr>
      </w:pPr>
    </w:p>
    <w:p w14:paraId="405FEB1C" w14:textId="77777777" w:rsidR="00CA00B7" w:rsidRPr="003015CD" w:rsidRDefault="00CA00B7" w:rsidP="00081885">
      <w:pPr>
        <w:jc w:val="both"/>
        <w:rPr>
          <w:rFonts w:asciiTheme="majorHAnsi" w:hAnsiTheme="majorHAnsi" w:cstheme="majorHAnsi"/>
          <w:color w:val="000000" w:themeColor="text1"/>
        </w:rPr>
      </w:pPr>
    </w:p>
    <w:p w14:paraId="431A3C70" w14:textId="77777777" w:rsidR="00997154" w:rsidRPr="003015CD" w:rsidRDefault="00997154">
      <w:pPr>
        <w:spacing w:before="0" w:after="0"/>
        <w:rPr>
          <w:rFonts w:asciiTheme="majorHAnsi" w:hAnsiTheme="majorHAnsi" w:cstheme="majorHAnsi"/>
          <w:b/>
          <w:bCs/>
          <w:color w:val="000000" w:themeColor="text1"/>
          <w:sz w:val="32"/>
          <w:szCs w:val="28"/>
        </w:rPr>
      </w:pPr>
      <w:bookmarkStart w:id="18" w:name="_Toc446499025"/>
      <w:r w:rsidRPr="003015CD">
        <w:rPr>
          <w:rFonts w:asciiTheme="majorHAnsi" w:hAnsiTheme="majorHAnsi" w:cstheme="majorHAnsi"/>
          <w:color w:val="000000" w:themeColor="text1"/>
        </w:rPr>
        <w:br w:type="page"/>
      </w:r>
    </w:p>
    <w:p w14:paraId="2DFB8D62" w14:textId="1DE70792" w:rsidR="000B0313" w:rsidRPr="003015CD" w:rsidRDefault="000B0313" w:rsidP="00081885">
      <w:pPr>
        <w:pStyle w:val="Titre1"/>
        <w:ind w:left="426"/>
        <w:jc w:val="both"/>
        <w:rPr>
          <w:rFonts w:asciiTheme="majorHAnsi" w:hAnsiTheme="majorHAnsi" w:cstheme="majorHAnsi"/>
          <w:color w:val="000000" w:themeColor="text1"/>
        </w:rPr>
      </w:pPr>
      <w:bookmarkStart w:id="19" w:name="_Toc236912867"/>
      <w:r w:rsidRPr="003015CD">
        <w:rPr>
          <w:rFonts w:asciiTheme="majorHAnsi" w:hAnsiTheme="majorHAnsi" w:cstheme="majorHAnsi"/>
          <w:color w:val="000000" w:themeColor="text1"/>
        </w:rPr>
        <w:t>Abbreviations</w:t>
      </w:r>
      <w:bookmarkEnd w:id="18"/>
      <w:bookmarkEnd w:id="19"/>
    </w:p>
    <w:p w14:paraId="78D0C59D" w14:textId="77777777" w:rsidR="00900F14" w:rsidRPr="003015CD" w:rsidRDefault="00900F14" w:rsidP="00081885"/>
    <w:p w14:paraId="79CA273C" w14:textId="240A302A" w:rsidR="00E55AD1" w:rsidRPr="003015CD" w:rsidRDefault="00E55AD1"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CEAR: </w:t>
      </w:r>
      <w:r w:rsidRPr="003015CD">
        <w:tab/>
      </w:r>
      <w:r w:rsidRPr="003015CD">
        <w:rPr>
          <w:rFonts w:asciiTheme="majorHAnsi" w:hAnsiTheme="majorHAnsi" w:cstheme="majorBidi"/>
          <w:color w:val="000000" w:themeColor="text1"/>
        </w:rPr>
        <w:t>Clinical Evaluation Assessment Report</w:t>
      </w:r>
    </w:p>
    <w:p w14:paraId="65FFFB92" w14:textId="13D1D397" w:rsidR="00AA104E" w:rsidRPr="003015CD" w:rsidRDefault="00AA104E"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CECP:</w:t>
      </w:r>
      <w:r w:rsidRPr="003015CD">
        <w:tab/>
      </w:r>
      <w:r w:rsidRPr="003015CD">
        <w:tab/>
      </w:r>
      <w:r w:rsidRPr="003015CD">
        <w:rPr>
          <w:rFonts w:asciiTheme="majorHAnsi" w:hAnsiTheme="majorHAnsi" w:cstheme="majorBidi"/>
          <w:color w:val="000000" w:themeColor="text1"/>
        </w:rPr>
        <w:t>Clinical Evaluation Consultation Procedure</w:t>
      </w:r>
      <w:r w:rsidRPr="003015CD">
        <w:tab/>
      </w:r>
    </w:p>
    <w:p w14:paraId="1FB572A2" w14:textId="65FAEC9C" w:rsidR="00E83469" w:rsidRPr="003015CD" w:rsidRDefault="00E83469"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CER: </w:t>
      </w:r>
      <w:r w:rsidRPr="003015CD">
        <w:tab/>
      </w:r>
      <w:r w:rsidRPr="003015CD">
        <w:tab/>
      </w:r>
      <w:r w:rsidRPr="003015CD">
        <w:rPr>
          <w:rFonts w:asciiTheme="majorHAnsi" w:hAnsiTheme="majorHAnsi" w:cstheme="majorBidi"/>
          <w:color w:val="000000" w:themeColor="text1"/>
        </w:rPr>
        <w:t>Clinical Evaluation Report</w:t>
      </w:r>
    </w:p>
    <w:p w14:paraId="0EFB8466" w14:textId="66BF836E" w:rsidR="00F20A6E" w:rsidRPr="003015CD" w:rsidRDefault="00F20A6E"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CEP:</w:t>
      </w:r>
      <w:r w:rsidRPr="003015CD">
        <w:tab/>
      </w:r>
      <w:r w:rsidRPr="003015CD">
        <w:tab/>
      </w:r>
      <w:r w:rsidRPr="003015CD">
        <w:rPr>
          <w:rFonts w:asciiTheme="majorHAnsi" w:hAnsiTheme="majorHAnsi" w:cstheme="majorBidi"/>
          <w:color w:val="000000" w:themeColor="text1"/>
        </w:rPr>
        <w:t>Clinical Evaluation Plan</w:t>
      </w:r>
    </w:p>
    <w:p w14:paraId="621304D6" w14:textId="3788F863" w:rsidR="00F20A6E" w:rsidRPr="003015CD" w:rsidRDefault="00F20A6E"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CDP:</w:t>
      </w:r>
      <w:r w:rsidRPr="003015CD">
        <w:rPr>
          <w:rFonts w:asciiTheme="majorHAnsi" w:hAnsiTheme="majorHAnsi" w:cstheme="majorBidi"/>
          <w:color w:val="000000" w:themeColor="text1"/>
        </w:rPr>
        <w:t xml:space="preserve"> </w:t>
      </w:r>
      <w:r w:rsidRPr="003015CD">
        <w:tab/>
      </w:r>
      <w:r w:rsidRPr="003015CD">
        <w:tab/>
      </w:r>
      <w:r w:rsidRPr="003015CD">
        <w:rPr>
          <w:rFonts w:asciiTheme="majorHAnsi" w:hAnsiTheme="majorHAnsi" w:cstheme="majorBidi"/>
          <w:color w:val="000000" w:themeColor="text1"/>
        </w:rPr>
        <w:t>Clinical Development Plan</w:t>
      </w:r>
    </w:p>
    <w:p w14:paraId="1593E397" w14:textId="1141ABAF" w:rsidR="00AB02B9" w:rsidRPr="003015CD" w:rsidRDefault="00AB02B9"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CIP:</w:t>
      </w:r>
      <w:r w:rsidRPr="003015CD">
        <w:rPr>
          <w:rFonts w:asciiTheme="majorHAnsi" w:hAnsiTheme="majorHAnsi" w:cstheme="majorBidi"/>
          <w:color w:val="000000" w:themeColor="text1"/>
        </w:rPr>
        <w:t xml:space="preserve"> </w:t>
      </w:r>
      <w:r w:rsidRPr="003015CD">
        <w:tab/>
      </w:r>
      <w:r w:rsidRPr="003015CD">
        <w:tab/>
      </w:r>
      <w:r w:rsidRPr="003015CD">
        <w:rPr>
          <w:rFonts w:asciiTheme="majorHAnsi" w:hAnsiTheme="majorHAnsi" w:cstheme="majorBidi"/>
          <w:color w:val="000000" w:themeColor="text1"/>
        </w:rPr>
        <w:t>Clinical investigation Plan</w:t>
      </w:r>
    </w:p>
    <w:p w14:paraId="0ECF7DD5" w14:textId="04661085" w:rsidR="00AB02B9" w:rsidRPr="003015CD" w:rsidRDefault="00AB02B9"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CIR:</w:t>
      </w:r>
      <w:r w:rsidRPr="003015CD">
        <w:tab/>
      </w:r>
      <w:r w:rsidRPr="003015CD">
        <w:tab/>
      </w:r>
      <w:r w:rsidRPr="003015CD">
        <w:rPr>
          <w:rFonts w:asciiTheme="majorHAnsi" w:hAnsiTheme="majorHAnsi" w:cstheme="majorBidi"/>
          <w:color w:val="000000" w:themeColor="text1"/>
        </w:rPr>
        <w:t>Clinical investigation Report</w:t>
      </w:r>
    </w:p>
    <w:p w14:paraId="0E3CE0AD" w14:textId="3C103954" w:rsidR="0003258E" w:rsidRPr="003015CD" w:rsidRDefault="0003258E"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CMD:</w:t>
      </w:r>
      <w:r w:rsidRPr="003015CD">
        <w:tab/>
      </w:r>
      <w:r w:rsidRPr="003015CD">
        <w:tab/>
      </w:r>
      <w:r w:rsidR="00AA104E" w:rsidRPr="003015CD">
        <w:rPr>
          <w:rFonts w:asciiTheme="majorHAnsi" w:hAnsiTheme="majorHAnsi" w:cstheme="majorBidi"/>
          <w:color w:val="000000" w:themeColor="text1"/>
        </w:rPr>
        <w:t>Custom made device</w:t>
      </w:r>
    </w:p>
    <w:p w14:paraId="4E3B8BDB" w14:textId="1B0E2D39" w:rsidR="00E2437F" w:rsidRPr="003015CD" w:rsidRDefault="00E2437F" w:rsidP="2D4ECF1A">
      <w:pPr>
        <w:ind w:left="993" w:hanging="993"/>
        <w:jc w:val="both"/>
        <w:rPr>
          <w:rFonts w:asciiTheme="majorHAnsi" w:hAnsiTheme="majorHAnsi" w:cstheme="majorBidi"/>
          <w:b/>
          <w:bCs/>
          <w:color w:val="000000" w:themeColor="text1"/>
        </w:rPr>
      </w:pPr>
      <w:r w:rsidRPr="003015CD">
        <w:rPr>
          <w:rFonts w:asciiTheme="majorHAnsi" w:hAnsiTheme="majorHAnsi" w:cstheme="majorBidi"/>
          <w:b/>
          <w:bCs/>
          <w:color w:val="000000" w:themeColor="text1"/>
        </w:rPr>
        <w:t xml:space="preserve">GCP: </w:t>
      </w:r>
      <w:r w:rsidRPr="003015CD">
        <w:tab/>
      </w:r>
      <w:r w:rsidRPr="003015CD">
        <w:tab/>
      </w:r>
      <w:r w:rsidRPr="003015CD">
        <w:rPr>
          <w:rFonts w:asciiTheme="majorHAnsi" w:hAnsiTheme="majorHAnsi" w:cstheme="majorBidi"/>
          <w:color w:val="000000" w:themeColor="text1"/>
        </w:rPr>
        <w:t>Good Clinical Practice</w:t>
      </w:r>
    </w:p>
    <w:p w14:paraId="5B501C69" w14:textId="7859B3E3" w:rsidR="00061156" w:rsidRPr="003015CD" w:rsidRDefault="00061156" w:rsidP="2D4ECF1A">
      <w:pPr>
        <w:ind w:left="993" w:hanging="993"/>
        <w:jc w:val="both"/>
        <w:rPr>
          <w:rFonts w:asciiTheme="majorHAnsi" w:hAnsiTheme="majorHAnsi" w:cstheme="majorBidi"/>
          <w:b/>
          <w:bCs/>
          <w:color w:val="000000" w:themeColor="text1"/>
        </w:rPr>
      </w:pPr>
      <w:r w:rsidRPr="003015CD">
        <w:rPr>
          <w:rFonts w:asciiTheme="majorHAnsi" w:hAnsiTheme="majorHAnsi" w:cstheme="majorBidi"/>
          <w:b/>
          <w:bCs/>
          <w:color w:val="000000" w:themeColor="text1"/>
        </w:rPr>
        <w:t>GSPR:</w:t>
      </w:r>
      <w:r w:rsidRPr="003015CD">
        <w:tab/>
      </w:r>
      <w:r w:rsidRPr="003015CD">
        <w:tab/>
      </w:r>
      <w:r w:rsidRPr="003015CD">
        <w:rPr>
          <w:rFonts w:asciiTheme="majorHAnsi" w:hAnsiTheme="majorHAnsi" w:cstheme="majorBidi"/>
          <w:color w:val="000000" w:themeColor="text1"/>
        </w:rPr>
        <w:t>General Safety and Performance Requirement</w:t>
      </w:r>
      <w:r w:rsidR="001F1564" w:rsidRPr="003015CD">
        <w:rPr>
          <w:rFonts w:asciiTheme="majorHAnsi" w:hAnsiTheme="majorHAnsi" w:cstheme="majorBidi"/>
          <w:color w:val="000000" w:themeColor="text1"/>
        </w:rPr>
        <w:t>s</w:t>
      </w:r>
    </w:p>
    <w:p w14:paraId="2A571535" w14:textId="55744C66" w:rsidR="005B4F95" w:rsidRPr="003015CD" w:rsidRDefault="005B4F95"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IFU:</w:t>
      </w:r>
      <w:r w:rsidRPr="003015CD">
        <w:rPr>
          <w:rFonts w:asciiTheme="majorHAnsi" w:hAnsiTheme="majorHAnsi" w:cstheme="majorBidi"/>
          <w:color w:val="000000" w:themeColor="text1"/>
        </w:rPr>
        <w:t xml:space="preserve"> </w:t>
      </w:r>
      <w:r w:rsidRPr="003015CD">
        <w:tab/>
      </w:r>
      <w:r w:rsidRPr="003015CD">
        <w:tab/>
      </w:r>
      <w:r w:rsidRPr="003015CD">
        <w:rPr>
          <w:rFonts w:asciiTheme="majorHAnsi" w:hAnsiTheme="majorHAnsi" w:cstheme="majorBidi"/>
          <w:color w:val="000000" w:themeColor="text1"/>
        </w:rPr>
        <w:t xml:space="preserve">Instructions </w:t>
      </w:r>
      <w:r w:rsidR="003E70D1" w:rsidRPr="003015CD">
        <w:rPr>
          <w:rFonts w:asciiTheme="majorHAnsi" w:hAnsiTheme="majorHAnsi" w:cstheme="majorBidi"/>
          <w:color w:val="000000" w:themeColor="text1"/>
        </w:rPr>
        <w:t>F</w:t>
      </w:r>
      <w:r w:rsidRPr="003015CD">
        <w:rPr>
          <w:rFonts w:asciiTheme="majorHAnsi" w:hAnsiTheme="majorHAnsi" w:cstheme="majorBidi"/>
          <w:color w:val="000000" w:themeColor="text1"/>
        </w:rPr>
        <w:t xml:space="preserve">or </w:t>
      </w:r>
      <w:r w:rsidR="003E70D1" w:rsidRPr="003015CD">
        <w:rPr>
          <w:rFonts w:asciiTheme="majorHAnsi" w:hAnsiTheme="majorHAnsi" w:cstheme="majorBidi"/>
          <w:color w:val="000000" w:themeColor="text1"/>
        </w:rPr>
        <w:t>U</w:t>
      </w:r>
      <w:r w:rsidRPr="003015CD">
        <w:rPr>
          <w:rFonts w:asciiTheme="majorHAnsi" w:hAnsiTheme="majorHAnsi" w:cstheme="majorBidi"/>
          <w:color w:val="000000" w:themeColor="text1"/>
        </w:rPr>
        <w:t>se</w:t>
      </w:r>
    </w:p>
    <w:p w14:paraId="2B5ECC7A" w14:textId="5493412E" w:rsidR="008F53CF" w:rsidRPr="003015CD" w:rsidRDefault="008F53CF"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IMDRF</w:t>
      </w:r>
      <w:r w:rsidR="00AB02B9" w:rsidRPr="003015CD">
        <w:rPr>
          <w:rFonts w:asciiTheme="majorHAnsi" w:hAnsiTheme="majorHAnsi" w:cstheme="majorBidi"/>
          <w:b/>
          <w:bCs/>
          <w:color w:val="000000" w:themeColor="text1"/>
        </w:rPr>
        <w:t xml:space="preserve">: </w:t>
      </w:r>
      <w:r w:rsidRPr="003015CD">
        <w:tab/>
      </w:r>
      <w:r w:rsidRPr="003015CD">
        <w:tab/>
      </w:r>
      <w:r w:rsidR="00AB02B9" w:rsidRPr="003015CD">
        <w:rPr>
          <w:rFonts w:asciiTheme="majorHAnsi" w:hAnsiTheme="majorHAnsi" w:cstheme="majorBidi"/>
          <w:color w:val="000000" w:themeColor="text1"/>
        </w:rPr>
        <w:t>International Medical Device Regulatory Forum</w:t>
      </w:r>
    </w:p>
    <w:p w14:paraId="3A39568F" w14:textId="27527367" w:rsidR="00222D7A" w:rsidRPr="003015CD" w:rsidRDefault="00222D7A" w:rsidP="2D4ECF1A">
      <w:pPr>
        <w:ind w:left="993" w:hanging="993"/>
        <w:jc w:val="both"/>
        <w:rPr>
          <w:rFonts w:asciiTheme="majorHAnsi" w:hAnsiTheme="majorHAnsi" w:cstheme="majorBidi"/>
          <w:b/>
          <w:bCs/>
          <w:color w:val="000000" w:themeColor="text1"/>
        </w:rPr>
      </w:pPr>
      <w:r w:rsidRPr="003015CD">
        <w:rPr>
          <w:rFonts w:asciiTheme="majorHAnsi" w:hAnsiTheme="majorHAnsi" w:cstheme="majorBidi"/>
          <w:b/>
          <w:bCs/>
          <w:color w:val="000000" w:themeColor="text1"/>
        </w:rPr>
        <w:t>MDR:</w:t>
      </w:r>
      <w:r w:rsidRPr="003015CD">
        <w:tab/>
      </w:r>
      <w:r w:rsidRPr="003015CD">
        <w:tab/>
      </w:r>
      <w:r w:rsidRPr="003015CD">
        <w:rPr>
          <w:rFonts w:asciiTheme="majorHAnsi" w:hAnsiTheme="majorHAnsi" w:cstheme="majorBidi"/>
          <w:color w:val="000000" w:themeColor="text1"/>
        </w:rPr>
        <w:t>Medical Device Regulation</w:t>
      </w:r>
    </w:p>
    <w:p w14:paraId="44BA6F62" w14:textId="2E3BB877" w:rsidR="00C70391" w:rsidRPr="003015CD" w:rsidRDefault="00C70391"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PMS: </w:t>
      </w:r>
      <w:r w:rsidRPr="003015CD">
        <w:tab/>
      </w:r>
      <w:r w:rsidRPr="003015CD">
        <w:tab/>
      </w:r>
      <w:r w:rsidRPr="003015CD">
        <w:rPr>
          <w:rFonts w:asciiTheme="majorHAnsi" w:hAnsiTheme="majorHAnsi" w:cstheme="majorBidi"/>
          <w:color w:val="000000" w:themeColor="text1"/>
        </w:rPr>
        <w:t>Post</w:t>
      </w:r>
      <w:r w:rsidR="00CA007C" w:rsidRPr="003015CD">
        <w:rPr>
          <w:rFonts w:asciiTheme="majorHAnsi" w:hAnsiTheme="majorHAnsi" w:cstheme="majorBidi"/>
          <w:color w:val="000000" w:themeColor="text1"/>
        </w:rPr>
        <w:t>-</w:t>
      </w:r>
      <w:r w:rsidR="003E70D1" w:rsidRPr="003015CD">
        <w:rPr>
          <w:rFonts w:asciiTheme="majorHAnsi" w:hAnsiTheme="majorHAnsi" w:cstheme="majorBidi"/>
          <w:color w:val="000000" w:themeColor="text1"/>
        </w:rPr>
        <w:t>M</w:t>
      </w:r>
      <w:r w:rsidR="005B4F95" w:rsidRPr="003015CD">
        <w:rPr>
          <w:rFonts w:asciiTheme="majorHAnsi" w:hAnsiTheme="majorHAnsi" w:cstheme="majorBidi"/>
          <w:color w:val="000000" w:themeColor="text1"/>
        </w:rPr>
        <w:t xml:space="preserve">arket </w:t>
      </w:r>
      <w:r w:rsidR="003E70D1" w:rsidRPr="003015CD">
        <w:rPr>
          <w:rFonts w:asciiTheme="majorHAnsi" w:hAnsiTheme="majorHAnsi" w:cstheme="majorBidi"/>
          <w:color w:val="000000" w:themeColor="text1"/>
        </w:rPr>
        <w:t>S</w:t>
      </w:r>
      <w:r w:rsidR="005B4F95" w:rsidRPr="003015CD">
        <w:rPr>
          <w:rFonts w:asciiTheme="majorHAnsi" w:hAnsiTheme="majorHAnsi" w:cstheme="majorBidi"/>
          <w:color w:val="000000" w:themeColor="text1"/>
        </w:rPr>
        <w:t>urveillance</w:t>
      </w:r>
    </w:p>
    <w:p w14:paraId="3F4FEEB9" w14:textId="4DF7BE22" w:rsidR="005B4F95" w:rsidRPr="003015CD" w:rsidRDefault="005B4F95" w:rsidP="2D4ECF1A">
      <w:pPr>
        <w:ind w:left="993" w:hanging="993"/>
        <w:jc w:val="both"/>
        <w:rPr>
          <w:rFonts w:asciiTheme="majorHAnsi" w:hAnsiTheme="majorHAnsi" w:cstheme="majorBidi"/>
          <w:color w:val="000000" w:themeColor="text1"/>
        </w:rPr>
      </w:pPr>
      <w:r w:rsidRPr="003015CD">
        <w:rPr>
          <w:rFonts w:asciiTheme="majorHAnsi" w:hAnsiTheme="majorHAnsi" w:cstheme="majorBidi"/>
          <w:b/>
          <w:bCs/>
          <w:color w:val="000000" w:themeColor="text1"/>
        </w:rPr>
        <w:t>PMCF:</w:t>
      </w:r>
      <w:r w:rsidRPr="003015CD">
        <w:rPr>
          <w:rFonts w:asciiTheme="majorHAnsi" w:hAnsiTheme="majorHAnsi" w:cstheme="majorBidi"/>
          <w:color w:val="000000" w:themeColor="text1"/>
        </w:rPr>
        <w:t xml:space="preserve"> </w:t>
      </w:r>
      <w:r w:rsidRPr="003015CD">
        <w:tab/>
      </w:r>
      <w:r w:rsidRPr="003015CD">
        <w:tab/>
      </w:r>
      <w:r w:rsidRPr="003015CD">
        <w:rPr>
          <w:rFonts w:asciiTheme="majorHAnsi" w:hAnsiTheme="majorHAnsi" w:cstheme="majorBidi"/>
          <w:color w:val="000000" w:themeColor="text1"/>
        </w:rPr>
        <w:t>Post</w:t>
      </w:r>
      <w:r w:rsidR="00CA007C" w:rsidRPr="003015CD">
        <w:rPr>
          <w:rFonts w:asciiTheme="majorHAnsi" w:hAnsiTheme="majorHAnsi" w:cstheme="majorBidi"/>
          <w:color w:val="000000" w:themeColor="text1"/>
        </w:rPr>
        <w:t>-</w:t>
      </w:r>
      <w:r w:rsidR="003E70D1" w:rsidRPr="003015CD">
        <w:rPr>
          <w:rFonts w:asciiTheme="majorHAnsi" w:hAnsiTheme="majorHAnsi" w:cstheme="majorBidi"/>
          <w:color w:val="000000" w:themeColor="text1"/>
        </w:rPr>
        <w:t>M</w:t>
      </w:r>
      <w:r w:rsidRPr="003015CD">
        <w:rPr>
          <w:rFonts w:asciiTheme="majorHAnsi" w:hAnsiTheme="majorHAnsi" w:cstheme="majorBidi"/>
          <w:color w:val="000000" w:themeColor="text1"/>
        </w:rPr>
        <w:t xml:space="preserve">arket </w:t>
      </w:r>
      <w:r w:rsidR="003E70D1" w:rsidRPr="003015CD">
        <w:rPr>
          <w:rFonts w:asciiTheme="majorHAnsi" w:hAnsiTheme="majorHAnsi" w:cstheme="majorBidi"/>
          <w:color w:val="000000" w:themeColor="text1"/>
        </w:rPr>
        <w:t>C</w:t>
      </w:r>
      <w:r w:rsidRPr="003015CD">
        <w:rPr>
          <w:rFonts w:asciiTheme="majorHAnsi" w:hAnsiTheme="majorHAnsi" w:cstheme="majorBidi"/>
          <w:color w:val="000000" w:themeColor="text1"/>
        </w:rPr>
        <w:t xml:space="preserve">linical </w:t>
      </w:r>
      <w:r w:rsidR="003E70D1" w:rsidRPr="003015CD">
        <w:rPr>
          <w:rFonts w:asciiTheme="majorHAnsi" w:hAnsiTheme="majorHAnsi" w:cstheme="majorBidi"/>
          <w:color w:val="000000" w:themeColor="text1"/>
        </w:rPr>
        <w:t>F</w:t>
      </w:r>
      <w:r w:rsidRPr="003015CD">
        <w:rPr>
          <w:rFonts w:asciiTheme="majorHAnsi" w:hAnsiTheme="majorHAnsi" w:cstheme="majorBidi"/>
          <w:color w:val="000000" w:themeColor="text1"/>
        </w:rPr>
        <w:t>ollow-</w:t>
      </w:r>
      <w:r w:rsidR="003E70D1" w:rsidRPr="003015CD">
        <w:rPr>
          <w:rFonts w:asciiTheme="majorHAnsi" w:hAnsiTheme="majorHAnsi" w:cstheme="majorBidi"/>
          <w:color w:val="000000" w:themeColor="text1"/>
        </w:rPr>
        <w:t>U</w:t>
      </w:r>
      <w:r w:rsidRPr="003015CD">
        <w:rPr>
          <w:rFonts w:asciiTheme="majorHAnsi" w:hAnsiTheme="majorHAnsi" w:cstheme="majorBidi"/>
          <w:color w:val="000000" w:themeColor="text1"/>
        </w:rPr>
        <w:t>p</w:t>
      </w:r>
    </w:p>
    <w:p w14:paraId="78860D2A" w14:textId="0B88A8C3" w:rsidR="004A2287" w:rsidRPr="003015CD" w:rsidRDefault="00280464"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PSUR:</w:t>
      </w:r>
      <w:r w:rsidRPr="003015CD">
        <w:tab/>
      </w:r>
      <w:r w:rsidR="0055660D" w:rsidRPr="003015CD">
        <w:rPr>
          <w:rFonts w:asciiTheme="majorHAnsi" w:hAnsiTheme="majorHAnsi" w:cstheme="majorBidi"/>
          <w:color w:val="000000" w:themeColor="text1"/>
        </w:rPr>
        <w:t xml:space="preserve">   </w:t>
      </w:r>
      <w:r w:rsidRPr="003015CD">
        <w:tab/>
      </w:r>
      <w:r w:rsidR="0055660D" w:rsidRPr="003015CD">
        <w:rPr>
          <w:rFonts w:asciiTheme="majorHAnsi" w:hAnsiTheme="majorHAnsi" w:cstheme="majorBidi"/>
          <w:color w:val="000000" w:themeColor="text1"/>
        </w:rPr>
        <w:t>Periodic Safety Update Report</w:t>
      </w:r>
    </w:p>
    <w:p w14:paraId="7E5CDB78" w14:textId="77777777" w:rsidR="00662381" w:rsidRPr="003015CD" w:rsidRDefault="00662381"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QMS</w:t>
      </w:r>
      <w:r w:rsidRPr="003015CD">
        <w:rPr>
          <w:rFonts w:asciiTheme="majorHAnsi" w:hAnsiTheme="majorHAnsi" w:cstheme="majorBidi"/>
          <w:color w:val="000000" w:themeColor="text1"/>
        </w:rPr>
        <w:t>:</w:t>
      </w:r>
      <w:r w:rsidRPr="003015CD">
        <w:tab/>
      </w:r>
      <w:r w:rsidRPr="003015CD">
        <w:rPr>
          <w:rFonts w:asciiTheme="majorHAnsi" w:hAnsiTheme="majorHAnsi" w:cstheme="majorBidi"/>
          <w:color w:val="000000" w:themeColor="text1"/>
        </w:rPr>
        <w:t xml:space="preserve">    </w:t>
      </w:r>
      <w:r w:rsidRPr="003015CD">
        <w:tab/>
      </w:r>
      <w:r w:rsidRPr="003015CD">
        <w:rPr>
          <w:rFonts w:asciiTheme="majorHAnsi" w:hAnsiTheme="majorHAnsi" w:cstheme="majorBidi"/>
          <w:color w:val="000000" w:themeColor="text1"/>
        </w:rPr>
        <w:t>Quality management system</w:t>
      </w:r>
    </w:p>
    <w:p w14:paraId="76842570" w14:textId="278FD5A8" w:rsidR="00396AA9" w:rsidRPr="003015CD" w:rsidRDefault="000A3ABD"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RWD</w:t>
      </w:r>
      <w:r w:rsidR="00396AA9" w:rsidRPr="003015CD">
        <w:rPr>
          <w:rFonts w:asciiTheme="majorHAnsi" w:hAnsiTheme="majorHAnsi" w:cstheme="majorBidi"/>
          <w:b/>
          <w:bCs/>
          <w:color w:val="000000" w:themeColor="text1"/>
        </w:rPr>
        <w:t>:</w:t>
      </w:r>
      <w:r w:rsidRPr="003015CD">
        <w:rPr>
          <w:rFonts w:asciiTheme="majorHAnsi" w:hAnsiTheme="majorHAnsi" w:cstheme="majorBidi"/>
          <w:color w:val="000000" w:themeColor="text1"/>
        </w:rPr>
        <w:t xml:space="preserve"> </w:t>
      </w:r>
      <w:r w:rsidR="009E6C07" w:rsidRPr="003015CD">
        <w:rPr>
          <w:rFonts w:asciiTheme="majorHAnsi" w:hAnsiTheme="majorHAnsi" w:cstheme="majorBidi"/>
          <w:color w:val="000000" w:themeColor="text1"/>
        </w:rPr>
        <w:t xml:space="preserve">     </w:t>
      </w:r>
      <w:r w:rsidRPr="003015CD">
        <w:tab/>
      </w:r>
      <w:r w:rsidRPr="003015CD">
        <w:rPr>
          <w:rFonts w:asciiTheme="majorHAnsi" w:hAnsiTheme="majorHAnsi" w:cstheme="majorBidi"/>
          <w:color w:val="000000" w:themeColor="text1"/>
        </w:rPr>
        <w:t>Real-World Data</w:t>
      </w:r>
    </w:p>
    <w:p w14:paraId="7430E068" w14:textId="6563EEB9" w:rsidR="000A3ABD" w:rsidRPr="003015CD" w:rsidRDefault="000A3ABD"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RWE</w:t>
      </w:r>
      <w:r w:rsidR="00396AA9" w:rsidRPr="003015CD">
        <w:rPr>
          <w:rFonts w:asciiTheme="majorHAnsi" w:hAnsiTheme="majorHAnsi" w:cstheme="majorBidi"/>
          <w:b/>
          <w:bCs/>
          <w:color w:val="000000" w:themeColor="text1"/>
        </w:rPr>
        <w:t>:</w:t>
      </w:r>
      <w:r w:rsidRPr="003015CD">
        <w:rPr>
          <w:rFonts w:asciiTheme="majorHAnsi" w:hAnsiTheme="majorHAnsi" w:cstheme="majorBidi"/>
          <w:color w:val="000000" w:themeColor="text1"/>
        </w:rPr>
        <w:t xml:space="preserve"> </w:t>
      </w:r>
      <w:r w:rsidR="009E6C07" w:rsidRPr="003015CD">
        <w:rPr>
          <w:rFonts w:asciiTheme="majorHAnsi" w:hAnsiTheme="majorHAnsi" w:cstheme="majorBidi"/>
          <w:color w:val="000000" w:themeColor="text1"/>
        </w:rPr>
        <w:t xml:space="preserve">     </w:t>
      </w:r>
      <w:r w:rsidRPr="003015CD">
        <w:tab/>
      </w:r>
      <w:r w:rsidRPr="003015CD">
        <w:rPr>
          <w:rFonts w:asciiTheme="majorHAnsi" w:hAnsiTheme="majorHAnsi" w:cstheme="majorBidi"/>
          <w:color w:val="000000" w:themeColor="text1"/>
        </w:rPr>
        <w:t>Real-World Evidence</w:t>
      </w:r>
    </w:p>
    <w:p w14:paraId="36E16CD1" w14:textId="1F5EFC3B" w:rsidR="000B29FE" w:rsidRPr="003015CD" w:rsidRDefault="000B29FE"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SOTA</w:t>
      </w:r>
      <w:r w:rsidRPr="003015CD">
        <w:rPr>
          <w:rFonts w:asciiTheme="majorHAnsi" w:hAnsiTheme="majorHAnsi" w:cstheme="majorBidi"/>
          <w:color w:val="000000" w:themeColor="text1"/>
        </w:rPr>
        <w:t xml:space="preserve">: </w:t>
      </w:r>
      <w:r w:rsidR="009E6C07" w:rsidRPr="003015CD">
        <w:rPr>
          <w:rFonts w:asciiTheme="majorHAnsi" w:hAnsiTheme="majorHAnsi" w:cstheme="majorBidi"/>
          <w:color w:val="000000" w:themeColor="text1"/>
        </w:rPr>
        <w:t xml:space="preserve">    </w:t>
      </w:r>
      <w:r w:rsidRPr="003015CD">
        <w:tab/>
      </w:r>
      <w:r w:rsidRPr="003015CD">
        <w:rPr>
          <w:rFonts w:asciiTheme="majorHAnsi" w:hAnsiTheme="majorHAnsi" w:cstheme="majorBidi"/>
          <w:color w:val="000000" w:themeColor="text1"/>
        </w:rPr>
        <w:t>State of the Art</w:t>
      </w:r>
    </w:p>
    <w:p w14:paraId="49B3FBEB" w14:textId="4A2FFD4F" w:rsidR="0055660D" w:rsidRPr="003015CD" w:rsidRDefault="0055660D" w:rsidP="2D4ECF1A">
      <w:p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SSCP:</w:t>
      </w:r>
      <w:r w:rsidRPr="003015CD">
        <w:tab/>
      </w:r>
      <w:r w:rsidRPr="003015CD">
        <w:rPr>
          <w:rFonts w:asciiTheme="majorHAnsi" w:hAnsiTheme="majorHAnsi" w:cstheme="majorBidi"/>
          <w:color w:val="000000" w:themeColor="text1"/>
        </w:rPr>
        <w:t xml:space="preserve">    </w:t>
      </w:r>
      <w:r w:rsidRPr="003015CD">
        <w:tab/>
      </w:r>
      <w:r w:rsidRPr="003015CD">
        <w:rPr>
          <w:rFonts w:asciiTheme="majorHAnsi" w:hAnsiTheme="majorHAnsi" w:cstheme="majorBidi"/>
          <w:color w:val="000000" w:themeColor="text1"/>
        </w:rPr>
        <w:t xml:space="preserve">Summary of Safety and Clinical Performance </w:t>
      </w:r>
    </w:p>
    <w:p w14:paraId="592EA3A6" w14:textId="6FE0E9B8" w:rsidR="00853AD9" w:rsidRPr="003015CD" w:rsidRDefault="00853AD9" w:rsidP="00081885">
      <w:pPr>
        <w:jc w:val="both"/>
        <w:rPr>
          <w:rFonts w:asciiTheme="majorHAnsi" w:hAnsiTheme="majorHAnsi" w:cstheme="majorHAnsi"/>
          <w:color w:val="000000" w:themeColor="text1"/>
        </w:rPr>
      </w:pPr>
    </w:p>
    <w:p w14:paraId="0E07323D" w14:textId="261DE272" w:rsidR="002D3121" w:rsidRPr="003015CD" w:rsidRDefault="002D3121" w:rsidP="00081885">
      <w:pPr>
        <w:jc w:val="both"/>
        <w:rPr>
          <w:rFonts w:asciiTheme="majorHAnsi" w:hAnsiTheme="majorHAnsi" w:cstheme="majorHAnsi"/>
          <w:color w:val="000000" w:themeColor="text1"/>
        </w:rPr>
      </w:pPr>
    </w:p>
    <w:p w14:paraId="383C7E06" w14:textId="77777777" w:rsidR="00997154" w:rsidRPr="003015CD" w:rsidRDefault="00997154">
      <w:pPr>
        <w:spacing w:before="0" w:after="0"/>
        <w:rPr>
          <w:rFonts w:asciiTheme="majorHAnsi" w:hAnsiTheme="majorHAnsi" w:cstheme="majorHAnsi"/>
          <w:b/>
          <w:bCs/>
          <w:color w:val="000000" w:themeColor="text1"/>
          <w:sz w:val="32"/>
          <w:szCs w:val="28"/>
        </w:rPr>
      </w:pPr>
      <w:bookmarkStart w:id="20" w:name="_Toc446499026"/>
      <w:bookmarkEnd w:id="0"/>
      <w:r w:rsidRPr="003015CD">
        <w:rPr>
          <w:rFonts w:asciiTheme="majorHAnsi" w:hAnsiTheme="majorHAnsi" w:cstheme="majorHAnsi"/>
          <w:color w:val="000000" w:themeColor="text1"/>
        </w:rPr>
        <w:br w:type="page"/>
      </w:r>
    </w:p>
    <w:p w14:paraId="5162BF11" w14:textId="5B892AD1" w:rsidR="004171CC" w:rsidRPr="003015CD" w:rsidRDefault="004171CC" w:rsidP="00BF0964">
      <w:pPr>
        <w:pStyle w:val="Titre1"/>
        <w:ind w:left="426"/>
        <w:jc w:val="both"/>
        <w:rPr>
          <w:rFonts w:asciiTheme="majorHAnsi" w:hAnsiTheme="majorHAnsi" w:cstheme="majorHAnsi"/>
          <w:color w:val="000000" w:themeColor="text1"/>
        </w:rPr>
      </w:pPr>
      <w:bookmarkStart w:id="21" w:name="_Toc236912868"/>
      <w:r w:rsidRPr="003015CD">
        <w:rPr>
          <w:rFonts w:asciiTheme="majorHAnsi" w:hAnsiTheme="majorHAnsi" w:cstheme="majorHAnsi"/>
          <w:color w:val="000000" w:themeColor="text1"/>
        </w:rPr>
        <w:t>General principles of clinical evaluation</w:t>
      </w:r>
      <w:bookmarkEnd w:id="20"/>
      <w:bookmarkEnd w:id="21"/>
    </w:p>
    <w:p w14:paraId="5448E064" w14:textId="77777777" w:rsidR="004171CC" w:rsidRPr="003015CD" w:rsidRDefault="004171CC" w:rsidP="00081885">
      <w:pPr>
        <w:pStyle w:val="Titre2"/>
        <w:autoSpaceDE/>
        <w:autoSpaceDN/>
        <w:adjustRightInd/>
        <w:ind w:left="0" w:firstLine="0"/>
        <w:jc w:val="both"/>
        <w:rPr>
          <w:rFonts w:asciiTheme="majorHAnsi" w:hAnsiTheme="majorHAnsi" w:cstheme="majorHAnsi"/>
          <w:color w:val="000000" w:themeColor="text1"/>
        </w:rPr>
      </w:pPr>
      <w:bookmarkStart w:id="22" w:name="_Toc446499027"/>
      <w:bookmarkStart w:id="23" w:name="_Toc236912869"/>
      <w:r w:rsidRPr="003015CD">
        <w:rPr>
          <w:rFonts w:asciiTheme="majorHAnsi" w:hAnsiTheme="majorHAnsi" w:cstheme="majorHAnsi"/>
          <w:color w:val="000000" w:themeColor="text1"/>
        </w:rPr>
        <w:t>What is clinical evaluation?</w:t>
      </w:r>
      <w:bookmarkEnd w:id="22"/>
      <w:bookmarkEnd w:id="23"/>
    </w:p>
    <w:p w14:paraId="0AD547C7" w14:textId="2F705820" w:rsidR="004171CC" w:rsidRPr="003015CD" w:rsidRDefault="004171CC" w:rsidP="00081885">
      <w:pPr>
        <w:jc w:val="both"/>
        <w:rPr>
          <w:rFonts w:asciiTheme="majorHAnsi" w:hAnsiTheme="majorHAnsi" w:cstheme="majorBidi"/>
          <w:color w:val="000000" w:themeColor="text1"/>
          <w:lang w:eastAsia="de-CH"/>
        </w:rPr>
      </w:pPr>
      <w:bookmarkStart w:id="24" w:name="_Hlk164436940"/>
      <w:r w:rsidRPr="003015CD">
        <w:rPr>
          <w:rFonts w:asciiTheme="majorHAnsi" w:hAnsiTheme="majorHAnsi" w:cstheme="majorBidi"/>
          <w:color w:val="000000" w:themeColor="text1"/>
        </w:rPr>
        <w:t xml:space="preserve">Clinical evaluation is a </w:t>
      </w:r>
      <w:r w:rsidRPr="003015CD">
        <w:rPr>
          <w:rFonts w:asciiTheme="majorHAnsi" w:hAnsiTheme="majorHAnsi" w:cstheme="majorBidi"/>
          <w:color w:val="000000" w:themeColor="text1"/>
          <w:lang w:eastAsia="de-CH"/>
        </w:rPr>
        <w:t>systematic, planned and continuous process which aims to demonstrate the safety and performance of a medical device in its clinical use and the confirmation of conformity of the device with GSPRs when used as intended by the manufacturer.</w:t>
      </w:r>
    </w:p>
    <w:p w14:paraId="3BF207F1" w14:textId="4CC89891" w:rsidR="004171CC" w:rsidRPr="003015CD" w:rsidRDefault="004171CC" w:rsidP="2D4ECF1A">
      <w:pPr>
        <w:tabs>
          <w:tab w:val="left" w:pos="3969"/>
        </w:tabs>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Core purposes of the clinical evaluation are the proper determination of the benefit-risk profile for the intended purpose of the device under evaluation, covering all device sizes, variants, models and accessories, and demonstration of the acceptability of that </w:t>
      </w:r>
      <w:r w:rsidR="00000404" w:rsidRPr="003015CD">
        <w:rPr>
          <w:rFonts w:asciiTheme="majorHAnsi" w:hAnsiTheme="majorHAnsi" w:cstheme="majorBidi"/>
          <w:color w:val="000000" w:themeColor="text1"/>
        </w:rPr>
        <w:t xml:space="preserve">benefit-risk </w:t>
      </w:r>
      <w:r w:rsidR="00DC01E4" w:rsidRPr="003015CD">
        <w:rPr>
          <w:rFonts w:asciiTheme="majorHAnsi" w:hAnsiTheme="majorHAnsi" w:cstheme="majorBidi"/>
          <w:color w:val="000000" w:themeColor="text1"/>
        </w:rPr>
        <w:t>ratio</w:t>
      </w:r>
      <w:r w:rsidRPr="003015CD">
        <w:rPr>
          <w:rFonts w:asciiTheme="majorHAnsi" w:hAnsiTheme="majorHAnsi" w:cstheme="majorBidi"/>
          <w:color w:val="000000" w:themeColor="text1"/>
        </w:rPr>
        <w:t xml:space="preserve"> based on the </w:t>
      </w:r>
      <w:r w:rsidR="006D182F" w:rsidRPr="003015CD">
        <w:rPr>
          <w:rFonts w:asciiTheme="majorHAnsi" w:hAnsiTheme="majorHAnsi" w:cstheme="majorBidi"/>
          <w:color w:val="000000" w:themeColor="text1"/>
        </w:rPr>
        <w:t>SOTA</w:t>
      </w:r>
      <w:r w:rsidRPr="003015CD">
        <w:rPr>
          <w:rFonts w:asciiTheme="majorHAnsi" w:hAnsiTheme="majorHAnsi" w:cstheme="majorBidi"/>
          <w:color w:val="000000" w:themeColor="text1"/>
        </w:rPr>
        <w:t xml:space="preserve"> in the medical fields concerned. To achieve this, the intended performance, including clinical benefits, and identified risks should be specified with regards to their nature, probability, extent, duration and frequency, as applicable. The requirements for clinical evaluation apply to all classes of medical devices.</w:t>
      </w:r>
    </w:p>
    <w:p w14:paraId="4F278217" w14:textId="7B172A67" w:rsidR="004171CC" w:rsidRPr="003015CD" w:rsidRDefault="004171CC" w:rsidP="2D4ECF1A">
      <w:p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Clinical evaluation is the responsibility of the </w:t>
      </w:r>
      <w:r w:rsidR="009F625F" w:rsidRPr="003015CD" w:rsidDel="009F625F">
        <w:rPr>
          <w:rFonts w:asciiTheme="majorHAnsi" w:hAnsiTheme="majorHAnsi" w:cstheme="majorBidi"/>
          <w:color w:val="000000" w:themeColor="text1"/>
        </w:rPr>
        <w:t>manufacturer.</w:t>
      </w:r>
      <w:r w:rsidRPr="003015CD">
        <w:rPr>
          <w:rFonts w:asciiTheme="majorHAnsi" w:hAnsiTheme="majorHAnsi" w:cstheme="majorBidi"/>
          <w:color w:val="000000" w:themeColor="text1"/>
        </w:rPr>
        <w:t xml:space="preserve"> The clinical evaluation documentation (see section 12.1) and its updates are elements of the technical documentation of the device under evaluation as referred to in MDR Annex II</w:t>
      </w:r>
      <w:r w:rsidRPr="003015CD">
        <w:rPr>
          <w:rStyle w:val="Appelnotedebasdep"/>
          <w:rFonts w:asciiTheme="majorHAnsi" w:hAnsiTheme="majorHAnsi" w:cstheme="majorBidi"/>
          <w:color w:val="000000" w:themeColor="text1"/>
        </w:rPr>
        <w:footnoteReference w:id="3"/>
      </w:r>
      <w:r w:rsidRPr="003015CD">
        <w:rPr>
          <w:rFonts w:asciiTheme="majorHAnsi" w:hAnsiTheme="majorHAnsi" w:cstheme="majorBidi"/>
          <w:color w:val="000000" w:themeColor="text1"/>
        </w:rPr>
        <w:t xml:space="preserve"> (except for custom-made devices, for which further details are given in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_Ref163489758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7.2.3</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w:t>
      </w:r>
      <w:r w:rsidRPr="003015CD">
        <w:rPr>
          <w:rStyle w:val="Appelnotedebasdep"/>
          <w:rFonts w:asciiTheme="majorHAnsi" w:hAnsiTheme="majorHAnsi" w:cstheme="majorBidi"/>
          <w:color w:val="000000" w:themeColor="text1"/>
        </w:rPr>
        <w:footnoteReference w:id="4"/>
      </w:r>
      <w:r w:rsidRPr="003015CD">
        <w:rPr>
          <w:rFonts w:asciiTheme="majorHAnsi" w:hAnsiTheme="majorHAnsi" w:cstheme="majorBidi"/>
          <w:color w:val="000000" w:themeColor="text1"/>
        </w:rPr>
        <w:t>.</w:t>
      </w:r>
    </w:p>
    <w:p w14:paraId="39B68885"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For compliance with MDR:</w:t>
      </w:r>
    </w:p>
    <w:p w14:paraId="2AA019D4" w14:textId="6E376DC4" w:rsidR="004171CC" w:rsidRPr="003015CD" w:rsidRDefault="004171CC" w:rsidP="2D4ECF1A">
      <w:pPr>
        <w:pStyle w:val="Paragraphedeliste"/>
        <w:numPr>
          <w:ilvl w:val="0"/>
          <w:numId w:val="50"/>
        </w:numPr>
        <w:spacing w:before="0" w:after="0"/>
        <w:ind w:left="709"/>
        <w:jc w:val="both"/>
        <w:rPr>
          <w:rFonts w:asciiTheme="majorHAnsi" w:hAnsiTheme="majorHAnsi" w:cstheme="majorBidi"/>
          <w:color w:val="000000" w:themeColor="text1"/>
        </w:rPr>
      </w:pPr>
      <w:r w:rsidRPr="003015CD">
        <w:rPr>
          <w:rFonts w:asciiTheme="majorHAnsi" w:hAnsiTheme="majorHAnsi" w:cstheme="majorBidi"/>
          <w:color w:val="000000" w:themeColor="text1"/>
        </w:rPr>
        <w:t>confirmation of conformity with relevant GSPR</w:t>
      </w:r>
      <w:r w:rsidR="00F9759A"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set out in Annex I of </w:t>
      </w:r>
      <w:r w:rsidRPr="003015CD" w:rsidDel="005E4451">
        <w:rPr>
          <w:rFonts w:asciiTheme="majorHAnsi" w:hAnsiTheme="majorHAnsi" w:cstheme="majorBidi"/>
          <w:color w:val="000000" w:themeColor="text1"/>
        </w:rPr>
        <w:t xml:space="preserve">MDR under the normal conditions of the intended use of the device, including the evaluation of the undesirable side-effects and the acceptability of the benefit-risk-ratio, shall be based on clinical data providing sufficient clinical evidence. The manufacturer shall specify and justify the level of clinical evidence necessary to </w:t>
      </w:r>
      <w:r w:rsidRPr="003015CD">
        <w:rPr>
          <w:rFonts w:asciiTheme="majorHAnsi" w:hAnsiTheme="majorHAnsi" w:cstheme="majorBidi"/>
          <w:color w:val="000000" w:themeColor="text1"/>
        </w:rPr>
        <w:t>demonstrate conformity with the relevant GSPR</w:t>
      </w:r>
      <w:r w:rsidR="00011475"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That level of clinical evidence shall be appropriate in view of the characteristics of the device (such as the risk associated with the device) and its intended purpose</w:t>
      </w:r>
      <w:bookmarkStart w:id="25" w:name="_Ref171955812"/>
      <w:r w:rsidRPr="003015CD">
        <w:rPr>
          <w:rStyle w:val="Appelnotedebasdep"/>
          <w:rFonts w:asciiTheme="majorHAnsi" w:hAnsiTheme="majorHAnsi" w:cstheme="majorBidi"/>
          <w:color w:val="000000" w:themeColor="text1"/>
        </w:rPr>
        <w:footnoteReference w:id="5"/>
      </w:r>
      <w:bookmarkEnd w:id="25"/>
      <w:r w:rsidRPr="003015CD">
        <w:rPr>
          <w:rFonts w:asciiTheme="majorHAnsi" w:hAnsiTheme="majorHAnsi" w:cstheme="majorBidi"/>
          <w:color w:val="000000" w:themeColor="text1"/>
        </w:rPr>
        <w:t xml:space="preserve">. </w:t>
      </w:r>
    </w:p>
    <w:p w14:paraId="5B0BA6BE" w14:textId="77777777" w:rsidR="004171CC" w:rsidRPr="003015CD" w:rsidDel="00BA640F" w:rsidRDefault="004171CC" w:rsidP="00081885">
      <w:pPr>
        <w:pStyle w:val="Sansinterligne"/>
        <w:numPr>
          <w:ilvl w:val="0"/>
          <w:numId w:val="50"/>
        </w:numPr>
        <w:autoSpaceDE/>
        <w:autoSpaceDN/>
        <w:adjustRightInd/>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clinical evaluation must follow </w:t>
      </w:r>
      <w:r w:rsidRPr="003015CD" w:rsidDel="00BA640F">
        <w:rPr>
          <w:rFonts w:asciiTheme="majorHAnsi" w:hAnsiTheme="majorHAnsi" w:cstheme="majorHAnsi"/>
          <w:color w:val="000000" w:themeColor="text1"/>
        </w:rPr>
        <w:t>defined and methodologically sound procedures as described in:</w:t>
      </w:r>
    </w:p>
    <w:p w14:paraId="6908A0DC" w14:textId="77777777" w:rsidR="004171CC" w:rsidRPr="003015CD" w:rsidDel="00BA640F" w:rsidRDefault="004171CC" w:rsidP="00081885">
      <w:pPr>
        <w:pStyle w:val="Paragraphedeliste"/>
        <w:numPr>
          <w:ilvl w:val="0"/>
          <w:numId w:val="24"/>
        </w:numPr>
        <w:spacing w:before="0" w:after="0"/>
        <w:ind w:left="851"/>
        <w:jc w:val="both"/>
        <w:rPr>
          <w:rFonts w:asciiTheme="majorHAnsi" w:hAnsiTheme="majorHAnsi" w:cstheme="majorBidi"/>
          <w:color w:val="000000" w:themeColor="text1"/>
        </w:rPr>
      </w:pPr>
      <w:r w:rsidRPr="003015CD">
        <w:rPr>
          <w:rFonts w:asciiTheme="majorHAnsi" w:hAnsiTheme="majorHAnsi" w:cstheme="majorBidi"/>
          <w:color w:val="000000" w:themeColor="text1"/>
        </w:rPr>
        <w:t>Article 61 of MDR;</w:t>
      </w:r>
    </w:p>
    <w:p w14:paraId="0B100FF6" w14:textId="3E7B988C" w:rsidR="004171CC" w:rsidRPr="003015CD" w:rsidRDefault="004171CC" w:rsidP="00081885">
      <w:pPr>
        <w:pStyle w:val="Paragraphedeliste"/>
        <w:numPr>
          <w:ilvl w:val="0"/>
          <w:numId w:val="24"/>
        </w:numPr>
        <w:spacing w:before="0" w:after="0"/>
        <w:ind w:left="851"/>
        <w:jc w:val="both"/>
        <w:rPr>
          <w:rFonts w:asciiTheme="majorHAnsi" w:hAnsiTheme="majorHAnsi" w:cstheme="majorBidi"/>
          <w:color w:val="000000" w:themeColor="text1"/>
        </w:rPr>
      </w:pPr>
      <w:r w:rsidRPr="003015CD" w:rsidDel="00BA640F">
        <w:rPr>
          <w:rFonts w:asciiTheme="majorHAnsi" w:hAnsiTheme="majorHAnsi" w:cstheme="majorBidi"/>
          <w:color w:val="000000" w:themeColor="text1"/>
        </w:rPr>
        <w:t>Annex XIV part A of MDR</w:t>
      </w:r>
      <w:r w:rsidRPr="003015CD">
        <w:rPr>
          <w:rFonts w:asciiTheme="majorHAnsi" w:hAnsiTheme="majorHAnsi" w:cstheme="majorBidi"/>
          <w:color w:val="000000" w:themeColor="text1"/>
          <w:vertAlign w:val="superscript"/>
        </w:rPr>
        <w:fldChar w:fldCharType="begin"/>
      </w:r>
      <w:r w:rsidRPr="003015CD">
        <w:rPr>
          <w:rFonts w:asciiTheme="majorHAnsi" w:hAnsiTheme="majorHAnsi" w:cstheme="majorBidi"/>
          <w:color w:val="000000" w:themeColor="text1"/>
          <w:vertAlign w:val="superscript"/>
        </w:rPr>
        <w:instrText xml:space="preserve"> NOTEREF _Ref171955812 \h  \* MERGEFORMAT </w:instrText>
      </w:r>
      <w:r w:rsidRPr="003015CD">
        <w:rPr>
          <w:rFonts w:asciiTheme="majorHAnsi" w:hAnsiTheme="majorHAnsi" w:cstheme="majorBidi"/>
          <w:color w:val="000000" w:themeColor="text1"/>
          <w:vertAlign w:val="superscript"/>
        </w:rPr>
      </w:r>
      <w:r w:rsidRPr="003015CD">
        <w:rPr>
          <w:rFonts w:asciiTheme="majorHAnsi" w:hAnsiTheme="majorHAnsi" w:cstheme="majorBidi"/>
          <w:color w:val="000000" w:themeColor="text1"/>
          <w:vertAlign w:val="superscript"/>
        </w:rPr>
        <w:fldChar w:fldCharType="separate"/>
      </w:r>
      <w:r w:rsidR="001D11FB" w:rsidRPr="003015CD">
        <w:rPr>
          <w:rFonts w:asciiTheme="majorHAnsi" w:hAnsiTheme="majorHAnsi" w:cstheme="majorBidi"/>
          <w:color w:val="000000" w:themeColor="text1"/>
          <w:vertAlign w:val="superscript"/>
        </w:rPr>
        <w:t>4</w:t>
      </w:r>
      <w:r w:rsidRPr="003015CD">
        <w:rPr>
          <w:rFonts w:asciiTheme="majorHAnsi" w:hAnsiTheme="majorHAnsi" w:cstheme="majorBidi"/>
          <w:color w:val="000000" w:themeColor="text1"/>
          <w:vertAlign w:val="superscript"/>
        </w:rPr>
        <w:fldChar w:fldCharType="end"/>
      </w:r>
      <w:r w:rsidRPr="003015CD">
        <w:rPr>
          <w:rFonts w:asciiTheme="majorHAnsi" w:hAnsiTheme="majorHAnsi" w:cstheme="majorBidi"/>
          <w:color w:val="000000" w:themeColor="text1"/>
        </w:rPr>
        <w:t>.</w:t>
      </w:r>
    </w:p>
    <w:p w14:paraId="02410366" w14:textId="32D2B933" w:rsidR="004171CC" w:rsidRPr="003015CD" w:rsidRDefault="004171CC" w:rsidP="00081885">
      <w:pPr>
        <w:pStyle w:val="Paragraphedeliste"/>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_Ref164526404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6.3</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for information on how to perform the clinical evaluation.</w:t>
      </w:r>
    </w:p>
    <w:p w14:paraId="132C07EB" w14:textId="4691C7F2" w:rsidR="004171CC" w:rsidRPr="003015CD" w:rsidRDefault="004171CC" w:rsidP="2D4ECF1A">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where demonstration of conformity with GSPR</w:t>
      </w:r>
      <w:r w:rsidR="00011475"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based on clinical data is not deemed appropriate in accordance with Article 61(10) of MDR, an adequate justification for any such exception shall be given. The justification, which can be provided only for class I, IIa, IIb devices (excluding implantable devices), shall be included in the technical documentation of the device under evaluation (see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_Ref164526539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7.2.6</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w:t>
      </w:r>
    </w:p>
    <w:p w14:paraId="1B388E21"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Bidi"/>
          <w:color w:val="000000" w:themeColor="text1"/>
        </w:rPr>
        <w:t>The following items should be aligned with each other</w:t>
      </w:r>
      <w:r w:rsidRPr="003015CD">
        <w:rPr>
          <w:rStyle w:val="Appelnotedebasdep"/>
          <w:rFonts w:asciiTheme="majorHAnsi" w:hAnsiTheme="majorHAnsi" w:cstheme="majorBidi"/>
          <w:color w:val="000000" w:themeColor="text1"/>
        </w:rPr>
        <w:footnoteReference w:id="6"/>
      </w:r>
      <w:r w:rsidRPr="003015CD">
        <w:rPr>
          <w:rFonts w:asciiTheme="majorHAnsi" w:hAnsiTheme="majorHAnsi" w:cstheme="majorBidi"/>
          <w:color w:val="000000" w:themeColor="text1"/>
        </w:rPr>
        <w:t xml:space="preserve">: </w:t>
      </w:r>
    </w:p>
    <w:p w14:paraId="63B1449A"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the information materials supplied by the manufacturer;</w:t>
      </w:r>
    </w:p>
    <w:p w14:paraId="22A1C620"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the clinical evaluation documentation</w:t>
      </w:r>
      <w:r w:rsidRPr="003015CD">
        <w:rPr>
          <w:rStyle w:val="Appelnotedebasdep"/>
          <w:rFonts w:asciiTheme="majorHAnsi" w:hAnsiTheme="majorHAnsi" w:cstheme="majorBidi"/>
          <w:color w:val="000000" w:themeColor="text1"/>
        </w:rPr>
        <w:footnoteReference w:id="7"/>
      </w:r>
      <w:r w:rsidRPr="003015CD">
        <w:rPr>
          <w:rFonts w:asciiTheme="majorHAnsi" w:hAnsiTheme="majorHAnsi" w:cstheme="majorBidi"/>
          <w:color w:val="000000" w:themeColor="text1"/>
        </w:rPr>
        <w:t xml:space="preserve">; </w:t>
      </w:r>
    </w:p>
    <w:p w14:paraId="333A8EF8"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the risk management file;</w:t>
      </w:r>
    </w:p>
    <w:p w14:paraId="688B95A9"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PMS documentation;</w:t>
      </w:r>
    </w:p>
    <w:p w14:paraId="4DF95EDE" w14:textId="77777777" w:rsidR="004171CC" w:rsidRPr="003015CD" w:rsidRDefault="004171CC" w:rsidP="00081885">
      <w:pPr>
        <w:pStyle w:val="List23"/>
        <w:ind w:left="709" w:hanging="284"/>
        <w:jc w:val="both"/>
        <w:rPr>
          <w:rFonts w:asciiTheme="majorHAnsi" w:hAnsiTheme="majorHAnsi" w:cstheme="majorHAnsi"/>
          <w:color w:val="000000" w:themeColor="text1"/>
        </w:rPr>
      </w:pPr>
      <w:r w:rsidRPr="003015CD">
        <w:rPr>
          <w:rFonts w:asciiTheme="majorHAnsi" w:hAnsiTheme="majorHAnsi" w:cstheme="majorHAnsi"/>
          <w:color w:val="000000" w:themeColor="text1"/>
        </w:rPr>
        <w:t>SSCP, where applicable.</w:t>
      </w:r>
    </w:p>
    <w:p w14:paraId="72B948C1" w14:textId="77777777" w:rsidR="004171CC" w:rsidRPr="003015CD" w:rsidRDefault="004171CC" w:rsidP="00081885">
      <w:pPr>
        <w:pStyle w:val="List23"/>
        <w:numPr>
          <w:ilvl w:val="0"/>
          <w:numId w:val="0"/>
        </w:numPr>
        <w:jc w:val="both"/>
        <w:rPr>
          <w:rFonts w:asciiTheme="majorHAnsi" w:hAnsiTheme="majorHAnsi" w:cstheme="majorHAnsi"/>
          <w:color w:val="000000" w:themeColor="text1"/>
        </w:rPr>
      </w:pPr>
    </w:p>
    <w:p w14:paraId="492919B6" w14:textId="40FDD649" w:rsidR="004171CC" w:rsidRPr="003015CD" w:rsidRDefault="004171CC" w:rsidP="00081885">
      <w:pPr>
        <w:pStyle w:val="List23"/>
        <w:numPr>
          <w:ilvl w:val="0"/>
          <w:numId w:val="0"/>
        </w:numPr>
        <w:jc w:val="both"/>
        <w:rPr>
          <w:rFonts w:asciiTheme="majorHAnsi" w:hAnsiTheme="majorHAnsi" w:cstheme="majorBidi"/>
          <w:color w:val="000000" w:themeColor="text1"/>
        </w:rPr>
      </w:pPr>
      <w:r w:rsidRPr="003015CD">
        <w:rPr>
          <w:rFonts w:asciiTheme="majorHAnsi" w:hAnsiTheme="majorHAnsi" w:cstheme="majorBidi"/>
          <w:color w:val="000000" w:themeColor="text1"/>
        </w:rPr>
        <w:t>Particularly, the following aspects should be adequately supported by sufficient clinical evidence:</w:t>
      </w:r>
    </w:p>
    <w:p w14:paraId="48CC2FDC"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the intended purpose described in the information materials supplied by the manufacturer (covering all indications and intended patient/user populations, where relevant);</w:t>
      </w:r>
    </w:p>
    <w:p w14:paraId="5C54F578" w14:textId="1334010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confirmation of device lifetime</w:t>
      </w:r>
      <w:r w:rsidRPr="003015CD">
        <w:rPr>
          <w:rStyle w:val="Appelnotedebasdep"/>
          <w:rFonts w:asciiTheme="majorHAnsi" w:hAnsiTheme="majorHAnsi" w:cstheme="majorBidi"/>
          <w:color w:val="000000" w:themeColor="text1"/>
        </w:rPr>
        <w:footnoteReference w:id="8"/>
      </w:r>
      <w:r w:rsidRPr="003015CD">
        <w:rPr>
          <w:rFonts w:asciiTheme="majorHAnsi" w:hAnsiTheme="majorHAnsi" w:cstheme="majorBidi"/>
          <w:color w:val="000000" w:themeColor="text1"/>
        </w:rPr>
        <w:t>, where relevant;</w:t>
      </w:r>
    </w:p>
    <w:p w14:paraId="4259E1AC"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the clinical performance, including clinical benefits, described in the information materials supplied by the manufacturer (including, for example, any claims</w:t>
      </w:r>
      <w:r w:rsidRPr="003015CD">
        <w:rPr>
          <w:rStyle w:val="Appelnotedebasdep"/>
          <w:rFonts w:asciiTheme="majorHAnsi" w:hAnsiTheme="majorHAnsi" w:cstheme="majorBidi"/>
          <w:color w:val="000000" w:themeColor="text1"/>
        </w:rPr>
        <w:footnoteReference w:id="9"/>
      </w:r>
      <w:r w:rsidRPr="003015CD">
        <w:rPr>
          <w:rFonts w:asciiTheme="majorHAnsi" w:hAnsiTheme="majorHAnsi" w:cstheme="majorBidi"/>
          <w:color w:val="000000" w:themeColor="text1"/>
        </w:rPr>
        <w:t xml:space="preserve"> on performance and safety);</w:t>
      </w:r>
    </w:p>
    <w:p w14:paraId="0D335E9A" w14:textId="4D18275C"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safety of the device and measures for risk avoidance and risk mitigation described in the information materials supplied by the manufacturer (including, for example the disclosure of the residual risks, contraindications, precautions, warnings, undesirable side effects, instructions for managing foreseeable unwanted situations);</w:t>
      </w:r>
    </w:p>
    <w:p w14:paraId="06C0E8A1" w14:textId="77777777"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where relevant, the usability of the device for the intended users and the suitability of the information materials supplied by the manufacturer for the intended users (including, if applicable, for lay or disabled persons);</w:t>
      </w:r>
    </w:p>
    <w:p w14:paraId="31A9222F" w14:textId="5CE01BB6" w:rsidR="004171CC" w:rsidRPr="003015CD" w:rsidRDefault="004171CC" w:rsidP="00081885">
      <w:pPr>
        <w:pStyle w:val="List23"/>
        <w:ind w:left="709" w:hanging="284"/>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instructions for target population groups (for example vulnerable populations such as pregnant women, paediatric populations, elderly populations or immunocompromised populations). </w:t>
      </w:r>
    </w:p>
    <w:p w14:paraId="409139AB" w14:textId="77777777" w:rsidR="004171CC" w:rsidRPr="003015CD" w:rsidRDefault="004171CC" w:rsidP="00081885">
      <w:pPr>
        <w:pStyle w:val="Titre2"/>
        <w:autoSpaceDE/>
        <w:autoSpaceDN/>
        <w:adjustRightInd/>
        <w:ind w:left="0" w:firstLine="0"/>
        <w:jc w:val="both"/>
        <w:rPr>
          <w:rFonts w:asciiTheme="majorHAnsi" w:hAnsiTheme="majorHAnsi" w:cstheme="majorHAnsi"/>
          <w:color w:val="000000" w:themeColor="text1"/>
        </w:rPr>
      </w:pPr>
      <w:bookmarkStart w:id="26" w:name="_Toc446499028"/>
      <w:bookmarkStart w:id="27" w:name="_Toc236912870"/>
      <w:bookmarkStart w:id="28" w:name="_Hlk145430741"/>
      <w:bookmarkEnd w:id="24"/>
      <w:r w:rsidRPr="003015CD">
        <w:rPr>
          <w:rFonts w:asciiTheme="majorHAnsi" w:hAnsiTheme="majorHAnsi" w:cstheme="majorHAnsi"/>
          <w:color w:val="000000" w:themeColor="text1"/>
        </w:rPr>
        <w:t>When is clinical evaluation undertaken and why is it important?</w:t>
      </w:r>
      <w:bookmarkEnd w:id="26"/>
      <w:bookmarkEnd w:id="27"/>
    </w:p>
    <w:bookmarkEnd w:id="28"/>
    <w:p w14:paraId="1E5E31BC"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Article 10(3) of MDR requires manufacturers to conduct a clinical evaluation in accordance with Article 61 and Annex XIV, including PMCF.  The clinical evaluation, including PMCF, also needs to be addressed in the manufacturer’s quality management system (QMS) as per Article 10(9)(f) of MDR</w:t>
      </w:r>
      <w:r w:rsidRPr="003015CD">
        <w:rPr>
          <w:rFonts w:asciiTheme="majorHAnsi" w:hAnsiTheme="majorHAnsi" w:cstheme="majorHAnsi"/>
          <w:bCs/>
          <w:color w:val="000000" w:themeColor="text1"/>
          <w:sz w:val="20"/>
        </w:rPr>
        <w:t xml:space="preserve">. </w:t>
      </w:r>
    </w:p>
    <w:p w14:paraId="1EA6C042" w14:textId="61B05D83"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Clinical evaluation is conducted throughout the lifecycle of a medical device, as an ongoing process (see Section 1</w:t>
      </w:r>
      <w:r w:rsidR="00C14858" w:rsidRPr="003015CD">
        <w:rPr>
          <w:rFonts w:asciiTheme="majorHAnsi" w:hAnsiTheme="majorHAnsi" w:cstheme="majorBidi"/>
          <w:color w:val="000000" w:themeColor="text1"/>
        </w:rPr>
        <w:t>4</w:t>
      </w:r>
      <w:r w:rsidRPr="003015CD">
        <w:rPr>
          <w:rFonts w:asciiTheme="majorHAnsi" w:hAnsiTheme="majorHAnsi" w:cstheme="majorBidi"/>
          <w:color w:val="000000" w:themeColor="text1"/>
        </w:rPr>
        <w:t xml:space="preserve"> regarding updating the clinical evaluation). MDR does not specify the exact timing for initiating a clinical evaluation and the timing is ultimately up to the manufacturer. It is most appropriate to start the clinical evaluation as early as possible such as during the development of a medical device in order to identify data that need to be generated for market access. Clinical evaluation is mandatory for initial CE-marking, and it must be actively updated thereafter as new information on the safety and performance of the medical device, </w:t>
      </w:r>
      <w:r w:rsidRPr="003015CD">
        <w:rPr>
          <w:rStyle w:val="ui-provider"/>
          <w:rFonts w:asciiTheme="majorHAnsi" w:hAnsiTheme="majorHAnsi" w:cstheme="majorBidi"/>
          <w:color w:val="000000" w:themeColor="text1"/>
        </w:rPr>
        <w:t>including clinical benefits,</w:t>
      </w:r>
      <w:r w:rsidRPr="003015CD">
        <w:rPr>
          <w:rFonts w:asciiTheme="majorHAnsi" w:hAnsiTheme="majorHAnsi" w:cstheme="majorBidi"/>
          <w:color w:val="000000" w:themeColor="text1"/>
        </w:rPr>
        <w:t xml:space="preserve"> is obtained during its use. </w:t>
      </w:r>
    </w:p>
    <w:p w14:paraId="7E2A57F9" w14:textId="278C77EC"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This information should be fed into the risk management process according to the harmonized standard EN </w:t>
      </w:r>
      <w:proofErr w:type="spellStart"/>
      <w:r w:rsidR="00EB516B" w:rsidRPr="003015CD">
        <w:rPr>
          <w:rFonts w:asciiTheme="majorHAnsi" w:hAnsiTheme="majorHAnsi" w:cstheme="majorBidi"/>
          <w:color w:val="000000" w:themeColor="text1"/>
        </w:rPr>
        <w:t>EN</w:t>
      </w:r>
      <w:proofErr w:type="spellEnd"/>
      <w:r w:rsidR="00EB516B" w:rsidRPr="003015CD">
        <w:rPr>
          <w:rFonts w:asciiTheme="majorHAnsi" w:hAnsiTheme="majorHAnsi" w:cstheme="majorBidi"/>
          <w:color w:val="000000" w:themeColor="text1"/>
        </w:rPr>
        <w:t xml:space="preserve"> ISO 14971:2019/A11:2021 </w:t>
      </w:r>
      <w:r w:rsidRPr="003015CD">
        <w:rPr>
          <w:rFonts w:asciiTheme="majorHAnsi" w:hAnsiTheme="majorHAnsi" w:cstheme="majorBidi"/>
          <w:color w:val="000000" w:themeColor="text1"/>
        </w:rPr>
        <w:t>and may result in changes to the manufacturer's risk assessment, CEP, clinical development plan, IFU and PMS activities.</w:t>
      </w:r>
    </w:p>
    <w:p w14:paraId="397DEDE8" w14:textId="67A00EC2"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Clinical evaluation is necessary and important because it ensures that the confirmation of safety and performance of the device is based on sufficient clinical evidence throughout its lifetime. </w:t>
      </w:r>
      <w:r w:rsidRPr="003015CD">
        <w:rPr>
          <w:rFonts w:asciiTheme="majorHAnsi" w:hAnsiTheme="majorHAnsi" w:cstheme="majorBidi"/>
          <w:color w:val="000000" w:themeColor="text1"/>
          <w:lang w:eastAsia="de-CH"/>
        </w:rPr>
        <w:t xml:space="preserve">This ongoing process enables manufacturers to provide </w:t>
      </w:r>
      <w:r w:rsidRPr="003015CD">
        <w:rPr>
          <w:rFonts w:asciiTheme="majorHAnsi" w:hAnsiTheme="majorHAnsi" w:cstheme="majorBidi"/>
          <w:color w:val="000000" w:themeColor="text1"/>
        </w:rPr>
        <w:t>notified bodies and competent authorities with sufficient clinical evidence for demonstration of conformity of the device with the GSPR</w:t>
      </w:r>
      <w:r w:rsidR="002122C0"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throughout its lifetime (for example for CE marking, fulfilment of post-market surveillance and reporting requirements, or during surveillance procedures).</w:t>
      </w:r>
    </w:p>
    <w:p w14:paraId="2F1CC043" w14:textId="77777777" w:rsidR="004171CC" w:rsidRPr="003015CD" w:rsidRDefault="004171CC" w:rsidP="00081885">
      <w:pPr>
        <w:jc w:val="both"/>
        <w:rPr>
          <w:rFonts w:asciiTheme="majorHAnsi" w:hAnsiTheme="majorHAnsi" w:cstheme="majorHAnsi"/>
          <w:color w:val="000000" w:themeColor="text1"/>
        </w:rPr>
      </w:pPr>
    </w:p>
    <w:p w14:paraId="7D08A227" w14:textId="033DB0E1" w:rsidR="004171CC" w:rsidRPr="003015CD" w:rsidRDefault="004171CC" w:rsidP="2D4ECF1A">
      <w:pPr>
        <w:pStyle w:val="Titre3"/>
        <w:autoSpaceDE/>
        <w:autoSpaceDN/>
        <w:adjustRightInd/>
        <w:ind w:left="567"/>
        <w:jc w:val="both"/>
        <w:rPr>
          <w:rFonts w:asciiTheme="majorHAnsi" w:hAnsiTheme="majorHAnsi" w:cstheme="majorBidi"/>
          <w:color w:val="000000" w:themeColor="text1"/>
        </w:rPr>
      </w:pPr>
      <w:bookmarkStart w:id="29" w:name="_Toc446499029"/>
      <w:bookmarkStart w:id="30" w:name="_Toc236912871"/>
      <w:r w:rsidRPr="003015CD">
        <w:rPr>
          <w:rFonts w:asciiTheme="majorHAnsi" w:hAnsiTheme="majorHAnsi" w:cstheme="majorBidi"/>
          <w:color w:val="000000" w:themeColor="text1"/>
        </w:rPr>
        <w:t xml:space="preserve">Clinical evaluation undertaken during the </w:t>
      </w:r>
      <w:r w:rsidR="004A1054" w:rsidRPr="003015CD">
        <w:rPr>
          <w:rFonts w:asciiTheme="majorHAnsi" w:hAnsiTheme="majorHAnsi" w:cstheme="majorBidi"/>
          <w:color w:val="000000" w:themeColor="text1"/>
        </w:rPr>
        <w:t>development of</w:t>
      </w:r>
      <w:r w:rsidRPr="003015CD">
        <w:rPr>
          <w:rFonts w:asciiTheme="majorHAnsi" w:hAnsiTheme="majorHAnsi" w:cstheme="majorBidi"/>
          <w:color w:val="000000" w:themeColor="text1"/>
        </w:rPr>
        <w:t xml:space="preserve"> a medical device</w:t>
      </w:r>
      <w:bookmarkEnd w:id="29"/>
      <w:bookmarkEnd w:id="30"/>
    </w:p>
    <w:p w14:paraId="4F41ADE0" w14:textId="75DD9A9D"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Clinical evaluation is particularly relevant during the design phase to identify all relevant aspects of the device that may require clinical data. </w:t>
      </w:r>
    </w:p>
    <w:p w14:paraId="25B84005"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Premarket research and development are guided by clinical evaluation and risk management. Typically, manufacturers carry out clinical evaluations to:</w:t>
      </w:r>
    </w:p>
    <w:p w14:paraId="287CCAE5" w14:textId="0F33F1C7" w:rsidR="004171CC" w:rsidRPr="003015CD" w:rsidRDefault="004171CC" w:rsidP="00081885">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define needs regarding</w:t>
      </w:r>
      <w:r w:rsidRPr="003015CD">
        <w:rPr>
          <w:rFonts w:asciiTheme="majorHAnsi" w:hAnsiTheme="majorHAnsi" w:cstheme="majorBidi"/>
          <w:strike/>
          <w:color w:val="000000" w:themeColor="text1"/>
        </w:rPr>
        <w:t xml:space="preserve"> </w:t>
      </w:r>
      <w:r w:rsidRPr="003015CD">
        <w:rPr>
          <w:rFonts w:asciiTheme="majorHAnsi" w:hAnsiTheme="majorHAnsi" w:cstheme="majorBidi"/>
          <w:color w:val="000000" w:themeColor="text1"/>
        </w:rPr>
        <w:t>clinical safety and clinical performance (including requirements for demonstration of clinical benefit of the device;</w:t>
      </w:r>
    </w:p>
    <w:p w14:paraId="56808D2E" w14:textId="38FF3203" w:rsidR="004171CC" w:rsidRPr="003015CD" w:rsidRDefault="004171CC" w:rsidP="2D4ECF1A">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in case of possible equivalence to an existing device, establish equivalence between the device and claimed </w:t>
      </w:r>
      <w:r w:rsidRPr="003015CD" w:rsidDel="00927023">
        <w:rPr>
          <w:rFonts w:asciiTheme="majorHAnsi" w:hAnsiTheme="majorHAnsi" w:cstheme="majorBidi"/>
          <w:color w:val="000000" w:themeColor="text1"/>
        </w:rPr>
        <w:t xml:space="preserve">equivalent </w:t>
      </w:r>
      <w:r w:rsidR="00C17847" w:rsidRPr="003015CD">
        <w:rPr>
          <w:rFonts w:asciiTheme="majorHAnsi" w:hAnsiTheme="majorHAnsi" w:cstheme="majorBidi"/>
          <w:color w:val="000000" w:themeColor="text1"/>
        </w:rPr>
        <w:t>devices and</w:t>
      </w:r>
      <w:r w:rsidRPr="003015CD">
        <w:rPr>
          <w:rFonts w:asciiTheme="majorHAnsi" w:hAnsiTheme="majorHAnsi" w:cstheme="majorBidi"/>
          <w:color w:val="000000" w:themeColor="text1"/>
        </w:rPr>
        <w:t xml:space="preserve"> evaluate clinical data available for the claimed equivalent devices</w:t>
      </w:r>
      <w:r w:rsidRPr="003015CD">
        <w:rPr>
          <w:rStyle w:val="Appelnotedebasdep"/>
          <w:rFonts w:asciiTheme="majorHAnsi" w:hAnsiTheme="majorHAnsi" w:cstheme="majorBidi"/>
          <w:color w:val="000000" w:themeColor="text1"/>
        </w:rPr>
        <w:footnoteReference w:id="10"/>
      </w:r>
      <w:r w:rsidRPr="003015CD">
        <w:rPr>
          <w:rFonts w:asciiTheme="majorHAnsi" w:hAnsiTheme="majorHAnsi" w:cstheme="majorBidi"/>
          <w:color w:val="000000" w:themeColor="text1"/>
        </w:rPr>
        <w:t xml:space="preserve">;  </w:t>
      </w:r>
    </w:p>
    <w:p w14:paraId="1CB4FD52" w14:textId="01A600BA" w:rsidR="004171CC" w:rsidRPr="003015CD" w:rsidRDefault="004171CC" w:rsidP="2D4ECF1A">
      <w:pPr>
        <w:pStyle w:val="Sansinterligne"/>
        <w:autoSpaceDE/>
        <w:autoSpaceDN/>
        <w:adjustRightInd/>
        <w:jc w:val="both"/>
        <w:rPr>
          <w:rFonts w:asciiTheme="majorHAnsi" w:hAnsiTheme="majorHAnsi" w:cstheme="majorBidi"/>
          <w:color w:val="000000" w:themeColor="text1"/>
        </w:rPr>
      </w:pPr>
      <w:r w:rsidRPr="003015CD" w:rsidDel="00FD19C5">
        <w:rPr>
          <w:rFonts w:asciiTheme="majorHAnsi" w:hAnsiTheme="majorHAnsi" w:cstheme="majorBidi"/>
          <w:color w:val="000000" w:themeColor="text1"/>
        </w:rPr>
        <w:t>carry out a gap analysis</w:t>
      </w:r>
      <w:r w:rsidRPr="003015CD">
        <w:rPr>
          <w:rFonts w:asciiTheme="majorHAnsi" w:hAnsiTheme="majorHAnsi" w:cstheme="majorBidi"/>
          <w:color w:val="000000" w:themeColor="text1"/>
        </w:rPr>
        <w:t xml:space="preserve"> taking SOTA into consideration, define which data still need to be generated for the device under evaluation, and  plan the  clinical development, which includes, when necessary, clinical investigations and their study design (for additional information, see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_Ref163813563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10</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_Ref164263177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11</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and Appendix</w:t>
      </w:r>
      <w:r w:rsidR="000573E3" w:rsidRPr="003015CD">
        <w:rPr>
          <w:rFonts w:asciiTheme="majorHAnsi" w:hAnsiTheme="majorHAnsi" w:cstheme="majorBidi"/>
          <w:color w:val="000000" w:themeColor="text1"/>
        </w:rPr>
        <w:t xml:space="preserve"> A1</w:t>
      </w:r>
      <w:r w:rsidR="007B20FB" w:rsidRPr="003015CD">
        <w:rPr>
          <w:rFonts w:asciiTheme="majorHAnsi" w:hAnsiTheme="majorHAnsi" w:cstheme="majorBidi"/>
          <w:color w:val="000000" w:themeColor="text1"/>
        </w:rPr>
        <w:t>0</w:t>
      </w:r>
      <w:r w:rsidRPr="003015CD">
        <w:rPr>
          <w:rFonts w:asciiTheme="majorHAnsi" w:hAnsiTheme="majorHAnsi" w:cstheme="majorBidi"/>
          <w:color w:val="000000" w:themeColor="text1"/>
        </w:rPr>
        <w:t>).</w:t>
      </w:r>
      <w:r w:rsidRPr="003015CD">
        <w:rPr>
          <w:rFonts w:asciiTheme="majorHAnsi" w:hAnsiTheme="majorHAnsi" w:cstheme="majorBidi"/>
          <w:color w:val="000000" w:themeColor="text1"/>
          <w:u w:val="double"/>
        </w:rPr>
        <w:t xml:space="preserve"> </w:t>
      </w:r>
    </w:p>
    <w:p w14:paraId="666703EF" w14:textId="332430EF" w:rsidR="004171CC" w:rsidRPr="003015CD" w:rsidRDefault="004171CC" w:rsidP="00081885">
      <w:pPr>
        <w:jc w:val="both"/>
        <w:rPr>
          <w:rFonts w:asciiTheme="majorHAnsi" w:hAnsiTheme="majorHAnsi" w:cstheme="majorHAnsi"/>
          <w:color w:val="000000" w:themeColor="text1"/>
        </w:rPr>
      </w:pPr>
      <w:r w:rsidRPr="003015CD">
        <w:rPr>
          <w:rFonts w:ascii="Segoe UI" w:hAnsi="Segoe UI" w:cs="Segoe UI"/>
          <w:szCs w:val="18"/>
        </w:rPr>
        <w:t>The initial clinical evaluation is important to determine if premarket clinical investigation(s) are required.</w:t>
      </w:r>
      <w:r w:rsidRPr="003015CD" w:rsidDel="009B6172">
        <w:rPr>
          <w:rFonts w:asciiTheme="majorHAnsi" w:hAnsiTheme="majorHAnsi" w:cstheme="majorBidi"/>
          <w:color w:val="000000" w:themeColor="text1"/>
        </w:rPr>
        <w:t xml:space="preserve"> </w:t>
      </w:r>
      <w:r w:rsidRPr="003015CD">
        <w:rPr>
          <w:rFonts w:asciiTheme="majorHAnsi" w:hAnsiTheme="majorHAnsi" w:cstheme="majorBidi"/>
          <w:color w:val="000000" w:themeColor="text1"/>
        </w:rPr>
        <w:t xml:space="preserve">The justification for </w:t>
      </w:r>
      <w:r w:rsidRPr="003015CD">
        <w:rPr>
          <w:rFonts w:asciiTheme="majorHAnsi" w:hAnsiTheme="majorHAnsi" w:cstheme="majorBidi"/>
        </w:rPr>
        <w:t>the design of a clinic</w:t>
      </w:r>
      <w:r w:rsidRPr="003015CD">
        <w:rPr>
          <w:rFonts w:asciiTheme="majorHAnsi" w:hAnsiTheme="majorHAnsi" w:cstheme="majorBidi"/>
          <w:color w:val="000000" w:themeColor="text1"/>
        </w:rPr>
        <w:t>al investigation should be based on the results of the clinical evaluation, making it an important pre-cursor to the clinical investigation during the development phase</w:t>
      </w:r>
      <w:r w:rsidRPr="003015CD">
        <w:rPr>
          <w:rStyle w:val="Appelnotedebasdep"/>
          <w:rFonts w:asciiTheme="majorHAnsi" w:hAnsiTheme="majorHAnsi" w:cstheme="majorBidi"/>
          <w:color w:val="000000" w:themeColor="text1"/>
        </w:rPr>
        <w:footnoteReference w:id="11"/>
      </w:r>
      <w:r w:rsidRPr="003015CD">
        <w:rPr>
          <w:rFonts w:asciiTheme="majorHAnsi" w:hAnsiTheme="majorHAnsi" w:cstheme="majorBidi"/>
          <w:color w:val="000000" w:themeColor="text1"/>
        </w:rPr>
        <w:t xml:space="preserve">. </w:t>
      </w:r>
    </w:p>
    <w:p w14:paraId="6A4758F7" w14:textId="77777777" w:rsidR="004171CC" w:rsidRPr="003015CD" w:rsidRDefault="004171CC" w:rsidP="00081885">
      <w:pPr>
        <w:pStyle w:val="Titre3"/>
        <w:autoSpaceDE/>
        <w:autoSpaceDN/>
        <w:adjustRightInd/>
        <w:ind w:left="567"/>
        <w:jc w:val="both"/>
        <w:rPr>
          <w:rFonts w:asciiTheme="majorHAnsi" w:hAnsiTheme="majorHAnsi" w:cstheme="majorBidi"/>
          <w:color w:val="000000" w:themeColor="text1"/>
        </w:rPr>
      </w:pPr>
      <w:bookmarkStart w:id="31" w:name="_Toc446499030"/>
      <w:bookmarkStart w:id="32" w:name="_Toc236912872"/>
      <w:r w:rsidRPr="003015CD">
        <w:rPr>
          <w:rFonts w:asciiTheme="majorHAnsi" w:hAnsiTheme="majorHAnsi" w:cstheme="majorBidi"/>
          <w:color w:val="000000" w:themeColor="text1"/>
        </w:rPr>
        <w:t>Clinical evaluation for initial CE-marking</w:t>
      </w:r>
      <w:bookmarkEnd w:id="31"/>
      <w:bookmarkEnd w:id="32"/>
    </w:p>
    <w:p w14:paraId="4E2CEB39" w14:textId="20650174"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Clinical evaluation is required for the conformity assessment process leading to signing the declaration of conformity, the CE-marking and placing on the market of a medical device. The purpose is to:</w:t>
      </w:r>
    </w:p>
    <w:p w14:paraId="2C48CE56" w14:textId="3D97C0A9" w:rsidR="004171CC" w:rsidRPr="003015CD" w:rsidRDefault="004171CC" w:rsidP="2D4ECF1A">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document that there is sufficient clinical evidence to demonstrate conformity with applicable GSPR</w:t>
      </w:r>
      <w:r w:rsidR="008732AA"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set out in Annex I under the normal conditions of the intended use of the device (see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_Ref233808002 \r \h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4511" w:rsidRPr="003015CD">
        <w:rPr>
          <w:rFonts w:asciiTheme="majorHAnsi" w:hAnsiTheme="majorHAnsi" w:cstheme="majorBidi"/>
          <w:color w:val="000000" w:themeColor="text1"/>
        </w:rPr>
        <w:t>A9</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w:t>
      </w:r>
    </w:p>
    <w:p w14:paraId="002090EA" w14:textId="2C1362D9" w:rsidR="004171CC" w:rsidRPr="003015CD" w:rsidRDefault="004171CC" w:rsidP="2D4ECF1A">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identify aspects that need to be addressed systematically during post-market surveillance (PMS), e.g. in PMCF activities required under MDR (see section 1</w:t>
      </w:r>
      <w:r w:rsidR="00B62D7A" w:rsidRPr="003015CD">
        <w:rPr>
          <w:rFonts w:asciiTheme="majorHAnsi" w:hAnsiTheme="majorHAnsi" w:cstheme="majorBidi"/>
          <w:color w:val="000000" w:themeColor="text1"/>
        </w:rPr>
        <w:t>4</w:t>
      </w:r>
      <w:r w:rsidRPr="003015CD">
        <w:rPr>
          <w:rFonts w:asciiTheme="majorHAnsi" w:hAnsiTheme="majorHAnsi" w:cstheme="majorBidi"/>
          <w:color w:val="000000" w:themeColor="text1"/>
        </w:rPr>
        <w:t xml:space="preserve">). </w:t>
      </w:r>
    </w:p>
    <w:p w14:paraId="7C64020C" w14:textId="77777777" w:rsidR="004171CC" w:rsidRPr="003015CD" w:rsidRDefault="004171CC" w:rsidP="00081885">
      <w:pPr>
        <w:pStyle w:val="Sansinterligne"/>
        <w:numPr>
          <w:ilvl w:val="0"/>
          <w:numId w:val="0"/>
        </w:numPr>
        <w:ind w:left="720"/>
        <w:jc w:val="both"/>
        <w:rPr>
          <w:rFonts w:asciiTheme="majorHAnsi" w:hAnsiTheme="majorHAnsi" w:cstheme="majorHAnsi"/>
          <w:color w:val="000000" w:themeColor="text1"/>
        </w:rPr>
      </w:pPr>
    </w:p>
    <w:p w14:paraId="23AF8A89" w14:textId="3C5D40FE" w:rsidR="004171CC" w:rsidRPr="003015CD" w:rsidRDefault="004171CC" w:rsidP="00081885">
      <w:pPr>
        <w:pStyle w:val="Titre3"/>
        <w:autoSpaceDE/>
        <w:autoSpaceDN/>
        <w:adjustRightInd/>
        <w:ind w:left="567"/>
        <w:jc w:val="both"/>
        <w:rPr>
          <w:rFonts w:asciiTheme="majorHAnsi" w:hAnsiTheme="majorHAnsi" w:cstheme="majorHAnsi"/>
          <w:color w:val="000000" w:themeColor="text1"/>
        </w:rPr>
      </w:pPr>
      <w:bookmarkStart w:id="33" w:name="_Toc446499031"/>
      <w:bookmarkStart w:id="34" w:name="_Toc236912873"/>
      <w:r w:rsidRPr="003015CD">
        <w:rPr>
          <w:rFonts w:asciiTheme="majorHAnsi" w:hAnsiTheme="majorHAnsi" w:cstheme="majorHAnsi"/>
          <w:color w:val="000000" w:themeColor="text1"/>
        </w:rPr>
        <w:t xml:space="preserve">Clinical </w:t>
      </w:r>
      <w:bookmarkEnd w:id="33"/>
      <w:r w:rsidRPr="003015CD">
        <w:rPr>
          <w:rFonts w:asciiTheme="majorHAnsi" w:hAnsiTheme="majorHAnsi" w:cstheme="majorHAnsi"/>
          <w:color w:val="000000" w:themeColor="text1"/>
        </w:rPr>
        <w:t>evaluation of devices bearing a CE mark</w:t>
      </w:r>
      <w:bookmarkEnd w:id="34"/>
      <w:r w:rsidRPr="003015CD">
        <w:rPr>
          <w:rFonts w:asciiTheme="majorHAnsi" w:hAnsiTheme="majorHAnsi" w:cstheme="majorHAnsi"/>
          <w:color w:val="000000" w:themeColor="text1"/>
        </w:rPr>
        <w:t xml:space="preserve"> </w:t>
      </w:r>
    </w:p>
    <w:p w14:paraId="20627B85" w14:textId="7FE94980"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clinical evaluation is a continuous process that needs to be </w:t>
      </w:r>
      <w:r w:rsidRPr="003015CD" w:rsidDel="00212DC3">
        <w:rPr>
          <w:rFonts w:asciiTheme="majorHAnsi" w:hAnsiTheme="majorHAnsi" w:cstheme="majorBidi"/>
          <w:color w:val="000000" w:themeColor="text1"/>
        </w:rPr>
        <w:t>updated</w:t>
      </w:r>
      <w:r w:rsidRPr="003015CD">
        <w:rPr>
          <w:rFonts w:asciiTheme="majorHAnsi" w:hAnsiTheme="majorHAnsi" w:cstheme="majorBidi"/>
          <w:color w:val="000000" w:themeColor="text1"/>
        </w:rPr>
        <w:t xml:space="preserve"> throughout the device lifecycle with clinical data obtained from the implementation of the manufacturer's post-market surveillance plan, including a PMCF plan</w:t>
      </w:r>
      <w:r w:rsidRPr="003015CD">
        <w:rPr>
          <w:rStyle w:val="Appelnotedebasdep"/>
          <w:rFonts w:asciiTheme="majorHAnsi" w:hAnsiTheme="majorHAnsi" w:cstheme="majorBidi"/>
          <w:color w:val="000000" w:themeColor="text1"/>
        </w:rPr>
        <w:footnoteReference w:id="12"/>
      </w:r>
      <w:r w:rsidRPr="003015CD">
        <w:rPr>
          <w:rFonts w:asciiTheme="majorHAnsi" w:hAnsiTheme="majorHAnsi" w:cstheme="majorBidi"/>
          <w:color w:val="000000" w:themeColor="text1"/>
        </w:rPr>
        <w:t xml:space="preserve"> (see Section 1</w:t>
      </w:r>
      <w:r w:rsidR="00B62D7A" w:rsidRPr="003015CD">
        <w:rPr>
          <w:rFonts w:asciiTheme="majorHAnsi" w:hAnsiTheme="majorHAnsi" w:cstheme="majorBidi"/>
          <w:color w:val="000000" w:themeColor="text1"/>
        </w:rPr>
        <w:t>4</w:t>
      </w:r>
      <w:r w:rsidRPr="003015CD">
        <w:rPr>
          <w:rFonts w:asciiTheme="majorHAnsi" w:hAnsiTheme="majorHAnsi" w:cstheme="majorBidi"/>
          <w:color w:val="000000" w:themeColor="text1"/>
        </w:rPr>
        <w:t xml:space="preserve">). </w:t>
      </w:r>
    </w:p>
    <w:p w14:paraId="7D29574F" w14:textId="77777777" w:rsidR="004171CC" w:rsidRPr="003015CD" w:rsidRDefault="004171CC" w:rsidP="00081885">
      <w:pPr>
        <w:jc w:val="both"/>
        <w:rPr>
          <w:rFonts w:asciiTheme="majorHAnsi" w:hAnsiTheme="majorHAnsi" w:cstheme="majorHAnsi"/>
          <w:color w:val="000000" w:themeColor="text1"/>
        </w:rPr>
      </w:pPr>
    </w:p>
    <w:p w14:paraId="3607622B" w14:textId="77777777" w:rsidR="004171CC" w:rsidRPr="003015CD" w:rsidRDefault="004171CC" w:rsidP="00081885">
      <w:pPr>
        <w:pStyle w:val="Titre2"/>
        <w:autoSpaceDE/>
        <w:autoSpaceDN/>
        <w:adjustRightInd/>
        <w:ind w:left="0" w:firstLine="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bookmarkStart w:id="35" w:name="_Toc446499032"/>
      <w:bookmarkStart w:id="36" w:name="_Ref164526404"/>
      <w:bookmarkStart w:id="37" w:name="_Toc236912874"/>
      <w:r w:rsidRPr="003015CD">
        <w:rPr>
          <w:rFonts w:asciiTheme="majorHAnsi" w:hAnsiTheme="majorHAnsi" w:cstheme="majorHAnsi"/>
          <w:color w:val="000000" w:themeColor="text1"/>
        </w:rPr>
        <w:t>How is a clinical evaluation performed?</w:t>
      </w:r>
      <w:bookmarkEnd w:id="35"/>
      <w:bookmarkEnd w:id="36"/>
      <w:bookmarkEnd w:id="37"/>
    </w:p>
    <w:p w14:paraId="08D8D267" w14:textId="77777777" w:rsidR="00864DC5" w:rsidRPr="003015CD" w:rsidRDefault="00864DC5" w:rsidP="00081885">
      <w:pPr>
        <w:tabs>
          <w:tab w:val="left" w:pos="426"/>
        </w:tabs>
        <w:jc w:val="both"/>
        <w:rPr>
          <w:rFonts w:asciiTheme="majorHAnsi" w:hAnsiTheme="majorHAnsi" w:cstheme="majorHAnsi"/>
          <w:color w:val="000000" w:themeColor="text1"/>
        </w:rPr>
      </w:pPr>
      <w:bookmarkStart w:id="38" w:name="_Ref433562200"/>
      <w:bookmarkStart w:id="39" w:name="_Toc446499033"/>
      <w:bookmarkStart w:id="40" w:name="_Ref170141061"/>
      <w:r w:rsidRPr="003015CD">
        <w:rPr>
          <w:rFonts w:asciiTheme="majorHAnsi" w:hAnsiTheme="majorHAnsi" w:cstheme="majorHAnsi"/>
          <w:color w:val="000000" w:themeColor="text1"/>
        </w:rPr>
        <w:t>A clinical evaluation should be systematic, objective, reasoned. It should identify, appraise and analyse both favourable and unfavourable data.</w:t>
      </w:r>
    </w:p>
    <w:p w14:paraId="010C72D1" w14:textId="07FE0C80" w:rsidR="00864DC5" w:rsidRPr="003015CD" w:rsidRDefault="00864DC5" w:rsidP="2D4ECF1A">
      <w:pPr>
        <w:spacing w:before="0" w:after="0"/>
        <w:jc w:val="both"/>
        <w:rPr>
          <w:rFonts w:asciiTheme="majorHAnsi" w:hAnsiTheme="majorHAnsi" w:cstheme="majorBidi"/>
          <w:color w:val="000000" w:themeColor="text1"/>
          <w:sz w:val="20"/>
          <w:lang w:eastAsia="it-IT"/>
        </w:rPr>
      </w:pPr>
      <w:r w:rsidRPr="003015CD">
        <w:rPr>
          <w:rFonts w:asciiTheme="majorHAnsi" w:hAnsiTheme="majorHAnsi" w:cstheme="majorBidi"/>
          <w:color w:val="000000" w:themeColor="text1"/>
          <w:lang w:eastAsia="it-IT"/>
        </w:rPr>
        <w:t>Clinical evaluation is typically based on clinical data pertaining to the device under evaluation.  MDR also provides a possibility to draw on the clinical experience regarding the safety and performance of an equivalent device to establish the clinical evidence</w:t>
      </w:r>
      <w:r w:rsidRPr="003015CD">
        <w:rPr>
          <w:rFonts w:asciiTheme="majorHAnsi" w:hAnsiTheme="majorHAnsi" w:cstheme="majorBidi"/>
          <w:color w:val="000000" w:themeColor="text1"/>
          <w:vertAlign w:val="superscript"/>
          <w:lang w:eastAsia="it-IT"/>
        </w:rPr>
        <w:footnoteReference w:id="13"/>
      </w:r>
      <w:r w:rsidRPr="003015CD">
        <w:rPr>
          <w:rFonts w:asciiTheme="majorHAnsi" w:hAnsiTheme="majorHAnsi" w:cstheme="majorBidi"/>
          <w:color w:val="000000" w:themeColor="text1"/>
          <w:lang w:eastAsia="it-IT"/>
        </w:rPr>
        <w:t xml:space="preserve">. Equivalence shall be demonstrated according to </w:t>
      </w:r>
      <w:r w:rsidRPr="003015CD" w:rsidDel="008950A2">
        <w:rPr>
          <w:rFonts w:asciiTheme="majorHAnsi" w:hAnsiTheme="majorHAnsi" w:cstheme="majorBidi"/>
          <w:color w:val="000000" w:themeColor="text1"/>
          <w:lang w:eastAsia="it-IT"/>
        </w:rPr>
        <w:t>MDR requirements</w:t>
      </w:r>
      <w:r w:rsidRPr="003015CD">
        <w:rPr>
          <w:rFonts w:asciiTheme="majorHAnsi" w:hAnsiTheme="majorHAnsi" w:cstheme="majorBidi"/>
          <w:color w:val="000000" w:themeColor="text1"/>
          <w:vertAlign w:val="superscript"/>
          <w:lang w:eastAsia="it-IT"/>
        </w:rPr>
        <w:footnoteReference w:id="14"/>
      </w:r>
      <w:r w:rsidRPr="003015CD">
        <w:rPr>
          <w:rFonts w:asciiTheme="majorHAnsi" w:hAnsiTheme="majorHAnsi" w:cstheme="majorBidi"/>
          <w:color w:val="000000" w:themeColor="text1"/>
          <w:lang w:eastAsia="it-IT"/>
        </w:rPr>
        <w:t xml:space="preserve">. </w:t>
      </w:r>
    </w:p>
    <w:p w14:paraId="559D74A5" w14:textId="49151C50" w:rsidR="00864DC5" w:rsidRPr="003015CD" w:rsidRDefault="00864DC5"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MDR defines the </w:t>
      </w:r>
      <w:r w:rsidR="00C17847" w:rsidRPr="003015CD" w:rsidDel="00C17847">
        <w:rPr>
          <w:rFonts w:asciiTheme="majorHAnsi" w:hAnsiTheme="majorHAnsi" w:cstheme="majorBidi"/>
          <w:color w:val="000000" w:themeColor="text1"/>
        </w:rPr>
        <w:t>discrete activities</w:t>
      </w:r>
      <w:r w:rsidRPr="003015CD">
        <w:rPr>
          <w:rFonts w:asciiTheme="majorHAnsi" w:hAnsiTheme="majorHAnsi" w:cstheme="majorBidi"/>
          <w:color w:val="000000" w:themeColor="text1"/>
        </w:rPr>
        <w:t xml:space="preserve"> in performing a clinical evaluation</w:t>
      </w:r>
      <w:r w:rsidRPr="003015CD">
        <w:rPr>
          <w:rFonts w:asciiTheme="majorHAnsi" w:hAnsiTheme="majorHAnsi" w:cstheme="majorBidi"/>
          <w:color w:val="000000" w:themeColor="text1"/>
          <w:vertAlign w:val="superscript"/>
        </w:rPr>
        <w:footnoteReference w:id="15"/>
      </w:r>
      <w:r w:rsidR="00D80E52"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(referred to</w:t>
      </w:r>
      <w:r w:rsidR="00D80E52"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as stages</w:t>
      </w:r>
      <w:r w:rsidRPr="003015CD">
        <w:rPr>
          <w:rFonts w:asciiTheme="majorHAnsi" w:hAnsiTheme="majorHAnsi" w:cstheme="majorBidi"/>
          <w:color w:val="000000" w:themeColor="text1"/>
          <w:vertAlign w:val="superscript"/>
        </w:rPr>
        <w:footnoteReference w:id="16"/>
      </w:r>
      <w:r w:rsidRPr="003015CD">
        <w:rPr>
          <w:rFonts w:asciiTheme="majorHAnsi" w:hAnsiTheme="majorHAnsi" w:cstheme="majorBidi"/>
          <w:color w:val="000000" w:themeColor="text1"/>
        </w:rPr>
        <w:t xml:space="preserve"> in this guidance):</w:t>
      </w:r>
    </w:p>
    <w:p w14:paraId="1490CB0B" w14:textId="7DBE5F26" w:rsidR="00864DC5" w:rsidRPr="003015CD" w:rsidRDefault="00864DC5" w:rsidP="2D4ECF1A">
      <w:pPr>
        <w:numPr>
          <w:ilvl w:val="0"/>
          <w:numId w:val="22"/>
        </w:numPr>
        <w:ind w:left="709" w:hanging="425"/>
        <w:jc w:val="both"/>
        <w:rPr>
          <w:rFonts w:asciiTheme="majorHAnsi" w:hAnsiTheme="majorHAnsi" w:cstheme="majorBidi"/>
          <w:color w:val="000000" w:themeColor="text1"/>
        </w:rPr>
      </w:pPr>
      <w:r w:rsidRPr="003015CD">
        <w:rPr>
          <w:rFonts w:asciiTheme="majorHAnsi" w:hAnsiTheme="majorHAnsi" w:cstheme="majorBidi"/>
          <w:b/>
          <w:bCs/>
          <w:color w:val="000000" w:themeColor="text1"/>
        </w:rPr>
        <w:t>Stage 0:</w:t>
      </w:r>
      <w:r w:rsidRPr="003015CD">
        <w:rPr>
          <w:rFonts w:asciiTheme="majorHAnsi" w:hAnsiTheme="majorHAnsi" w:cstheme="majorHAnsi"/>
          <w:b/>
          <w:color w:val="000000" w:themeColor="text1"/>
        </w:rPr>
        <w:tab/>
      </w:r>
      <w:r w:rsidRPr="003015CD">
        <w:rPr>
          <w:rFonts w:asciiTheme="majorHAnsi" w:hAnsiTheme="majorHAnsi" w:cstheme="majorBidi"/>
          <w:color w:val="000000" w:themeColor="text1"/>
        </w:rPr>
        <w:t xml:space="preserve">Taking into consideration the </w:t>
      </w:r>
      <w:r w:rsidR="00D80E52" w:rsidRPr="003015CD" w:rsidDel="00D80E52">
        <w:rPr>
          <w:rFonts w:asciiTheme="majorHAnsi" w:hAnsiTheme="majorHAnsi" w:cstheme="majorBidi"/>
          <w:color w:val="000000" w:themeColor="text1"/>
        </w:rPr>
        <w:t xml:space="preserve">SOTA, </w:t>
      </w:r>
      <w:r w:rsidR="00D80E52" w:rsidRPr="003015CD">
        <w:rPr>
          <w:rFonts w:asciiTheme="majorHAnsi" w:hAnsiTheme="majorHAnsi" w:cstheme="majorBidi"/>
          <w:color w:val="000000" w:themeColor="text1"/>
        </w:rPr>
        <w:t>establish</w:t>
      </w:r>
      <w:r w:rsidRPr="003015CD">
        <w:rPr>
          <w:rFonts w:asciiTheme="majorHAnsi" w:hAnsiTheme="majorHAnsi" w:cstheme="majorBidi"/>
          <w:color w:val="000000" w:themeColor="text1"/>
        </w:rPr>
        <w:t xml:space="preserve"> a CEP including a clinical development plan</w:t>
      </w:r>
      <w:r w:rsidRPr="003015CD">
        <w:rPr>
          <w:rFonts w:asciiTheme="majorHAnsi" w:hAnsiTheme="majorHAnsi" w:cstheme="majorBidi"/>
          <w:color w:val="000000" w:themeColor="text1"/>
          <w:vertAlign w:val="superscript"/>
        </w:rPr>
        <w:t xml:space="preserve"> </w:t>
      </w:r>
      <w:r w:rsidRPr="003015CD">
        <w:rPr>
          <w:rFonts w:asciiTheme="majorHAnsi" w:hAnsiTheme="majorHAnsi" w:cstheme="majorBidi"/>
          <w:color w:val="000000" w:themeColor="text1"/>
        </w:rPr>
        <w:t xml:space="preserve">(see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_Ref164263127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7</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and A</w:t>
      </w:r>
      <w:r w:rsidRPr="003015CD">
        <w:rPr>
          <w:rFonts w:asciiTheme="majorHAnsi" w:hAnsiTheme="majorHAnsi" w:cstheme="majorBidi"/>
          <w:color w:val="000000" w:themeColor="text1"/>
          <w:lang w:eastAsia="de-CH"/>
        </w:rPr>
        <w:t xml:space="preserve">ppendices A1, </w:t>
      </w:r>
      <w:r w:rsidRPr="003015CD">
        <w:rPr>
          <w:rFonts w:asciiTheme="majorHAnsi" w:hAnsiTheme="majorHAnsi" w:cstheme="majorBidi"/>
          <w:color w:val="000000" w:themeColor="text1"/>
          <w:lang w:eastAsia="de-CH"/>
        </w:rPr>
        <w:fldChar w:fldCharType="begin"/>
      </w:r>
      <w:r w:rsidRPr="003015CD">
        <w:rPr>
          <w:rFonts w:asciiTheme="majorHAnsi" w:hAnsiTheme="majorHAnsi" w:cstheme="majorBidi"/>
          <w:color w:val="000000" w:themeColor="text1"/>
          <w:lang w:eastAsia="de-CH"/>
        </w:rPr>
        <w:instrText xml:space="preserve"> REF _Ref164529750 \r \h  \* MERGEFORMAT </w:instrText>
      </w:r>
      <w:r w:rsidRPr="003015CD">
        <w:rPr>
          <w:rFonts w:asciiTheme="majorHAnsi" w:hAnsiTheme="majorHAnsi" w:cstheme="majorBidi"/>
          <w:color w:val="000000" w:themeColor="text1"/>
          <w:lang w:eastAsia="de-CH"/>
        </w:rPr>
      </w:r>
      <w:r w:rsidRPr="003015CD">
        <w:rPr>
          <w:rFonts w:asciiTheme="majorHAnsi" w:hAnsiTheme="majorHAnsi" w:cstheme="majorBidi"/>
          <w:color w:val="000000" w:themeColor="text1"/>
          <w:lang w:eastAsia="de-CH"/>
        </w:rPr>
        <w:fldChar w:fldCharType="separate"/>
      </w:r>
      <w:r w:rsidR="001D11FB" w:rsidRPr="003015CD">
        <w:rPr>
          <w:rFonts w:asciiTheme="majorHAnsi" w:hAnsiTheme="majorHAnsi" w:cstheme="majorBidi"/>
          <w:color w:val="000000" w:themeColor="text1"/>
          <w:lang w:eastAsia="de-CH"/>
        </w:rPr>
        <w:t>A2</w:t>
      </w:r>
      <w:r w:rsidRPr="003015CD">
        <w:rPr>
          <w:rFonts w:asciiTheme="majorHAnsi" w:hAnsiTheme="majorHAnsi" w:cstheme="majorBidi"/>
          <w:color w:val="000000" w:themeColor="text1"/>
          <w:lang w:eastAsia="de-CH"/>
        </w:rPr>
        <w:fldChar w:fldCharType="end"/>
      </w:r>
      <w:r w:rsidRPr="003015CD">
        <w:rPr>
          <w:rFonts w:asciiTheme="majorHAnsi" w:hAnsiTheme="majorHAnsi" w:cstheme="majorBidi"/>
          <w:color w:val="000000" w:themeColor="text1"/>
          <w:lang w:eastAsia="de-CH"/>
        </w:rPr>
        <w:t xml:space="preserve">, </w:t>
      </w:r>
      <w:r w:rsidRPr="003015CD">
        <w:rPr>
          <w:rFonts w:asciiTheme="majorHAnsi" w:hAnsiTheme="majorHAnsi" w:cstheme="majorBidi"/>
          <w:color w:val="000000" w:themeColor="text1"/>
          <w:lang w:eastAsia="de-CH"/>
        </w:rPr>
        <w:fldChar w:fldCharType="begin"/>
      </w:r>
      <w:r w:rsidRPr="003015CD">
        <w:rPr>
          <w:rFonts w:asciiTheme="majorHAnsi" w:hAnsiTheme="majorHAnsi" w:cstheme="majorBidi"/>
          <w:color w:val="000000" w:themeColor="text1"/>
          <w:lang w:eastAsia="de-CH"/>
        </w:rPr>
        <w:instrText xml:space="preserve"> REF _Ref164529753 \r \h  \* MERGEFORMAT </w:instrText>
      </w:r>
      <w:r w:rsidRPr="003015CD">
        <w:rPr>
          <w:rFonts w:asciiTheme="majorHAnsi" w:hAnsiTheme="majorHAnsi" w:cstheme="majorBidi"/>
          <w:color w:val="000000" w:themeColor="text1"/>
          <w:lang w:eastAsia="de-CH"/>
        </w:rPr>
      </w:r>
      <w:r w:rsidRPr="003015CD">
        <w:rPr>
          <w:rFonts w:asciiTheme="majorHAnsi" w:hAnsiTheme="majorHAnsi" w:cstheme="majorBidi"/>
          <w:color w:val="000000" w:themeColor="text1"/>
          <w:lang w:eastAsia="de-CH"/>
        </w:rPr>
        <w:fldChar w:fldCharType="separate"/>
      </w:r>
      <w:r w:rsidR="001D11FB" w:rsidRPr="003015CD">
        <w:rPr>
          <w:rFonts w:asciiTheme="majorHAnsi" w:hAnsiTheme="majorHAnsi" w:cstheme="majorBidi"/>
          <w:color w:val="000000" w:themeColor="text1"/>
          <w:lang w:eastAsia="de-CH"/>
        </w:rPr>
        <w:t>A3</w:t>
      </w:r>
      <w:r w:rsidRPr="003015CD">
        <w:rPr>
          <w:rFonts w:asciiTheme="majorHAnsi" w:hAnsiTheme="majorHAnsi" w:cstheme="majorBidi"/>
          <w:color w:val="000000" w:themeColor="text1"/>
          <w:lang w:eastAsia="de-CH"/>
        </w:rPr>
        <w:fldChar w:fldCharType="end"/>
      </w:r>
      <w:r w:rsidRPr="003015CD">
        <w:rPr>
          <w:rFonts w:asciiTheme="majorHAnsi" w:hAnsiTheme="majorHAnsi" w:cstheme="majorBidi"/>
          <w:color w:val="000000" w:themeColor="text1"/>
          <w:lang w:eastAsia="de-CH"/>
        </w:rPr>
        <w:t>, A1</w:t>
      </w:r>
      <w:r w:rsidRPr="003015CD">
        <w:rPr>
          <w:rFonts w:asciiTheme="majorHAnsi" w:hAnsiTheme="majorHAnsi" w:cstheme="majorBidi"/>
          <w:color w:val="000000" w:themeColor="text1"/>
          <w:lang w:eastAsia="de-CH"/>
        </w:rPr>
        <w:fldChar w:fldCharType="begin"/>
      </w:r>
      <w:r w:rsidRPr="003015CD">
        <w:rPr>
          <w:rFonts w:asciiTheme="majorHAnsi" w:hAnsiTheme="majorHAnsi" w:cstheme="majorBidi"/>
          <w:color w:val="000000" w:themeColor="text1"/>
          <w:lang w:eastAsia="de-CH"/>
        </w:rPr>
        <w:instrText xml:space="preserve"> REF _Ref164529755 \r \h  \* MERGEFORMAT </w:instrText>
      </w:r>
      <w:r w:rsidRPr="003015CD">
        <w:rPr>
          <w:rFonts w:asciiTheme="majorHAnsi" w:hAnsiTheme="majorHAnsi" w:cstheme="majorBidi"/>
          <w:color w:val="000000" w:themeColor="text1"/>
          <w:lang w:eastAsia="de-CH"/>
        </w:rPr>
      </w:r>
      <w:r w:rsidRPr="003015CD">
        <w:rPr>
          <w:rFonts w:asciiTheme="majorHAnsi" w:hAnsiTheme="majorHAnsi" w:cstheme="majorBidi"/>
          <w:color w:val="000000" w:themeColor="text1"/>
          <w:lang w:eastAsia="de-CH"/>
        </w:rPr>
        <w:fldChar w:fldCharType="separate"/>
      </w:r>
      <w:r w:rsidR="001D11FB" w:rsidRPr="003015CD">
        <w:rPr>
          <w:rFonts w:asciiTheme="majorHAnsi" w:hAnsiTheme="majorHAnsi" w:cstheme="majorBidi"/>
          <w:color w:val="000000" w:themeColor="text1"/>
          <w:lang w:eastAsia="de-CH"/>
        </w:rPr>
        <w:t>0</w:t>
      </w:r>
      <w:r w:rsidRPr="003015CD">
        <w:rPr>
          <w:rFonts w:asciiTheme="majorHAnsi" w:hAnsiTheme="majorHAnsi" w:cstheme="majorBidi"/>
          <w:color w:val="000000" w:themeColor="text1"/>
          <w:lang w:eastAsia="de-CH"/>
        </w:rPr>
        <w:fldChar w:fldCharType="end"/>
      </w:r>
      <w:r w:rsidRPr="003015CD">
        <w:rPr>
          <w:rFonts w:asciiTheme="majorHAnsi" w:hAnsiTheme="majorHAnsi" w:cstheme="majorBidi"/>
          <w:color w:val="000000" w:themeColor="text1"/>
        </w:rPr>
        <w:t>)</w:t>
      </w:r>
    </w:p>
    <w:p w14:paraId="11CA0F8F" w14:textId="47AC25D4" w:rsidR="00864DC5" w:rsidRPr="003015CD" w:rsidRDefault="00864DC5" w:rsidP="00081885">
      <w:pPr>
        <w:numPr>
          <w:ilvl w:val="0"/>
          <w:numId w:val="22"/>
        </w:numPr>
        <w:jc w:val="both"/>
        <w:rPr>
          <w:rFonts w:asciiTheme="majorHAnsi" w:hAnsiTheme="majorHAnsi" w:cstheme="majorHAnsi"/>
          <w:color w:val="000000" w:themeColor="text1"/>
        </w:rPr>
      </w:pPr>
      <w:r w:rsidRPr="003015CD">
        <w:rPr>
          <w:rFonts w:asciiTheme="majorHAnsi" w:hAnsiTheme="majorHAnsi" w:cstheme="majorHAnsi"/>
          <w:b/>
          <w:color w:val="000000" w:themeColor="text1"/>
        </w:rPr>
        <w:t>Stage 1:</w:t>
      </w:r>
      <w:r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b/>
        <w:t>Identify available clinical data relevant to the device and its intended purpose (</w:t>
      </w:r>
      <w:r w:rsidRPr="003015CD">
        <w:rPr>
          <w:rFonts w:asciiTheme="majorHAnsi" w:hAnsiTheme="majorHAnsi" w:cstheme="majorHAnsi"/>
          <w:color w:val="000000" w:themeColor="text1"/>
          <w:lang w:eastAsia="de-CH"/>
        </w:rPr>
        <w:t xml:space="preserve">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_Ref164263102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8</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lang w:eastAsia="de-CH"/>
        </w:rPr>
        <w:t>and Appendices A6 and A7).</w:t>
      </w:r>
    </w:p>
    <w:p w14:paraId="5E1EDFE3" w14:textId="1CF34BAB" w:rsidR="00864DC5" w:rsidRPr="003015CD" w:rsidRDefault="00864DC5" w:rsidP="2D4ECF1A">
      <w:pPr>
        <w:numPr>
          <w:ilvl w:val="0"/>
          <w:numId w:val="22"/>
        </w:num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Stage 2:</w:t>
      </w:r>
      <w:r w:rsidRPr="003015CD">
        <w:rPr>
          <w:rFonts w:asciiTheme="majorHAnsi" w:hAnsiTheme="majorHAnsi" w:cstheme="majorBidi"/>
          <w:color w:val="000000" w:themeColor="text1"/>
        </w:rPr>
        <w:t xml:space="preserve"> </w:t>
      </w:r>
      <w:r w:rsidRPr="003015CD">
        <w:rPr>
          <w:rFonts w:asciiTheme="majorHAnsi" w:hAnsiTheme="majorHAnsi" w:cstheme="majorHAnsi"/>
          <w:color w:val="000000" w:themeColor="text1"/>
        </w:rPr>
        <w:tab/>
      </w:r>
      <w:r w:rsidRPr="003015CD">
        <w:rPr>
          <w:rFonts w:asciiTheme="majorHAnsi" w:hAnsiTheme="majorHAnsi" w:cstheme="majorBidi"/>
          <w:color w:val="000000" w:themeColor="text1"/>
        </w:rPr>
        <w:t xml:space="preserve">Appraise all relevant clinical data by evaluating their suitability for establishing the safety and clinical performance of the device (see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_Ref164263146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9</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and Appendices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_Ref164529587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A7</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and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_Ref164529601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A8</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w:t>
      </w:r>
    </w:p>
    <w:p w14:paraId="0506DB94" w14:textId="6DB3BDB5" w:rsidR="00864DC5" w:rsidRPr="003015CD" w:rsidRDefault="00864DC5" w:rsidP="2D4ECF1A">
      <w:pPr>
        <w:numPr>
          <w:ilvl w:val="0"/>
          <w:numId w:val="22"/>
        </w:numPr>
        <w:jc w:val="both"/>
        <w:rPr>
          <w:rFonts w:asciiTheme="majorHAnsi" w:hAnsiTheme="majorHAnsi" w:cstheme="majorBidi"/>
          <w:color w:val="000000" w:themeColor="text1"/>
        </w:rPr>
      </w:pPr>
      <w:r w:rsidRPr="003015CD">
        <w:rPr>
          <w:rFonts w:asciiTheme="majorHAnsi" w:hAnsiTheme="majorHAnsi" w:cstheme="majorBidi"/>
          <w:b/>
          <w:bCs/>
          <w:color w:val="000000" w:themeColor="text1"/>
        </w:rPr>
        <w:t>Stage 3:</w:t>
      </w:r>
      <w:r w:rsidRPr="003015CD">
        <w:rPr>
          <w:rFonts w:asciiTheme="majorHAnsi" w:hAnsiTheme="majorHAnsi" w:cstheme="majorBidi"/>
          <w:color w:val="000000" w:themeColor="text1"/>
        </w:rPr>
        <w:t xml:space="preserve"> </w:t>
      </w:r>
      <w:r w:rsidRPr="003015CD">
        <w:rPr>
          <w:rFonts w:asciiTheme="majorHAnsi" w:hAnsiTheme="majorHAnsi" w:cstheme="majorHAnsi"/>
          <w:color w:val="000000" w:themeColor="text1"/>
        </w:rPr>
        <w:tab/>
      </w:r>
      <w:r w:rsidRPr="003015CD">
        <w:rPr>
          <w:rFonts w:asciiTheme="majorHAnsi" w:hAnsiTheme="majorHAnsi" w:cstheme="majorBidi"/>
          <w:color w:val="000000" w:themeColor="text1"/>
        </w:rPr>
        <w:t xml:space="preserve">Analyse all relevant clinical data in order to reach conclusions about the safety and clinical performance of the device including its clinical benefits (see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_Ref164263164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10</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and Appendices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_Ref164529648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A9</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and identify any gaps in clinical evidence. In particular, conclusions are reached about:</w:t>
      </w:r>
    </w:p>
    <w:p w14:paraId="73225F28" w14:textId="1933CB70" w:rsidR="00864DC5" w:rsidRPr="003015CD" w:rsidRDefault="00864DC5" w:rsidP="2D4ECF1A">
      <w:pPr>
        <w:numPr>
          <w:ilvl w:val="0"/>
          <w:numId w:val="17"/>
        </w:numPr>
        <w:spacing w:before="40" w:after="40"/>
        <w:ind w:hanging="11"/>
        <w:contextualSpacing/>
        <w:jc w:val="both"/>
        <w:rPr>
          <w:rFonts w:asciiTheme="majorHAnsi" w:hAnsiTheme="majorHAnsi" w:cstheme="majorBidi"/>
          <w:color w:val="000000" w:themeColor="text1"/>
        </w:rPr>
      </w:pPr>
      <w:r w:rsidRPr="003015CD">
        <w:rPr>
          <w:rFonts w:asciiTheme="majorHAnsi" w:hAnsiTheme="majorHAnsi" w:cstheme="majorBidi"/>
          <w:color w:val="000000" w:themeColor="text1"/>
        </w:rPr>
        <w:t>compliance with relevant GSPR</w:t>
      </w:r>
      <w:r w:rsidR="00F0348A"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including its benefit</w:t>
      </w:r>
      <w:r w:rsidR="00B02676" w:rsidRPr="003015CD">
        <w:rPr>
          <w:rFonts w:asciiTheme="majorHAnsi" w:hAnsiTheme="majorHAnsi" w:cstheme="majorBidi"/>
          <w:color w:val="000000" w:themeColor="text1"/>
        </w:rPr>
        <w:t>-</w:t>
      </w:r>
      <w:r w:rsidRPr="003015CD">
        <w:rPr>
          <w:rFonts w:asciiTheme="majorHAnsi" w:hAnsiTheme="majorHAnsi" w:cstheme="majorBidi"/>
          <w:color w:val="000000" w:themeColor="text1"/>
        </w:rPr>
        <w:t>risk profile taking into account the generally acknowledged</w:t>
      </w:r>
      <w:r w:rsidR="006D182F" w:rsidRPr="003015CD">
        <w:rPr>
          <w:rFonts w:asciiTheme="majorHAnsi" w:hAnsiTheme="majorHAnsi" w:cstheme="majorBidi"/>
          <w:color w:val="000000" w:themeColor="text1"/>
        </w:rPr>
        <w:t xml:space="preserve"> SOTA,</w:t>
      </w:r>
      <w:r w:rsidRPr="003015CD">
        <w:rPr>
          <w:rFonts w:asciiTheme="majorHAnsi" w:hAnsiTheme="majorHAnsi" w:cstheme="majorBidi"/>
          <w:color w:val="000000" w:themeColor="text1"/>
        </w:rPr>
        <w:t xml:space="preserve"> </w:t>
      </w:r>
    </w:p>
    <w:p w14:paraId="08A969AF" w14:textId="77777777" w:rsidR="00864DC5" w:rsidRPr="003015CD" w:rsidRDefault="00864DC5" w:rsidP="00081885">
      <w:pPr>
        <w:numPr>
          <w:ilvl w:val="0"/>
          <w:numId w:val="72"/>
        </w:numPr>
        <w:spacing w:before="40" w:after="40"/>
        <w:ind w:left="1637" w:hanging="11"/>
        <w:contextualSpacing/>
        <w:jc w:val="both"/>
        <w:rPr>
          <w:rFonts w:asciiTheme="majorHAnsi" w:hAnsiTheme="majorHAnsi" w:cstheme="majorBidi"/>
          <w:color w:val="000000" w:themeColor="text1"/>
          <w:szCs w:val="22"/>
        </w:rPr>
      </w:pPr>
      <w:r w:rsidRPr="003015CD">
        <w:rPr>
          <w:rFonts w:asciiTheme="majorHAnsi" w:hAnsiTheme="majorHAnsi" w:cstheme="majorBidi"/>
          <w:color w:val="000000" w:themeColor="text1"/>
          <w:szCs w:val="22"/>
        </w:rPr>
        <w:t xml:space="preserve">the contents of information materials supplied by the manufacturer, </w:t>
      </w:r>
    </w:p>
    <w:p w14:paraId="664824A1" w14:textId="3C800114" w:rsidR="00864DC5" w:rsidRPr="003015CD" w:rsidRDefault="00864DC5" w:rsidP="00081885">
      <w:pPr>
        <w:numPr>
          <w:ilvl w:val="0"/>
          <w:numId w:val="17"/>
        </w:numPr>
        <w:spacing w:before="40" w:after="40"/>
        <w:ind w:hanging="11"/>
        <w:contextualSpacing/>
        <w:jc w:val="both"/>
        <w:rPr>
          <w:rFonts w:asciiTheme="majorHAnsi" w:hAnsiTheme="majorHAnsi" w:cstheme="majorBidi"/>
          <w:color w:val="000000" w:themeColor="text1"/>
          <w:szCs w:val="22"/>
        </w:rPr>
      </w:pPr>
      <w:r w:rsidRPr="003015CD">
        <w:rPr>
          <w:rFonts w:asciiTheme="majorHAnsi" w:hAnsiTheme="majorHAnsi" w:cstheme="majorBidi"/>
          <w:color w:val="000000" w:themeColor="text1"/>
          <w:szCs w:val="22"/>
        </w:rPr>
        <w:t xml:space="preserve">residual risks and uncertainties or unanswered questions (such as rare complications, long term performance, etc.), whether these are acceptable for CE-marking, and whether they are required to be addressed during PMS, through PMCF activities. </w:t>
      </w:r>
    </w:p>
    <w:p w14:paraId="78B22E52" w14:textId="77777777" w:rsidR="00864DC5" w:rsidRPr="003015CD" w:rsidRDefault="00864DC5" w:rsidP="00081885">
      <w:pPr>
        <w:spacing w:before="40" w:after="40"/>
        <w:ind w:left="720"/>
        <w:contextualSpacing/>
        <w:jc w:val="both"/>
        <w:rPr>
          <w:rFonts w:asciiTheme="majorHAnsi" w:hAnsiTheme="majorHAnsi" w:cstheme="majorHAnsi"/>
          <w:color w:val="000000" w:themeColor="text1"/>
          <w:szCs w:val="22"/>
          <w:lang w:eastAsia="it-IT"/>
        </w:rPr>
      </w:pPr>
    </w:p>
    <w:p w14:paraId="66A7E6F7" w14:textId="2147C3D0" w:rsidR="00864DC5" w:rsidRPr="003015CD" w:rsidRDefault="00864DC5" w:rsidP="00081885">
      <w:pPr>
        <w:numPr>
          <w:ilvl w:val="0"/>
          <w:numId w:val="8"/>
        </w:numPr>
        <w:spacing w:before="80" w:after="80"/>
        <w:ind w:left="714" w:hanging="357"/>
        <w:jc w:val="both"/>
        <w:rPr>
          <w:rFonts w:asciiTheme="majorHAnsi" w:hAnsiTheme="majorHAnsi" w:cstheme="majorBidi"/>
          <w:color w:val="000000" w:themeColor="text1"/>
          <w:szCs w:val="22"/>
          <w:lang w:eastAsia="it-IT"/>
        </w:rPr>
      </w:pPr>
      <w:r w:rsidRPr="003015CD">
        <w:rPr>
          <w:rFonts w:asciiTheme="majorHAnsi" w:hAnsiTheme="majorHAnsi" w:cstheme="majorBidi"/>
          <w:b/>
          <w:bCs/>
          <w:color w:val="000000" w:themeColor="text1"/>
          <w:szCs w:val="22"/>
          <w:lang w:eastAsia="it-IT"/>
        </w:rPr>
        <w:t>Stage 4:</w:t>
      </w:r>
      <w:r w:rsidRPr="003015CD">
        <w:rPr>
          <w:rFonts w:asciiTheme="majorHAnsi" w:hAnsiTheme="majorHAnsi" w:cstheme="majorBidi"/>
          <w:color w:val="000000" w:themeColor="text1"/>
          <w:szCs w:val="22"/>
          <w:lang w:eastAsia="it-IT"/>
        </w:rPr>
        <w:t xml:space="preserve"> </w:t>
      </w:r>
      <w:r w:rsidRPr="003015CD">
        <w:rPr>
          <w:rFonts w:asciiTheme="majorHAnsi" w:hAnsiTheme="majorHAnsi" w:cstheme="majorBidi"/>
          <w:color w:val="000000" w:themeColor="text1"/>
          <w:sz w:val="20"/>
          <w:szCs w:val="22"/>
          <w:lang w:eastAsia="it-IT"/>
        </w:rPr>
        <w:t>G</w:t>
      </w:r>
      <w:r w:rsidRPr="003015CD">
        <w:rPr>
          <w:rFonts w:asciiTheme="majorHAnsi" w:hAnsiTheme="majorHAnsi" w:cstheme="majorBidi"/>
          <w:color w:val="000000" w:themeColor="text1"/>
          <w:szCs w:val="22"/>
          <w:lang w:eastAsia="it-IT"/>
        </w:rPr>
        <w:t>enerate if needed, through properly designed clinical investigations, any new or additional clinical data necessary to address outstanding issues identified in stage 3</w:t>
      </w:r>
      <w:r w:rsidR="00E4764E" w:rsidRPr="003015CD">
        <w:rPr>
          <w:rFonts w:asciiTheme="majorHAnsi" w:hAnsiTheme="majorHAnsi" w:cstheme="majorBidi"/>
          <w:color w:val="000000" w:themeColor="text1"/>
          <w:szCs w:val="22"/>
          <w:lang w:eastAsia="it-IT"/>
        </w:rPr>
        <w:t xml:space="preserve"> </w:t>
      </w:r>
      <w:r w:rsidRPr="003015CD">
        <w:rPr>
          <w:rFonts w:asciiTheme="majorHAnsi" w:hAnsiTheme="majorHAnsi" w:cstheme="majorBidi"/>
          <w:color w:val="000000" w:themeColor="text1"/>
          <w:szCs w:val="22"/>
          <w:lang w:eastAsia="it-IT"/>
        </w:rPr>
        <w:t xml:space="preserve">(see Section </w:t>
      </w:r>
      <w:r w:rsidRPr="003015CD">
        <w:rPr>
          <w:rFonts w:asciiTheme="majorHAnsi" w:hAnsiTheme="majorHAnsi" w:cstheme="majorBidi"/>
          <w:color w:val="000000" w:themeColor="text1"/>
          <w:szCs w:val="22"/>
          <w:lang w:eastAsia="it-IT"/>
        </w:rPr>
        <w:fldChar w:fldCharType="begin"/>
      </w:r>
      <w:r w:rsidRPr="003015CD">
        <w:rPr>
          <w:rFonts w:asciiTheme="majorHAnsi" w:hAnsiTheme="majorHAnsi" w:cstheme="majorBidi"/>
          <w:color w:val="000000" w:themeColor="text1"/>
          <w:szCs w:val="22"/>
          <w:lang w:eastAsia="it-IT"/>
        </w:rPr>
        <w:instrText xml:space="preserve"> REF _Ref164263177 \r \h  \* MERGEFORMAT </w:instrText>
      </w:r>
      <w:r w:rsidRPr="003015CD">
        <w:rPr>
          <w:rFonts w:asciiTheme="majorHAnsi" w:hAnsiTheme="majorHAnsi" w:cstheme="majorBidi"/>
          <w:color w:val="000000" w:themeColor="text1"/>
          <w:szCs w:val="22"/>
          <w:lang w:eastAsia="it-IT"/>
        </w:rPr>
      </w:r>
      <w:r w:rsidRPr="003015CD">
        <w:rPr>
          <w:rFonts w:asciiTheme="majorHAnsi" w:hAnsiTheme="majorHAnsi" w:cstheme="majorBidi"/>
          <w:color w:val="000000" w:themeColor="text1"/>
          <w:szCs w:val="22"/>
          <w:lang w:eastAsia="it-IT"/>
        </w:rPr>
        <w:fldChar w:fldCharType="separate"/>
      </w:r>
      <w:r w:rsidR="001D11FB" w:rsidRPr="003015CD">
        <w:rPr>
          <w:rFonts w:asciiTheme="majorHAnsi" w:hAnsiTheme="majorHAnsi" w:cstheme="majorBidi"/>
          <w:color w:val="000000" w:themeColor="text1"/>
          <w:szCs w:val="22"/>
          <w:lang w:eastAsia="it-IT"/>
        </w:rPr>
        <w:t>11</w:t>
      </w:r>
      <w:r w:rsidRPr="003015CD">
        <w:rPr>
          <w:rFonts w:asciiTheme="majorHAnsi" w:hAnsiTheme="majorHAnsi" w:cstheme="majorBidi"/>
          <w:color w:val="000000" w:themeColor="text1"/>
          <w:szCs w:val="22"/>
          <w:lang w:eastAsia="it-IT"/>
        </w:rPr>
        <w:fldChar w:fldCharType="end"/>
      </w:r>
      <w:r w:rsidRPr="003015CD">
        <w:rPr>
          <w:rFonts w:asciiTheme="majorHAnsi" w:hAnsiTheme="majorHAnsi" w:cstheme="majorBidi"/>
          <w:color w:val="000000" w:themeColor="text1"/>
          <w:szCs w:val="22"/>
          <w:lang w:eastAsia="it-IT"/>
        </w:rPr>
        <w:t xml:space="preserve">). Such new or additional clinical data should undergo Stages 2 and 3. </w:t>
      </w:r>
    </w:p>
    <w:p w14:paraId="52547037" w14:textId="77777777" w:rsidR="00864DC5" w:rsidRPr="003015CD" w:rsidRDefault="00864DC5" w:rsidP="00081885">
      <w:pPr>
        <w:spacing w:before="80" w:after="80"/>
        <w:ind w:left="714"/>
        <w:jc w:val="both"/>
        <w:rPr>
          <w:rFonts w:asciiTheme="majorHAnsi" w:hAnsiTheme="majorHAnsi" w:cstheme="majorHAnsi"/>
          <w:color w:val="000000" w:themeColor="text1"/>
          <w:szCs w:val="22"/>
          <w:lang w:eastAsia="it-IT"/>
        </w:rPr>
      </w:pPr>
    </w:p>
    <w:p w14:paraId="0C61C9B2" w14:textId="7B000FE7" w:rsidR="00864DC5" w:rsidRPr="003015CD" w:rsidRDefault="00864DC5" w:rsidP="2D4ECF1A">
      <w:pPr>
        <w:numPr>
          <w:ilvl w:val="0"/>
          <w:numId w:val="8"/>
        </w:numPr>
        <w:spacing w:before="80" w:after="80"/>
        <w:jc w:val="both"/>
        <w:rPr>
          <w:rFonts w:asciiTheme="majorHAnsi" w:hAnsiTheme="majorHAnsi" w:cstheme="majorBidi"/>
          <w:color w:val="000000" w:themeColor="text1"/>
          <w:lang w:eastAsia="it-IT"/>
        </w:rPr>
      </w:pPr>
      <w:r w:rsidRPr="003015CD">
        <w:rPr>
          <w:rFonts w:asciiTheme="majorHAnsi" w:hAnsiTheme="majorHAnsi" w:cstheme="majorBidi"/>
          <w:b/>
          <w:bCs/>
          <w:color w:val="000000" w:themeColor="text1"/>
          <w:lang w:eastAsia="it-IT"/>
        </w:rPr>
        <w:t>Stage 5:</w:t>
      </w:r>
      <w:r w:rsidRPr="003015CD">
        <w:rPr>
          <w:rFonts w:asciiTheme="majorHAnsi" w:hAnsiTheme="majorHAnsi" w:cstheme="majorBidi"/>
          <w:color w:val="000000" w:themeColor="text1"/>
          <w:lang w:eastAsia="it-IT"/>
        </w:rPr>
        <w:t xml:space="preserve"> Document the results of the clinical evaluation and the clinical evidence on which it is based in a clinical evaluation report (see Section </w:t>
      </w:r>
      <w:r w:rsidRPr="003015CD">
        <w:rPr>
          <w:rFonts w:asciiTheme="majorHAnsi" w:hAnsiTheme="majorHAnsi" w:cstheme="majorBidi"/>
          <w:color w:val="000000" w:themeColor="text1"/>
          <w:lang w:eastAsia="it-IT"/>
        </w:rPr>
        <w:fldChar w:fldCharType="begin"/>
      </w:r>
      <w:r w:rsidRPr="003015CD">
        <w:rPr>
          <w:rFonts w:asciiTheme="majorHAnsi" w:hAnsiTheme="majorHAnsi" w:cstheme="majorBidi"/>
          <w:color w:val="000000" w:themeColor="text1"/>
          <w:lang w:eastAsia="it-IT"/>
        </w:rPr>
        <w:instrText xml:space="preserve"> REF _Ref164263194 \r \h  \* MERGEFORMAT </w:instrText>
      </w:r>
      <w:r w:rsidRPr="003015CD">
        <w:rPr>
          <w:rFonts w:asciiTheme="majorHAnsi" w:hAnsiTheme="majorHAnsi" w:cstheme="majorBidi"/>
          <w:color w:val="000000" w:themeColor="text1"/>
          <w:lang w:eastAsia="it-IT"/>
        </w:rPr>
      </w:r>
      <w:r w:rsidRPr="003015CD">
        <w:rPr>
          <w:rFonts w:asciiTheme="majorHAnsi" w:hAnsiTheme="majorHAnsi" w:cstheme="majorBidi"/>
          <w:color w:val="000000" w:themeColor="text1"/>
          <w:lang w:eastAsia="it-IT"/>
        </w:rPr>
        <w:fldChar w:fldCharType="separate"/>
      </w:r>
      <w:r w:rsidR="001D11FB" w:rsidRPr="003015CD">
        <w:rPr>
          <w:rFonts w:asciiTheme="majorHAnsi" w:hAnsiTheme="majorHAnsi" w:cstheme="majorBidi"/>
          <w:color w:val="000000" w:themeColor="text1"/>
          <w:lang w:eastAsia="it-IT"/>
        </w:rPr>
        <w:t>12</w:t>
      </w:r>
      <w:r w:rsidRPr="003015CD">
        <w:rPr>
          <w:rFonts w:asciiTheme="majorHAnsi" w:hAnsiTheme="majorHAnsi" w:cstheme="majorBidi"/>
          <w:color w:val="000000" w:themeColor="text1"/>
          <w:lang w:eastAsia="it-IT"/>
        </w:rPr>
        <w:fldChar w:fldCharType="end"/>
      </w:r>
      <w:r w:rsidRPr="003015CD">
        <w:rPr>
          <w:rFonts w:asciiTheme="majorHAnsi" w:hAnsiTheme="majorHAnsi" w:cstheme="majorBidi"/>
          <w:color w:val="000000" w:themeColor="text1"/>
          <w:lang w:eastAsia="it-IT"/>
        </w:rPr>
        <w:t xml:space="preserve"> and Appendix </w:t>
      </w:r>
      <w:r w:rsidRPr="003015CD">
        <w:rPr>
          <w:rFonts w:asciiTheme="majorHAnsi" w:hAnsiTheme="majorHAnsi" w:cstheme="majorBidi"/>
          <w:color w:val="000000" w:themeColor="text1"/>
          <w:lang w:eastAsia="it-IT"/>
        </w:rPr>
        <w:fldChar w:fldCharType="begin"/>
      </w:r>
      <w:r w:rsidRPr="003015CD">
        <w:rPr>
          <w:rFonts w:asciiTheme="majorHAnsi" w:hAnsiTheme="majorHAnsi" w:cstheme="majorBidi"/>
          <w:color w:val="000000" w:themeColor="text1"/>
          <w:lang w:eastAsia="it-IT"/>
        </w:rPr>
        <w:instrText xml:space="preserve"> REF _Ref164529833 \r \h  \* MERGEFORMAT </w:instrText>
      </w:r>
      <w:r w:rsidRPr="003015CD">
        <w:rPr>
          <w:rFonts w:asciiTheme="majorHAnsi" w:hAnsiTheme="majorHAnsi" w:cstheme="majorBidi"/>
          <w:color w:val="000000" w:themeColor="text1"/>
          <w:lang w:eastAsia="it-IT"/>
        </w:rPr>
      </w:r>
      <w:r w:rsidRPr="003015CD">
        <w:rPr>
          <w:rFonts w:asciiTheme="majorHAnsi" w:hAnsiTheme="majorHAnsi" w:cstheme="majorBidi"/>
          <w:color w:val="000000" w:themeColor="text1"/>
          <w:lang w:eastAsia="it-IT"/>
        </w:rPr>
        <w:fldChar w:fldCharType="separate"/>
      </w:r>
      <w:r w:rsidR="001D11FB" w:rsidRPr="003015CD">
        <w:rPr>
          <w:rFonts w:asciiTheme="majorHAnsi" w:hAnsiTheme="majorHAnsi" w:cstheme="majorBidi"/>
          <w:color w:val="000000" w:themeColor="text1"/>
          <w:lang w:eastAsia="it-IT"/>
        </w:rPr>
        <w:t>A11</w:t>
      </w:r>
      <w:r w:rsidRPr="003015CD">
        <w:rPr>
          <w:rFonts w:asciiTheme="majorHAnsi" w:hAnsiTheme="majorHAnsi" w:cstheme="majorBidi"/>
          <w:color w:val="000000" w:themeColor="text1"/>
          <w:lang w:eastAsia="it-IT"/>
        </w:rPr>
        <w:fldChar w:fldCharType="end"/>
      </w:r>
      <w:r w:rsidRPr="003015CD">
        <w:rPr>
          <w:rFonts w:asciiTheme="majorHAnsi" w:hAnsiTheme="majorHAnsi" w:cstheme="majorBidi"/>
          <w:color w:val="000000" w:themeColor="text1"/>
          <w:lang w:eastAsia="it-IT"/>
        </w:rPr>
        <w:t>).</w:t>
      </w:r>
    </w:p>
    <w:p w14:paraId="1E8371BB" w14:textId="77777777" w:rsidR="00864DC5" w:rsidRPr="003015CD" w:rsidRDefault="00864DC5" w:rsidP="00081885">
      <w:pPr>
        <w:spacing w:before="80" w:after="80"/>
        <w:jc w:val="both"/>
        <w:rPr>
          <w:rFonts w:asciiTheme="majorHAnsi" w:hAnsiTheme="majorHAnsi" w:cstheme="majorHAnsi"/>
          <w:color w:val="000000" w:themeColor="text1"/>
          <w:szCs w:val="22"/>
          <w:lang w:eastAsia="it-IT"/>
        </w:rPr>
      </w:pPr>
    </w:p>
    <w:p w14:paraId="59D61356" w14:textId="3AEE399A" w:rsidR="00864DC5" w:rsidRPr="003015CD" w:rsidRDefault="00864DC5"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Each of these stages is covered in separate sections later in this document (see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_Ref172304485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Figure 1</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w:t>
      </w:r>
    </w:p>
    <w:p w14:paraId="07B609C1" w14:textId="4600592F" w:rsidR="00864DC5" w:rsidRPr="003015CD" w:rsidRDefault="00864DC5"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For initial CE marking following identification, appraisal, and analysis of existing clinical data, the manufacturer may determine that additional clinical data needs to be generated through properly designed clinical investigations (see Section 11). Once these clinical investigations are completed, the new data will then need to be appraised and analysed as per Stages 2 and 3 and documented in the CER. After CE marking and based on the conclusions of the clinical evaluation analysis </w:t>
      </w:r>
      <w:r w:rsidR="004775A0" w:rsidRPr="003015CD">
        <w:rPr>
          <w:rFonts w:asciiTheme="majorHAnsi" w:hAnsiTheme="majorHAnsi" w:cstheme="majorBidi"/>
          <w:color w:val="000000" w:themeColor="text1"/>
        </w:rPr>
        <w:t>stage additional</w:t>
      </w:r>
      <w:r w:rsidRPr="003015CD">
        <w:rPr>
          <w:rFonts w:asciiTheme="majorHAnsi" w:hAnsiTheme="majorHAnsi" w:cstheme="majorBidi"/>
          <w:color w:val="000000" w:themeColor="text1"/>
        </w:rPr>
        <w:t xml:space="preserve"> clinical data may be collected through PMCF activities conducted in accordance with the manufacturer’s PMCF plan (see Section13). Based on this information, the clinical evaluation shall be updated throughout the lifecycle of the device concerned (see Section 6.2.3).</w:t>
      </w:r>
    </w:p>
    <w:p w14:paraId="66462026" w14:textId="0DAC3A79" w:rsidR="00864DC5" w:rsidRPr="003015CD" w:rsidRDefault="00864DC5"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During the course of a clinical evaluation the stages are often iterative. For example</w:t>
      </w:r>
      <w:r w:rsidR="005E7F1B"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w:t>
      </w:r>
      <w:r w:rsidR="005E7F1B" w:rsidRPr="003015CD">
        <w:rPr>
          <w:rFonts w:asciiTheme="majorHAnsi" w:hAnsiTheme="majorHAnsi" w:cstheme="majorBidi"/>
          <w:color w:val="000000" w:themeColor="text1"/>
        </w:rPr>
        <w:t>t</w:t>
      </w:r>
      <w:r w:rsidRPr="003015CD">
        <w:rPr>
          <w:rFonts w:asciiTheme="majorHAnsi" w:hAnsiTheme="majorHAnsi" w:cstheme="majorBidi"/>
          <w:color w:val="000000" w:themeColor="text1"/>
        </w:rPr>
        <w:t xml:space="preserve">he appraisal and analysis stage may uncover new information and raise new questions, with a need to reconsider some </w:t>
      </w:r>
      <w:r w:rsidR="00C17847" w:rsidRPr="003015CD">
        <w:rPr>
          <w:rFonts w:asciiTheme="majorHAnsi" w:hAnsiTheme="majorHAnsi" w:cstheme="majorBidi"/>
          <w:color w:val="000000" w:themeColor="text1"/>
        </w:rPr>
        <w:t>aspects of</w:t>
      </w:r>
      <w:r w:rsidRPr="003015CD">
        <w:rPr>
          <w:rFonts w:asciiTheme="majorHAnsi" w:hAnsiTheme="majorHAnsi" w:cstheme="majorBidi"/>
          <w:color w:val="000000" w:themeColor="text1"/>
        </w:rPr>
        <w:t xml:space="preserve"> the evaluation, refine the clinical evaluation plan, and to retrieve, appraise and analyse additional data.</w:t>
      </w:r>
    </w:p>
    <w:p w14:paraId="263B7335" w14:textId="77777777" w:rsidR="00864DC5" w:rsidRPr="003015CD" w:rsidRDefault="00864DC5" w:rsidP="00081885">
      <w:pPr>
        <w:jc w:val="both"/>
        <w:rPr>
          <w:rFonts w:asciiTheme="majorHAnsi" w:hAnsiTheme="majorHAnsi" w:cstheme="majorHAnsi"/>
          <w:color w:val="000000" w:themeColor="text1"/>
          <w:szCs w:val="22"/>
        </w:rPr>
      </w:pPr>
    </w:p>
    <w:p w14:paraId="51BF80A2" w14:textId="77777777" w:rsidR="00864DC5" w:rsidRPr="003015CD" w:rsidRDefault="00864DC5" w:rsidP="00081885">
      <w:pPr>
        <w:jc w:val="both"/>
        <w:rPr>
          <w:rFonts w:asciiTheme="majorHAnsi" w:hAnsiTheme="majorHAnsi" w:cstheme="majorHAnsi"/>
          <w:color w:val="000000" w:themeColor="text1"/>
          <w:szCs w:val="22"/>
        </w:rPr>
      </w:pPr>
    </w:p>
    <w:p w14:paraId="3AB6B286" w14:textId="77777777" w:rsidR="00864DC5" w:rsidRPr="003015CD" w:rsidRDefault="00864DC5" w:rsidP="00081885">
      <w:pPr>
        <w:jc w:val="both"/>
        <w:rPr>
          <w:rFonts w:asciiTheme="majorHAnsi" w:hAnsiTheme="majorHAnsi" w:cstheme="majorHAnsi"/>
          <w:color w:val="000000" w:themeColor="text1"/>
        </w:rPr>
      </w:pPr>
    </w:p>
    <w:p w14:paraId="0DEB9932" w14:textId="04B4C437" w:rsidR="00864DC5" w:rsidRPr="003015CD" w:rsidRDefault="00864DC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r w:rsidR="00E62A23" w:rsidRPr="003015CD">
        <w:rPr>
          <w:rFonts w:asciiTheme="majorHAnsi" w:hAnsiTheme="majorHAnsi" w:cstheme="majorHAnsi"/>
          <w:noProof/>
          <w:color w:val="000000" w:themeColor="text1"/>
        </w:rPr>
        <w:drawing>
          <wp:inline distT="0" distB="0" distL="0" distR="0" wp14:anchorId="25D82B14" wp14:editId="4F1C0EE4">
            <wp:extent cx="6119495" cy="5130165"/>
            <wp:effectExtent l="0" t="0" r="0" b="0"/>
            <wp:docPr id="2" name="Immagine 1">
              <a:extLst xmlns:a="http://schemas.openxmlformats.org/drawingml/2006/main">
                <a:ext uri="{FF2B5EF4-FFF2-40B4-BE49-F238E27FC236}">
                  <a16:creationId xmlns:a16="http://schemas.microsoft.com/office/drawing/2014/main" id="{DD1AF509-AB97-4FAE-8A89-1E7A955F94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DD1AF509-AB97-4FAE-8A89-1E7A955F948B}"/>
                        </a:ext>
                      </a:extLst>
                    </pic:cNvPr>
                    <pic:cNvPicPr>
                      <a:picLocks noChangeAspect="1"/>
                    </pic:cNvPicPr>
                  </pic:nvPicPr>
                  <pic:blipFill>
                    <a:blip r:embed="rId15"/>
                    <a:stretch>
                      <a:fillRect/>
                    </a:stretch>
                  </pic:blipFill>
                  <pic:spPr>
                    <a:xfrm>
                      <a:off x="0" y="0"/>
                      <a:ext cx="6119495" cy="5130165"/>
                    </a:xfrm>
                    <a:prstGeom prst="rect">
                      <a:avLst/>
                    </a:prstGeom>
                  </pic:spPr>
                </pic:pic>
              </a:graphicData>
            </a:graphic>
          </wp:inline>
        </w:drawing>
      </w:r>
    </w:p>
    <w:p w14:paraId="2260D6D4" w14:textId="77777777" w:rsidR="00864DC5" w:rsidRPr="003015CD" w:rsidRDefault="00864DC5" w:rsidP="00081885">
      <w:pPr>
        <w:spacing w:before="0" w:after="0"/>
        <w:jc w:val="both"/>
        <w:rPr>
          <w:rFonts w:asciiTheme="majorHAnsi" w:hAnsiTheme="majorHAnsi" w:cstheme="majorHAnsi"/>
          <w:color w:val="000000" w:themeColor="text1"/>
          <w:sz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864DC5" w:rsidRPr="003015CD" w14:paraId="68AE1FD3" w14:textId="77777777" w:rsidTr="003A16E9">
        <w:tc>
          <w:tcPr>
            <w:tcW w:w="9637" w:type="dxa"/>
            <w:tcBorders>
              <w:top w:val="nil"/>
              <w:left w:val="nil"/>
              <w:bottom w:val="nil"/>
              <w:right w:val="nil"/>
            </w:tcBorders>
          </w:tcPr>
          <w:p w14:paraId="6EDB2883" w14:textId="1D1EF054" w:rsidR="00864DC5" w:rsidRPr="003015CD" w:rsidRDefault="00864DC5" w:rsidP="00081885">
            <w:pPr>
              <w:spacing w:before="0" w:after="0"/>
              <w:jc w:val="both"/>
              <w:rPr>
                <w:rFonts w:asciiTheme="majorHAnsi" w:hAnsiTheme="majorHAnsi" w:cstheme="majorHAnsi"/>
                <w:b/>
                <w:bCs/>
                <w:color w:val="000000" w:themeColor="text1"/>
                <w:sz w:val="20"/>
                <w:lang w:eastAsia="it-IT"/>
              </w:rPr>
            </w:pPr>
            <w:r w:rsidRPr="003015CD">
              <w:rPr>
                <w:rFonts w:asciiTheme="majorHAnsi" w:hAnsiTheme="majorHAnsi" w:cstheme="majorHAnsi"/>
                <w:b/>
                <w:bCs/>
                <w:color w:val="000000" w:themeColor="text1"/>
                <w:sz w:val="20"/>
                <w:lang w:eastAsia="it-IT"/>
              </w:rPr>
              <w:t xml:space="preserve"> </w:t>
            </w:r>
            <w:bookmarkStart w:id="41" w:name="_Ref172304485"/>
            <w:r w:rsidRPr="003015CD">
              <w:rPr>
                <w:rFonts w:asciiTheme="majorHAnsi" w:hAnsiTheme="majorHAnsi" w:cstheme="majorHAnsi"/>
                <w:b/>
                <w:bCs/>
                <w:color w:val="000000" w:themeColor="text1"/>
                <w:sz w:val="20"/>
                <w:lang w:eastAsia="it-IT"/>
              </w:rPr>
              <w:t xml:space="preserve">Figure </w:t>
            </w:r>
            <w:r w:rsidRPr="003015CD">
              <w:rPr>
                <w:rFonts w:asciiTheme="majorHAnsi" w:hAnsiTheme="majorHAnsi" w:cstheme="majorHAnsi"/>
                <w:b/>
                <w:bCs/>
                <w:color w:val="000000" w:themeColor="text1"/>
                <w:sz w:val="20"/>
                <w:lang w:eastAsia="it-IT"/>
              </w:rPr>
              <w:fldChar w:fldCharType="begin"/>
            </w:r>
            <w:r w:rsidRPr="003015CD">
              <w:rPr>
                <w:rFonts w:asciiTheme="majorHAnsi" w:hAnsiTheme="majorHAnsi" w:cstheme="majorHAnsi"/>
                <w:b/>
                <w:bCs/>
                <w:color w:val="000000" w:themeColor="text1"/>
                <w:sz w:val="20"/>
                <w:lang w:eastAsia="it-IT"/>
              </w:rPr>
              <w:instrText xml:space="preserve"> SEQ Figure \* ARABIC </w:instrText>
            </w:r>
            <w:r w:rsidRPr="003015CD">
              <w:rPr>
                <w:rFonts w:asciiTheme="majorHAnsi" w:hAnsiTheme="majorHAnsi" w:cstheme="majorHAnsi"/>
                <w:b/>
                <w:bCs/>
                <w:color w:val="000000" w:themeColor="text1"/>
                <w:sz w:val="20"/>
                <w:lang w:eastAsia="it-IT"/>
              </w:rPr>
              <w:fldChar w:fldCharType="separate"/>
            </w:r>
            <w:r w:rsidR="001D11FB" w:rsidRPr="003015CD">
              <w:rPr>
                <w:rFonts w:asciiTheme="majorHAnsi" w:hAnsiTheme="majorHAnsi" w:cstheme="majorHAnsi"/>
                <w:b/>
                <w:bCs/>
                <w:color w:val="000000" w:themeColor="text1"/>
                <w:sz w:val="20"/>
                <w:lang w:eastAsia="it-IT"/>
              </w:rPr>
              <w:t>1</w:t>
            </w:r>
            <w:r w:rsidRPr="003015CD">
              <w:rPr>
                <w:rFonts w:asciiTheme="majorHAnsi" w:hAnsiTheme="majorHAnsi" w:cstheme="majorHAnsi"/>
                <w:b/>
                <w:bCs/>
                <w:color w:val="000000" w:themeColor="text1"/>
                <w:sz w:val="20"/>
                <w:lang w:eastAsia="it-IT"/>
              </w:rPr>
              <w:fldChar w:fldCharType="end"/>
            </w:r>
            <w:bookmarkEnd w:id="41"/>
            <w:r w:rsidRPr="003015CD">
              <w:rPr>
                <w:rFonts w:asciiTheme="majorHAnsi" w:hAnsiTheme="majorHAnsi" w:cstheme="majorHAnsi"/>
                <w:b/>
                <w:bCs/>
                <w:color w:val="000000" w:themeColor="text1"/>
                <w:sz w:val="20"/>
                <w:lang w:eastAsia="it-IT"/>
              </w:rPr>
              <w:t>: Stages of a clinical evaluation and references to sections and appendices of this document.</w:t>
            </w:r>
          </w:p>
        </w:tc>
      </w:tr>
    </w:tbl>
    <w:p w14:paraId="7779483D" w14:textId="77777777" w:rsidR="004171CC" w:rsidRPr="003015CD" w:rsidRDefault="004171CC" w:rsidP="00081885"/>
    <w:p w14:paraId="02D53F1B" w14:textId="77777777" w:rsidR="004171CC" w:rsidRPr="003015CD" w:rsidRDefault="004171CC" w:rsidP="00081885">
      <w:pPr>
        <w:pStyle w:val="Titre2"/>
        <w:autoSpaceDE/>
        <w:autoSpaceDN/>
        <w:adjustRightInd/>
        <w:ind w:left="0" w:firstLine="0"/>
        <w:jc w:val="both"/>
        <w:rPr>
          <w:rFonts w:asciiTheme="majorHAnsi" w:hAnsiTheme="majorHAnsi" w:cstheme="majorHAnsi"/>
          <w:color w:val="000000" w:themeColor="text1"/>
        </w:rPr>
      </w:pPr>
      <w:bookmarkStart w:id="42" w:name="_Toc236912875"/>
      <w:r w:rsidRPr="003015CD">
        <w:rPr>
          <w:rFonts w:asciiTheme="majorHAnsi" w:hAnsiTheme="majorHAnsi" w:cstheme="majorHAnsi"/>
          <w:color w:val="000000" w:themeColor="text1"/>
        </w:rPr>
        <w:t>Who should perform the clinical evaluation?</w:t>
      </w:r>
      <w:bookmarkEnd w:id="38"/>
      <w:bookmarkEnd w:id="39"/>
      <w:bookmarkEnd w:id="40"/>
      <w:bookmarkEnd w:id="42"/>
    </w:p>
    <w:p w14:paraId="49E2947F" w14:textId="390A0C7F"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clinical evaluation should be conducted by a suitably qualified evaluator or team of evaluators, each qualified for their respective task(s). </w:t>
      </w:r>
    </w:p>
    <w:p w14:paraId="1467B3FE"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manufacturer should take the following aspects into consideration:</w:t>
      </w:r>
    </w:p>
    <w:p w14:paraId="6970D84F" w14:textId="4540AFCB" w:rsidR="004171CC" w:rsidRPr="003015CD" w:rsidRDefault="004171CC" w:rsidP="00081885">
      <w:pPr>
        <w:pStyle w:val="Sansinterligne"/>
        <w:autoSpaceDE/>
        <w:autoSpaceDN/>
        <w:adjustRightInd/>
        <w:jc w:val="both"/>
        <w:rPr>
          <w:rFonts w:asciiTheme="majorHAnsi" w:hAnsiTheme="majorHAnsi" w:cstheme="majorHAnsi"/>
          <w:color w:val="000000" w:themeColor="text1"/>
        </w:rPr>
      </w:pPr>
      <w:r w:rsidRPr="003015CD">
        <w:rPr>
          <w:rFonts w:asciiTheme="majorHAnsi" w:hAnsiTheme="majorHAnsi" w:cstheme="majorBidi"/>
          <w:color w:val="000000" w:themeColor="text1"/>
        </w:rPr>
        <w:t>the manufacturer defines requirements for the evaluators that are in line with the nature of the device under evaluation and its clinical performance and risks in their QMS.</w:t>
      </w:r>
    </w:p>
    <w:p w14:paraId="29274204" w14:textId="4A5F61D2" w:rsidR="004171CC" w:rsidRPr="003015CD" w:rsidRDefault="004171CC" w:rsidP="2D4ECF1A">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the manufacturer should be able to justify the choice of the evaluators through reference to their qualifications and documented experience (</w:t>
      </w:r>
      <w:r w:rsidR="002C3A62" w:rsidRPr="003015CD">
        <w:rPr>
          <w:rFonts w:asciiTheme="majorHAnsi" w:hAnsiTheme="majorHAnsi" w:cstheme="majorBidi"/>
          <w:color w:val="000000" w:themeColor="text1"/>
        </w:rPr>
        <w:t>for example, by demonstrating this through their curriculum vitae</w:t>
      </w:r>
      <w:r w:rsidRPr="003015CD">
        <w:rPr>
          <w:rFonts w:asciiTheme="majorHAnsi" w:hAnsiTheme="majorHAnsi" w:cstheme="majorBidi"/>
          <w:color w:val="000000" w:themeColor="text1"/>
        </w:rPr>
        <w:t xml:space="preserve">), </w:t>
      </w:r>
    </w:p>
    <w:p w14:paraId="25E4C212" w14:textId="43341B89" w:rsidR="00DD1DCC" w:rsidRPr="003015CD" w:rsidRDefault="00DD1DCC" w:rsidP="00081885">
      <w:pPr>
        <w:pStyle w:val="Sansinterligne"/>
        <w:autoSpaceDE/>
        <w:autoSpaceDN/>
        <w:adjustRightInd/>
        <w:jc w:val="both"/>
        <w:rPr>
          <w:rFonts w:asciiTheme="majorHAnsi" w:hAnsiTheme="majorHAnsi" w:cstheme="majorBidi"/>
          <w:color w:val="000000" w:themeColor="text1"/>
        </w:rPr>
      </w:pPr>
      <w:r w:rsidRPr="003015CD">
        <w:rPr>
          <w:rFonts w:asciiTheme="majorHAnsi" w:hAnsiTheme="majorHAnsi" w:cstheme="majorBidi"/>
          <w:color w:val="000000" w:themeColor="text1"/>
        </w:rPr>
        <w:t>as a general principle the evaluator/team of evaluators should (collectively) possess knowledge of the following</w:t>
      </w:r>
      <w:r w:rsidR="00822742" w:rsidRPr="003015CD">
        <w:rPr>
          <w:rFonts w:asciiTheme="majorHAnsi" w:hAnsiTheme="majorHAnsi" w:cstheme="majorBidi"/>
          <w:color w:val="000000" w:themeColor="text1"/>
        </w:rPr>
        <w:t>:</w:t>
      </w:r>
    </w:p>
    <w:p w14:paraId="32690E7C" w14:textId="1B6207C2" w:rsidR="00855373" w:rsidRPr="003015CD" w:rsidRDefault="00855373" w:rsidP="00081885">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the device technology and its application;</w:t>
      </w:r>
    </w:p>
    <w:p w14:paraId="113B4BD0" w14:textId="49CAD6AC" w:rsidR="00855373" w:rsidRPr="003015CD" w:rsidRDefault="00855373" w:rsidP="00081885">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diagnosis and management of the conditions which relate to the device intended purpose, knowledge of medical alternatives, treatment standards and technology (e.g. specialist clinical expertise in the relevant medical specialty);</w:t>
      </w:r>
    </w:p>
    <w:p w14:paraId="720D14AE" w14:textId="2396DBF7" w:rsidR="00855373" w:rsidRPr="003015CD" w:rsidRDefault="00855373" w:rsidP="00BF0964">
      <w:pPr>
        <w:pStyle w:val="List23"/>
        <w:rPr>
          <w:rFonts w:asciiTheme="majorHAnsi" w:hAnsiTheme="majorHAnsi" w:cstheme="majorBidi"/>
          <w:color w:val="000000" w:themeColor="text1"/>
        </w:rPr>
      </w:pPr>
      <w:r w:rsidRPr="003015CD">
        <w:rPr>
          <w:rFonts w:asciiTheme="majorHAnsi" w:hAnsiTheme="majorHAnsi" w:cstheme="majorBidi"/>
          <w:color w:val="000000" w:themeColor="text1"/>
        </w:rPr>
        <w:t>relevant research methodology (e.g., clinical investigation design and biostatistics);</w:t>
      </w:r>
    </w:p>
    <w:p w14:paraId="77FEB106" w14:textId="0EA35060" w:rsidR="004171CC" w:rsidRPr="003015CD" w:rsidRDefault="004171CC" w:rsidP="00081885">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information management (e.g. scientific background or librarianship qualification; experience with relevant databases);</w:t>
      </w:r>
    </w:p>
    <w:p w14:paraId="00DA321D" w14:textId="77777777" w:rsidR="004171CC" w:rsidRPr="003015CD" w:rsidRDefault="004171CC" w:rsidP="00081885">
      <w:pPr>
        <w:pStyle w:val="List23"/>
        <w:numPr>
          <w:ilvl w:val="0"/>
          <w:numId w:val="7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regulatory requirements; and</w:t>
      </w:r>
    </w:p>
    <w:p w14:paraId="4DC12A9F" w14:textId="2A4F3723" w:rsidR="004171CC" w:rsidRPr="003015CD" w:rsidRDefault="004171CC" w:rsidP="00081885">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medical writing (e.g. post-graduate experience in a relevant science or in medicine; training and experience in medical writing, systematic review and critical appraisal of clinical data).</w:t>
      </w:r>
    </w:p>
    <w:p w14:paraId="5A420554" w14:textId="4E56B0AC" w:rsidR="004171CC" w:rsidRPr="003015CD" w:rsidRDefault="00784526" w:rsidP="00824AB0">
      <w:pPr>
        <w:pStyle w:val="Sansinterligne"/>
        <w:numPr>
          <w:ilvl w:val="0"/>
          <w:numId w:val="0"/>
        </w:numPr>
        <w:autoSpaceDE/>
        <w:autoSpaceDN/>
        <w:adjustRightInd/>
        <w:ind w:left="720" w:firstLine="557"/>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Evaluators should </w:t>
      </w:r>
      <w:r w:rsidR="004171CC" w:rsidRPr="003015CD">
        <w:rPr>
          <w:rFonts w:asciiTheme="majorHAnsi" w:hAnsiTheme="majorHAnsi" w:cstheme="majorBidi"/>
          <w:color w:val="000000" w:themeColor="text1"/>
        </w:rPr>
        <w:t>have at least the following training and experience in the relevant field:</w:t>
      </w:r>
    </w:p>
    <w:p w14:paraId="31D35F08" w14:textId="77777777" w:rsidR="004171CC" w:rsidRPr="003015CD" w:rsidRDefault="004171CC" w:rsidP="00081885">
      <w:pPr>
        <w:pStyle w:val="List23"/>
        <w:numPr>
          <w:ilvl w:val="0"/>
          <w:numId w:val="7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 degree from higher education in the respective field and 5 years of documented professional experience; or</w:t>
      </w:r>
    </w:p>
    <w:p w14:paraId="14F17586" w14:textId="77777777" w:rsidR="004171CC" w:rsidRPr="003015CD" w:rsidRDefault="004171CC" w:rsidP="00081885">
      <w:pPr>
        <w:pStyle w:val="List23"/>
        <w:numPr>
          <w:ilvl w:val="0"/>
          <w:numId w:val="7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10 years of documented professional experience if a degree is not a prerequisite for a given task. </w:t>
      </w:r>
    </w:p>
    <w:p w14:paraId="0E365153"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There may be circumstances where the level of evaluator expertise may be less or different; this should be documented and duly justified. </w:t>
      </w:r>
    </w:p>
    <w:p w14:paraId="54DAA71B" w14:textId="77777777" w:rsidR="004171CC" w:rsidRPr="003015CD" w:rsidRDefault="004171CC" w:rsidP="00081885">
      <w:pPr>
        <w:jc w:val="both"/>
        <w:rPr>
          <w:rFonts w:asciiTheme="majorHAnsi" w:hAnsiTheme="majorHAnsi" w:cstheme="majorHAnsi"/>
          <w:color w:val="000000" w:themeColor="text1"/>
        </w:rPr>
      </w:pPr>
    </w:p>
    <w:p w14:paraId="18118BD7" w14:textId="3F013A60" w:rsidR="004171CC" w:rsidRPr="003015CD" w:rsidRDefault="004171CC" w:rsidP="00081885">
      <w:pPr>
        <w:jc w:val="both"/>
        <w:rPr>
          <w:rFonts w:asciiTheme="majorHAnsi" w:hAnsiTheme="majorHAnsi" w:cstheme="majorHAnsi"/>
          <w:color w:val="000000" w:themeColor="text1"/>
        </w:rPr>
      </w:pPr>
    </w:p>
    <w:p w14:paraId="38658596" w14:textId="77777777" w:rsidR="005A748F" w:rsidRPr="003015CD" w:rsidRDefault="005A748F">
      <w:pPr>
        <w:spacing w:before="0" w:after="0"/>
        <w:rPr>
          <w:rFonts w:asciiTheme="majorHAnsi" w:hAnsiTheme="majorHAnsi" w:cstheme="majorHAnsi"/>
          <w:b/>
          <w:bCs/>
          <w:color w:val="000000" w:themeColor="text1"/>
          <w:sz w:val="32"/>
          <w:szCs w:val="28"/>
        </w:rPr>
      </w:pPr>
      <w:bookmarkStart w:id="43" w:name="_Toc446499034"/>
      <w:bookmarkStart w:id="44" w:name="_Ref164263127"/>
      <w:bookmarkStart w:id="45" w:name="_Ref164263128"/>
      <w:bookmarkStart w:id="46" w:name="_Ref165381637"/>
      <w:r w:rsidRPr="003015CD">
        <w:rPr>
          <w:rFonts w:asciiTheme="majorHAnsi" w:hAnsiTheme="majorHAnsi" w:cstheme="majorHAnsi"/>
          <w:color w:val="000000" w:themeColor="text1"/>
        </w:rPr>
        <w:br w:type="page"/>
      </w:r>
    </w:p>
    <w:p w14:paraId="1405EF19" w14:textId="670EA890" w:rsidR="004171CC" w:rsidRPr="003015CD" w:rsidRDefault="004171CC" w:rsidP="00905783">
      <w:pPr>
        <w:pStyle w:val="Titre1"/>
        <w:ind w:left="426"/>
        <w:jc w:val="both"/>
        <w:rPr>
          <w:rFonts w:asciiTheme="majorHAnsi" w:hAnsiTheme="majorHAnsi" w:cstheme="majorHAnsi"/>
          <w:color w:val="000000" w:themeColor="text1"/>
        </w:rPr>
      </w:pPr>
      <w:bookmarkStart w:id="47" w:name="_Toc236912876"/>
      <w:r w:rsidRPr="003015CD">
        <w:rPr>
          <w:rFonts w:asciiTheme="majorHAnsi" w:hAnsiTheme="majorHAnsi" w:cstheme="majorHAnsi"/>
          <w:color w:val="000000" w:themeColor="text1"/>
        </w:rPr>
        <w:t>Establishing a clinical evaluation (Stage 0)</w:t>
      </w:r>
      <w:bookmarkEnd w:id="43"/>
      <w:bookmarkEnd w:id="44"/>
      <w:bookmarkEnd w:id="45"/>
      <w:bookmarkEnd w:id="46"/>
      <w:bookmarkEnd w:id="47"/>
    </w:p>
    <w:p w14:paraId="42B24063" w14:textId="77777777" w:rsidR="004171CC" w:rsidRPr="003015CD" w:rsidRDefault="004171CC" w:rsidP="00905783">
      <w:pPr>
        <w:pStyle w:val="Titre2"/>
        <w:autoSpaceDE/>
        <w:autoSpaceDN/>
        <w:adjustRightInd/>
        <w:ind w:left="0" w:firstLine="0"/>
        <w:jc w:val="both"/>
        <w:rPr>
          <w:rFonts w:asciiTheme="majorHAnsi" w:hAnsiTheme="majorHAnsi" w:cstheme="majorHAnsi"/>
          <w:color w:val="000000" w:themeColor="text1"/>
        </w:rPr>
      </w:pPr>
      <w:bookmarkStart w:id="48" w:name="_Ref233792396"/>
      <w:bookmarkStart w:id="49" w:name="_Toc236912877"/>
      <w:bookmarkStart w:id="50" w:name="_Hlk164627924"/>
      <w:r w:rsidRPr="003015CD">
        <w:rPr>
          <w:rFonts w:asciiTheme="majorHAnsi" w:hAnsiTheme="majorHAnsi" w:cstheme="majorHAnsi"/>
          <w:color w:val="000000" w:themeColor="text1"/>
        </w:rPr>
        <w:t>General considerations</w:t>
      </w:r>
      <w:bookmarkEnd w:id="48"/>
      <w:bookmarkEnd w:id="49"/>
    </w:p>
    <w:p w14:paraId="4B5CF98B" w14:textId="232AA076"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Manufacturers are required to establish a CEP to meet the requirements of MDR Annex XIV Section 1(a). </w:t>
      </w:r>
    </w:p>
    <w:p w14:paraId="48DE32B2" w14:textId="1EBC6E0F" w:rsidR="004171CC" w:rsidRPr="003015CD" w:rsidRDefault="004171CC" w:rsidP="2D4ECF1A">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It is recommended the CEP define the scope of the clinical evaluation, which may include, depending on the stage in the lifecycle of the </w:t>
      </w:r>
      <w:r w:rsidR="00C17847" w:rsidRPr="003015CD">
        <w:rPr>
          <w:rFonts w:asciiTheme="majorHAnsi" w:hAnsiTheme="majorHAnsi" w:cstheme="majorBidi"/>
          <w:color w:val="000000" w:themeColor="text1"/>
        </w:rPr>
        <w:t>product:</w:t>
      </w:r>
      <w:r w:rsidRPr="003015CD">
        <w:rPr>
          <w:rFonts w:asciiTheme="majorHAnsi" w:hAnsiTheme="majorHAnsi" w:cstheme="majorBidi"/>
          <w:color w:val="000000" w:themeColor="text1"/>
        </w:rPr>
        <w:t xml:space="preserve"> </w:t>
      </w:r>
    </w:p>
    <w:p w14:paraId="0F4BB168" w14:textId="6AB4FE58"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identification and description of the device under evaluation covering all sizes, variants, model, accessories and configurations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_Ref164533901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for more information on the description content);</w:t>
      </w:r>
    </w:p>
    <w:p w14:paraId="37772F77" w14:textId="6D597249" w:rsidR="00AB6AF8" w:rsidRPr="003015CD" w:rsidRDefault="004171CC" w:rsidP="00CF32EE">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description of the </w:t>
      </w:r>
      <w:r w:rsidR="006D182F" w:rsidRPr="003015CD">
        <w:rPr>
          <w:rFonts w:asciiTheme="majorHAnsi" w:hAnsiTheme="majorHAnsi" w:cstheme="majorHAnsi"/>
          <w:color w:val="000000" w:themeColor="text1"/>
        </w:rPr>
        <w:t>SOTA</w:t>
      </w:r>
      <w:r w:rsidR="00AB6AF8"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 xml:space="preserve">(see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_Ref172553404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A1</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Note that the </w:t>
      </w:r>
      <w:r w:rsidR="006D182F" w:rsidRPr="003015CD">
        <w:rPr>
          <w:rFonts w:asciiTheme="majorHAnsi" w:hAnsiTheme="majorHAnsi" w:cstheme="majorHAnsi"/>
          <w:color w:val="000000" w:themeColor="text1"/>
        </w:rPr>
        <w:t xml:space="preserve">SOTA </w:t>
      </w:r>
      <w:r w:rsidRPr="003015CD">
        <w:rPr>
          <w:rFonts w:asciiTheme="majorHAnsi" w:hAnsiTheme="majorHAnsi" w:cstheme="majorHAnsi"/>
          <w:color w:val="000000" w:themeColor="text1"/>
        </w:rPr>
        <w:t>description may be documented in the CER or in a dedicated docu</w:t>
      </w:r>
      <w:r w:rsidR="00CF32EE" w:rsidRPr="003015CD">
        <w:rPr>
          <w:rFonts w:asciiTheme="majorHAnsi" w:hAnsiTheme="majorHAnsi" w:cstheme="majorHAnsi"/>
          <w:color w:val="000000" w:themeColor="text1"/>
        </w:rPr>
        <w:t>ment.</w:t>
      </w:r>
    </w:p>
    <w:p w14:paraId="7273388D" w14:textId="0BA45971" w:rsidR="004171CC" w:rsidRPr="003015CD" w:rsidRDefault="00AB6AF8" w:rsidP="00CF32EE">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wh</w:t>
      </w:r>
      <w:r w:rsidR="004171CC" w:rsidRPr="003015CD">
        <w:rPr>
          <w:rFonts w:asciiTheme="majorHAnsi" w:hAnsiTheme="majorHAnsi" w:cstheme="majorHAnsi"/>
          <w:color w:val="000000" w:themeColor="text1"/>
        </w:rPr>
        <w:t>ether the manufacturer intends to claim equivalence to another device. Demonstration of equivalence is documented in the CEP, in the CER or in a dedicated document (see MDCG 2020-5 for more information on equivalence).If equivalence is claimed, the manufacturer evaluate this equivalence and the level of access to the data regarding the clinical, technical and biological characteristics to be considered for the demonstration of equivalence (see Appendix II of MDCG 2023-7</w:t>
      </w:r>
      <w:r w:rsidR="004171CC" w:rsidRPr="003015CD">
        <w:rPr>
          <w:rStyle w:val="Appelnotedebasdep"/>
          <w:rFonts w:asciiTheme="majorHAnsi" w:hAnsiTheme="majorHAnsi" w:cstheme="majorHAnsi"/>
          <w:color w:val="000000" w:themeColor="text1"/>
        </w:rPr>
        <w:footnoteReference w:id="17"/>
      </w:r>
      <w:r w:rsidR="004171CC" w:rsidRPr="003015CD">
        <w:rPr>
          <w:rFonts w:asciiTheme="majorHAnsi" w:hAnsiTheme="majorHAnsi" w:cstheme="majorHAnsi"/>
          <w:color w:val="000000" w:themeColor="text1"/>
        </w:rPr>
        <w:t xml:space="preserve"> for more information on the hierarchy of level of access to this data). </w:t>
      </w:r>
    </w:p>
    <w:p w14:paraId="494D6771" w14:textId="6186997D" w:rsidR="004171CC" w:rsidRPr="003015CD" w:rsidRDefault="004171CC" w:rsidP="00081885">
      <w:pPr>
        <w:pStyle w:val="Sansinterligne"/>
        <w:numPr>
          <w:ilvl w:val="0"/>
          <w:numId w:val="0"/>
        </w:numPr>
        <w:ind w:left="142"/>
      </w:pPr>
      <w:r w:rsidRPr="003015CD">
        <w:t>The CEP shall include at least the information listed in Annex XIV, part A, par 1(a) of MDR. Mandatory information together with some clarifying explanations are as follows:</w:t>
      </w:r>
    </w:p>
    <w:p w14:paraId="6DA0F691" w14:textId="7ABAD185" w:rsidR="004171CC" w:rsidRPr="003015CD" w:rsidRDefault="004171CC" w:rsidP="2D4ECF1A">
      <w:pPr>
        <w:numPr>
          <w:ilvl w:val="1"/>
          <w:numId w:val="57"/>
        </w:numPr>
        <w:ind w:left="709" w:hanging="142"/>
        <w:jc w:val="both"/>
        <w:rPr>
          <w:rFonts w:asciiTheme="majorHAnsi" w:hAnsiTheme="majorHAnsi" w:cstheme="majorBidi"/>
          <w:color w:val="000000" w:themeColor="text1"/>
        </w:rPr>
      </w:pPr>
      <w:r w:rsidRPr="003015CD">
        <w:rPr>
          <w:rFonts w:asciiTheme="majorHAnsi" w:hAnsiTheme="majorHAnsi" w:cstheme="majorBidi"/>
          <w:color w:val="000000" w:themeColor="text1"/>
        </w:rPr>
        <w:t>an identification of the GSPR</w:t>
      </w:r>
      <w:r w:rsidR="0085543C" w:rsidRPr="003015CD">
        <w:rPr>
          <w:rFonts w:asciiTheme="majorHAnsi" w:hAnsiTheme="majorHAnsi" w:cstheme="majorBidi"/>
          <w:color w:val="000000" w:themeColor="text1"/>
        </w:rPr>
        <w:t xml:space="preserve">s </w:t>
      </w:r>
      <w:r w:rsidRPr="003015CD" w:rsidDel="0085543C">
        <w:rPr>
          <w:rFonts w:asciiTheme="majorHAnsi" w:hAnsiTheme="majorHAnsi" w:cstheme="majorBidi"/>
          <w:color w:val="000000" w:themeColor="text1"/>
        </w:rPr>
        <w:t>that require support from relevant clinical data</w:t>
      </w:r>
      <w:r w:rsidRPr="003015CD">
        <w:rPr>
          <w:rStyle w:val="Appelnotedebasdep"/>
          <w:rFonts w:asciiTheme="majorHAnsi" w:hAnsiTheme="majorHAnsi" w:cstheme="majorBidi"/>
          <w:color w:val="000000" w:themeColor="text1"/>
        </w:rPr>
        <w:footnoteReference w:id="18"/>
      </w:r>
      <w:r w:rsidRPr="003015CD">
        <w:rPr>
          <w:rFonts w:asciiTheme="majorHAnsi" w:hAnsiTheme="majorHAnsi" w:cstheme="majorBidi"/>
          <w:color w:val="000000" w:themeColor="text1"/>
        </w:rPr>
        <w:t>. According to art. 61(1) of MDR, confirmation of conformity with relevant general safety and performance requirements set out in Annex I under the normal conditions of the intended use of the device shall be based on clinical data providing sufficient clinical evidence. Relevant GSPR</w:t>
      </w:r>
      <w:r w:rsidR="00AC5B00"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requiring clinical data shall be identified case by case by the manufacturer for the device under evaluation. </w:t>
      </w:r>
    </w:p>
    <w:p w14:paraId="531FFBF4" w14:textId="166A3DD0" w:rsidR="004171CC" w:rsidRPr="003015CD" w:rsidRDefault="004171CC" w:rsidP="00081885">
      <w:p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_Ref165303063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A9</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for information on GSPR</w:t>
      </w:r>
      <w:r w:rsidR="00FF4A44"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 xml:space="preserve"> potentially requiring clinical data</w:t>
      </w:r>
      <w:r w:rsidR="005A748F" w:rsidRPr="003015CD">
        <w:rPr>
          <w:rFonts w:asciiTheme="majorHAnsi" w:hAnsiTheme="majorHAnsi" w:cstheme="majorHAnsi"/>
          <w:color w:val="000000" w:themeColor="text1"/>
        </w:rPr>
        <w:t>.</w:t>
      </w:r>
    </w:p>
    <w:p w14:paraId="0D11B369" w14:textId="0FCC9D65" w:rsidR="004171CC" w:rsidRPr="003015CD" w:rsidRDefault="004171CC" w:rsidP="2D4ECF1A">
      <w:pPr>
        <w:numPr>
          <w:ilvl w:val="1"/>
          <w:numId w:val="57"/>
        </w:numPr>
        <w:ind w:left="709" w:hanging="142"/>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a specification of the intended purpose of the device (see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_Ref164533901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A2</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for more information on the intended purpose content)</w:t>
      </w:r>
      <w:r w:rsidR="0005720D" w:rsidRPr="003015CD">
        <w:rPr>
          <w:rFonts w:asciiTheme="majorHAnsi" w:hAnsiTheme="majorHAnsi" w:cstheme="majorBidi"/>
          <w:color w:val="000000" w:themeColor="text1"/>
        </w:rPr>
        <w:t>.</w:t>
      </w:r>
    </w:p>
    <w:p w14:paraId="7B1C689B" w14:textId="04D210F5" w:rsidR="004171CC" w:rsidRPr="003015CD" w:rsidRDefault="004171CC" w:rsidP="00081885">
      <w:pPr>
        <w:numPr>
          <w:ilvl w:val="1"/>
          <w:numId w:val="57"/>
        </w:numPr>
        <w:ind w:left="709" w:hanging="142"/>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 xml:space="preserve">a clear specification of intended </w:t>
      </w:r>
      <w:r w:rsidRPr="003015CD" w:rsidDel="004A3024">
        <w:rPr>
          <w:rFonts w:asciiTheme="majorHAnsi" w:hAnsiTheme="majorHAnsi" w:cstheme="majorHAnsi"/>
          <w:color w:val="000000" w:themeColor="text1"/>
          <w:szCs w:val="22"/>
        </w:rPr>
        <w:t>target</w:t>
      </w:r>
      <w:r w:rsidRPr="003015CD">
        <w:rPr>
          <w:rFonts w:asciiTheme="majorHAnsi" w:hAnsiTheme="majorHAnsi" w:cstheme="majorHAnsi"/>
          <w:color w:val="000000" w:themeColor="text1"/>
          <w:szCs w:val="22"/>
        </w:rPr>
        <w:t xml:space="preserve"> groups with clear indications and contra-indications</w:t>
      </w:r>
      <w:r w:rsidRPr="003015CD">
        <w:rPr>
          <w:rFonts w:asciiTheme="majorHAnsi" w:hAnsiTheme="majorHAnsi" w:cstheme="majorHAnsi"/>
          <w:color w:val="000000" w:themeColor="text1"/>
        </w:rPr>
        <w:t>, where applicable</w:t>
      </w:r>
      <w:r w:rsidR="005A748F" w:rsidRPr="003015CD">
        <w:rPr>
          <w:rFonts w:asciiTheme="majorHAnsi" w:hAnsiTheme="majorHAnsi" w:cstheme="majorHAnsi"/>
          <w:color w:val="000000" w:themeColor="text1"/>
          <w:szCs w:val="22"/>
        </w:rPr>
        <w:t>.</w:t>
      </w:r>
      <w:r w:rsidRPr="003015CD">
        <w:rPr>
          <w:rFonts w:asciiTheme="majorHAnsi" w:hAnsiTheme="majorHAnsi" w:cstheme="majorHAnsi"/>
          <w:color w:val="000000" w:themeColor="text1"/>
          <w:szCs w:val="22"/>
        </w:rPr>
        <w:t xml:space="preserve"> </w:t>
      </w:r>
    </w:p>
    <w:p w14:paraId="0BE5FB9F" w14:textId="377596E5" w:rsidR="004171CC" w:rsidRPr="003015CD" w:rsidRDefault="004171CC" w:rsidP="00081885">
      <w:pPr>
        <w:pStyle w:val="Paragraphedeliste"/>
        <w:numPr>
          <w:ilvl w:val="1"/>
          <w:numId w:val="57"/>
        </w:numPr>
        <w:ind w:left="709"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a detailed description of intended clinical benefits to patients with relevant and specified clinical outcome parameters, including indirect benefits. Appendix</w:t>
      </w:r>
      <w:r w:rsidR="006326F1" w:rsidRPr="003015CD">
        <w:rPr>
          <w:rFonts w:asciiTheme="majorHAnsi" w:hAnsiTheme="majorHAnsi" w:cstheme="majorHAnsi"/>
          <w:color w:val="000000" w:themeColor="text1"/>
        </w:rPr>
        <w:t xml:space="preserve"> A9</w:t>
      </w:r>
      <w:r w:rsidR="00B03AB6"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provides more information on clinical benefit</w:t>
      </w:r>
      <w:r w:rsidR="00B03AB6" w:rsidRPr="003015CD">
        <w:rPr>
          <w:rFonts w:asciiTheme="majorHAnsi" w:hAnsiTheme="majorHAnsi" w:cstheme="majorHAnsi"/>
          <w:color w:val="000000" w:themeColor="text1"/>
        </w:rPr>
        <w:t xml:space="preserve"> and </w:t>
      </w:r>
      <w:r w:rsidRPr="003015CD">
        <w:rPr>
          <w:rFonts w:asciiTheme="majorHAnsi" w:hAnsiTheme="majorHAnsi" w:cstheme="majorHAnsi"/>
          <w:color w:val="000000" w:themeColor="text1"/>
        </w:rPr>
        <w:t>on the quantification of benefits and determination of relevant outcome parameters. Please note that, at this stage, only parameters should be identified without quantification.</w:t>
      </w:r>
    </w:p>
    <w:p w14:paraId="10F2B93D" w14:textId="77777777" w:rsidR="004171CC" w:rsidRPr="003015CD" w:rsidRDefault="004171CC" w:rsidP="00081885">
      <w:pPr>
        <w:numPr>
          <w:ilvl w:val="1"/>
          <w:numId w:val="57"/>
        </w:numPr>
        <w:ind w:left="709"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 specification of methods to be used for examination of qualitative and quantitative aspects of clinical safety with clear reference to the determination of residual risks and side-effects. Qualitative aspects of clinical safety are those assessed on a non-numerical basis, such as the nature of adverse events. Quantitative aspects of clinical safety are those involving the measurement and analysis of numerical data, such as the incidence rates of adverse events. The methods that are intended to be used to assess these aspects have to be clearly specified in the CEP. Such methods are those described later on in this guidance and may include: </w:t>
      </w:r>
    </w:p>
    <w:p w14:paraId="4AB90EA9" w14:textId="77777777" w:rsidR="004171CC" w:rsidRPr="003015CD" w:rsidRDefault="004171CC" w:rsidP="00081885">
      <w:pPr>
        <w:pStyle w:val="Paragraphedeliste"/>
        <w:numPr>
          <w:ilvl w:val="0"/>
          <w:numId w:val="103"/>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identification of clinical safety parameters based on:</w:t>
      </w:r>
    </w:p>
    <w:p w14:paraId="38743765" w14:textId="09E149EB" w:rsidR="004171CC" w:rsidRPr="003015CD" w:rsidRDefault="004171CC" w:rsidP="00081885">
      <w:pPr>
        <w:pStyle w:val="Paragraphedeliste"/>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 the residual risks and potential undesirable side effects identified during the risk management process of the device under evaluation</w:t>
      </w:r>
      <w:r w:rsidR="0005720D" w:rsidRPr="003015CD">
        <w:rPr>
          <w:rFonts w:asciiTheme="majorHAnsi" w:hAnsiTheme="majorHAnsi" w:cstheme="majorHAnsi"/>
          <w:color w:val="000000" w:themeColor="text1"/>
        </w:rPr>
        <w:t>.</w:t>
      </w:r>
    </w:p>
    <w:p w14:paraId="5D7DFAE7" w14:textId="4832098A" w:rsidR="004171CC" w:rsidRPr="003015CD" w:rsidRDefault="004171CC" w:rsidP="00081885">
      <w:pPr>
        <w:pStyle w:val="Paragraphedeliste"/>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 the</w:t>
      </w:r>
      <w:r w:rsidR="006D182F" w:rsidRPr="003015CD">
        <w:rPr>
          <w:rFonts w:asciiTheme="majorHAnsi" w:hAnsiTheme="majorHAnsi" w:cstheme="majorHAnsi"/>
          <w:color w:val="000000" w:themeColor="text1"/>
        </w:rPr>
        <w:t xml:space="preserve"> SOTA</w:t>
      </w:r>
      <w:r w:rsidRPr="003015CD">
        <w:rPr>
          <w:rFonts w:asciiTheme="majorHAnsi" w:hAnsiTheme="majorHAnsi" w:cstheme="majorHAnsi"/>
          <w:color w:val="000000" w:themeColor="text1"/>
        </w:rPr>
        <w:t xml:space="preserve"> (see A1). Note that from the </w:t>
      </w:r>
      <w:r w:rsidR="008103E7" w:rsidRPr="003015CD">
        <w:rPr>
          <w:rFonts w:asciiTheme="majorHAnsi" w:hAnsiTheme="majorHAnsi" w:cstheme="majorHAnsi"/>
          <w:color w:val="000000" w:themeColor="text1"/>
        </w:rPr>
        <w:t>SOTA both</w:t>
      </w:r>
      <w:r w:rsidRPr="003015CD">
        <w:rPr>
          <w:rFonts w:asciiTheme="majorHAnsi" w:hAnsiTheme="majorHAnsi" w:cstheme="majorHAnsi"/>
          <w:color w:val="000000" w:themeColor="text1"/>
        </w:rPr>
        <w:t xml:space="preserve"> parameters and their quantification can be derived to be used as reference in the analysis stage.</w:t>
      </w:r>
    </w:p>
    <w:p w14:paraId="450F4842" w14:textId="4DC48CDD" w:rsidR="004171CC" w:rsidRPr="003015CD" w:rsidRDefault="004171CC" w:rsidP="00081885">
      <w:pPr>
        <w:pStyle w:val="Paragraphedeliste"/>
        <w:numPr>
          <w:ilvl w:val="0"/>
          <w:numId w:val="103"/>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identification (see Section 8 and Ax), appraisal (see Section 9), and analysis (</w:t>
      </w:r>
      <w:r w:rsidR="006B7F60" w:rsidRPr="003015CD">
        <w:rPr>
          <w:rFonts w:asciiTheme="majorHAnsi" w:hAnsiTheme="majorHAnsi" w:cstheme="majorHAnsi"/>
          <w:color w:val="000000" w:themeColor="text1"/>
        </w:rPr>
        <w:t xml:space="preserve">see </w:t>
      </w:r>
      <w:r w:rsidRPr="003015CD">
        <w:rPr>
          <w:rFonts w:asciiTheme="majorHAnsi" w:hAnsiTheme="majorHAnsi" w:cstheme="majorHAnsi"/>
          <w:color w:val="000000" w:themeColor="text1"/>
        </w:rPr>
        <w:t xml:space="preserve">Section 10) of clinical safety data for the device under evaluation or the equivalent device. </w:t>
      </w:r>
    </w:p>
    <w:p w14:paraId="7653EBBB" w14:textId="77777777" w:rsidR="004171CC" w:rsidRPr="003015CD" w:rsidRDefault="004171CC" w:rsidP="00081885">
      <w:pPr>
        <w:pStyle w:val="Paragraphedeliste"/>
        <w:ind w:left="709"/>
        <w:jc w:val="both"/>
        <w:rPr>
          <w:rFonts w:asciiTheme="majorHAnsi" w:hAnsiTheme="majorHAnsi" w:cstheme="majorHAnsi"/>
          <w:color w:val="000000" w:themeColor="text1"/>
        </w:rPr>
      </w:pPr>
    </w:p>
    <w:p w14:paraId="0C876A62" w14:textId="66805AB4" w:rsidR="004171CC" w:rsidRPr="003015CD" w:rsidRDefault="004171CC" w:rsidP="00081885">
      <w:pPr>
        <w:pStyle w:val="Paragraphedeliste"/>
        <w:numPr>
          <w:ilvl w:val="1"/>
          <w:numId w:val="57"/>
        </w:numPr>
        <w:ind w:left="709"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an indicative list and specification of parameters to be used to determine, based on the</w:t>
      </w:r>
      <w:r w:rsidR="006D182F" w:rsidRPr="003015CD">
        <w:rPr>
          <w:rFonts w:asciiTheme="majorHAnsi" w:hAnsiTheme="majorHAnsi" w:cstheme="majorHAnsi"/>
          <w:color w:val="000000" w:themeColor="text1"/>
        </w:rPr>
        <w:t xml:space="preserve"> SOTA</w:t>
      </w:r>
      <w:r w:rsidRPr="003015CD">
        <w:rPr>
          <w:rFonts w:asciiTheme="majorHAnsi" w:hAnsiTheme="majorHAnsi" w:cstheme="majorHAnsi"/>
          <w:color w:val="000000" w:themeColor="text1"/>
        </w:rPr>
        <w:t xml:space="preserve"> in medicine, the acceptability of the benefit-risk ratio for the various indications and for the intended purpose of the device; MDR requires to create a list of parameters, which may be qualitative or quantitative and that serve as basis for evaluating the aspects, described in Appendix </w:t>
      </w:r>
      <w:r w:rsidR="006D3CC3" w:rsidRPr="003015CD">
        <w:rPr>
          <w:rFonts w:asciiTheme="majorHAnsi" w:hAnsiTheme="majorHAnsi" w:cstheme="majorHAnsi"/>
          <w:color w:val="000000" w:themeColor="text1"/>
        </w:rPr>
        <w:t>A9</w:t>
      </w:r>
      <w:r w:rsidRPr="003015CD">
        <w:rPr>
          <w:rFonts w:asciiTheme="majorHAnsi" w:hAnsiTheme="majorHAnsi" w:cstheme="majorHAnsi"/>
          <w:color w:val="000000" w:themeColor="text1"/>
        </w:rPr>
        <w:t xml:space="preserve"> relevant for the balance between the benefits and risks of the device taking into consideration the</w:t>
      </w:r>
      <w:r w:rsidR="006D182F" w:rsidRPr="003015CD">
        <w:rPr>
          <w:rFonts w:asciiTheme="majorHAnsi" w:hAnsiTheme="majorHAnsi" w:cstheme="majorHAnsi"/>
          <w:color w:val="000000" w:themeColor="text1"/>
        </w:rPr>
        <w:t xml:space="preserve"> SOTA</w:t>
      </w:r>
      <w:r w:rsidRPr="003015CD">
        <w:rPr>
          <w:rFonts w:asciiTheme="majorHAnsi" w:hAnsiTheme="majorHAnsi" w:cstheme="majorHAnsi"/>
          <w:color w:val="000000" w:themeColor="text1"/>
        </w:rPr>
        <w:t xml:space="preserve"> (for example, a mortality reduction of a certain percentage to demonstrate a positive impact on clinical outcome). Where quantitative parameters are identified, their acceptance criteria based on the state of art should also be specified. The indicative list may need to be refined during the device lifecycle to adjust for changes in the</w:t>
      </w:r>
      <w:r w:rsidR="006D182F" w:rsidRPr="003015CD">
        <w:rPr>
          <w:rFonts w:asciiTheme="majorHAnsi" w:hAnsiTheme="majorHAnsi" w:cstheme="majorHAnsi"/>
          <w:color w:val="000000" w:themeColor="text1"/>
        </w:rPr>
        <w:t xml:space="preserve"> SOTA</w:t>
      </w:r>
      <w:r w:rsidRPr="003015CD">
        <w:rPr>
          <w:rFonts w:asciiTheme="majorHAnsi" w:hAnsiTheme="majorHAnsi" w:cstheme="majorHAnsi"/>
          <w:color w:val="000000" w:themeColor="text1"/>
        </w:rPr>
        <w:t xml:space="preserve"> in medicine.</w:t>
      </w:r>
    </w:p>
    <w:p w14:paraId="4208F869" w14:textId="39112AB0" w:rsidR="004171CC" w:rsidRPr="003015CD" w:rsidRDefault="004171CC" w:rsidP="00081885">
      <w:pPr>
        <w:numPr>
          <w:ilvl w:val="1"/>
          <w:numId w:val="57"/>
        </w:numPr>
        <w:ind w:left="709" w:hanging="142"/>
        <w:jc w:val="both"/>
        <w:rPr>
          <w:rFonts w:asciiTheme="majorHAnsi" w:hAnsiTheme="majorHAnsi" w:cstheme="majorHAnsi"/>
          <w:color w:val="000000" w:themeColor="text1"/>
        </w:rPr>
      </w:pPr>
      <w:r w:rsidRPr="003015CD">
        <w:rPr>
          <w:rFonts w:asciiTheme="majorHAnsi" w:hAnsiTheme="majorHAnsi" w:cstheme="majorHAnsi"/>
          <w:color w:val="000000" w:themeColor="text1"/>
          <w:szCs w:val="22"/>
        </w:rPr>
        <w:t>an indication of how benefit-risk issues relating to specific components, such as use of pharmaceutical products, non- viable animal tissues or human tissues, are to be addressed</w:t>
      </w:r>
      <w:r w:rsidR="00295F67" w:rsidRPr="003015CD">
        <w:rPr>
          <w:rFonts w:asciiTheme="majorHAnsi" w:hAnsiTheme="majorHAnsi" w:cstheme="majorHAnsi"/>
          <w:color w:val="000000" w:themeColor="text1"/>
          <w:szCs w:val="22"/>
        </w:rPr>
        <w:t>.</w:t>
      </w:r>
      <w:r w:rsidRPr="003015CD">
        <w:rPr>
          <w:rFonts w:asciiTheme="majorHAnsi" w:hAnsiTheme="majorHAnsi" w:cstheme="majorHAnsi"/>
          <w:color w:val="000000" w:themeColor="text1"/>
          <w:szCs w:val="22"/>
        </w:rPr>
        <w:t xml:space="preserve"> </w:t>
      </w:r>
    </w:p>
    <w:p w14:paraId="6D2EA092" w14:textId="0DD35202" w:rsidR="004171CC" w:rsidRPr="003015CD" w:rsidRDefault="004171CC" w:rsidP="00081885">
      <w:pPr>
        <w:numPr>
          <w:ilvl w:val="1"/>
          <w:numId w:val="57"/>
        </w:numPr>
        <w:ind w:left="709" w:hanging="142"/>
        <w:jc w:val="both"/>
        <w:rPr>
          <w:rFonts w:asciiTheme="majorHAnsi" w:hAnsiTheme="majorHAnsi" w:cstheme="majorHAnsi"/>
          <w:color w:val="000000" w:themeColor="text1"/>
        </w:rPr>
      </w:pPr>
      <w:r w:rsidRPr="003015CD">
        <w:rPr>
          <w:rFonts w:asciiTheme="majorHAnsi" w:hAnsiTheme="majorHAnsi" w:cstheme="majorHAnsi"/>
          <w:color w:val="000000" w:themeColor="text1"/>
          <w:szCs w:val="22"/>
        </w:rPr>
        <w:t>a clinical development plan (CDP). The CDP shall indicate the progression from exploratory investigations, such as first-in-man studies, feasibility and pilot studies, to confirmatory investigations, such as pivotal clinical investigations, with an indication of milestones and a description of potential acceptance criteria</w:t>
      </w:r>
      <w:r w:rsidRPr="003015CD">
        <w:rPr>
          <w:rFonts w:asciiTheme="majorHAnsi" w:hAnsiTheme="majorHAnsi" w:cstheme="majorHAnsi"/>
          <w:color w:val="000000" w:themeColor="text1"/>
        </w:rPr>
        <w:t>. In some cases, for example for legacy devices, it may be acceptable for CDP to be limited to PMCF activities, if duly justified.</w:t>
      </w:r>
    </w:p>
    <w:p w14:paraId="30D2E55F" w14:textId="77777777" w:rsidR="004171CC" w:rsidRPr="003015CD" w:rsidRDefault="004171CC" w:rsidP="00081885">
      <w:pPr>
        <w:numPr>
          <w:ilvl w:val="1"/>
          <w:numId w:val="57"/>
        </w:numPr>
        <w:ind w:left="709"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reference to the PMCF plan with an indication of milestones and a description of potential acceptance criteria contained in the PMCF plan.</w:t>
      </w:r>
    </w:p>
    <w:p w14:paraId="25B62962" w14:textId="305B5F10" w:rsidR="004171CC" w:rsidRPr="003015CD" w:rsidRDefault="004171CC" w:rsidP="00081885">
      <w:pPr>
        <w:ind w:firstLine="567"/>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p>
    <w:p w14:paraId="585E4D19" w14:textId="7561F1A8" w:rsidR="004171CC" w:rsidRPr="003015CD" w:rsidRDefault="004171CC" w:rsidP="00081885">
      <w:pPr>
        <w:jc w:val="both"/>
        <w:rPr>
          <w:rFonts w:asciiTheme="majorHAnsi" w:hAnsiTheme="majorHAnsi" w:cstheme="majorHAnsi"/>
          <w:color w:val="000000" w:themeColor="text1"/>
        </w:rPr>
      </w:pPr>
      <w:r w:rsidRPr="003015CD">
        <w:rPr>
          <w:rFonts w:asciiTheme="majorHAnsi" w:eastAsiaTheme="minorHAnsi" w:hAnsiTheme="majorHAnsi" w:cstheme="majorHAnsi"/>
          <w:color w:val="000000" w:themeColor="text1"/>
          <w:szCs w:val="22"/>
        </w:rPr>
        <w:t>Planning of clinical evaluation stages 1-3</w:t>
      </w:r>
      <w:r w:rsidR="00632877" w:rsidRPr="003015CD">
        <w:rPr>
          <w:rFonts w:asciiTheme="majorHAnsi" w:eastAsiaTheme="minorHAnsi" w:hAnsiTheme="majorHAnsi" w:cstheme="majorHAnsi"/>
          <w:color w:val="000000" w:themeColor="text1"/>
          <w:szCs w:val="22"/>
        </w:rPr>
        <w:t xml:space="preserve"> </w:t>
      </w:r>
      <w:r w:rsidR="004E5B13" w:rsidRPr="003015CD">
        <w:rPr>
          <w:rFonts w:asciiTheme="majorHAnsi" w:eastAsiaTheme="minorHAnsi" w:hAnsiTheme="majorHAnsi" w:cstheme="majorHAnsi"/>
          <w:color w:val="000000" w:themeColor="text1"/>
          <w:szCs w:val="22"/>
        </w:rPr>
        <w:t>–</w:t>
      </w:r>
      <w:r w:rsidR="00632877" w:rsidRPr="003015CD">
        <w:rPr>
          <w:rFonts w:asciiTheme="majorHAnsi" w:eastAsiaTheme="minorHAnsi" w:hAnsiTheme="majorHAnsi" w:cstheme="majorHAnsi"/>
          <w:color w:val="000000" w:themeColor="text1"/>
          <w:szCs w:val="22"/>
        </w:rPr>
        <w:t xml:space="preserve"> </w:t>
      </w:r>
      <w:r w:rsidR="004E5B13" w:rsidRPr="003015CD">
        <w:rPr>
          <w:rFonts w:asciiTheme="majorHAnsi" w:eastAsiaTheme="minorHAnsi" w:hAnsiTheme="majorHAnsi" w:cstheme="majorHAnsi"/>
          <w:color w:val="000000" w:themeColor="text1"/>
          <w:szCs w:val="22"/>
        </w:rPr>
        <w:t xml:space="preserve">the </w:t>
      </w:r>
      <w:r w:rsidRPr="003015CD">
        <w:rPr>
          <w:rFonts w:asciiTheme="majorHAnsi" w:hAnsiTheme="majorHAnsi" w:cstheme="majorHAnsi"/>
          <w:color w:val="000000" w:themeColor="text1"/>
        </w:rPr>
        <w:t xml:space="preserve">methods to be used for identification, appraisal and analysis of available clinical data as described in Sections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_Ref165303089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8</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_Ref165303100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9</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and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_Ref165303113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10</w:t>
      </w:r>
      <w:r w:rsidRPr="003015CD">
        <w:rPr>
          <w:rFonts w:asciiTheme="majorHAnsi" w:hAnsiTheme="majorHAnsi" w:cstheme="majorHAnsi"/>
          <w:color w:val="000000" w:themeColor="text1"/>
        </w:rPr>
        <w:fldChar w:fldCharType="end"/>
      </w:r>
      <w:r w:rsidR="004E5B13" w:rsidRPr="003015CD">
        <w:rPr>
          <w:rFonts w:asciiTheme="majorHAnsi" w:hAnsiTheme="majorHAnsi" w:cstheme="majorHAnsi"/>
          <w:color w:val="000000" w:themeColor="text1"/>
        </w:rPr>
        <w:t xml:space="preserve"> - </w:t>
      </w:r>
      <w:r w:rsidRPr="003015CD">
        <w:rPr>
          <w:rFonts w:asciiTheme="majorHAnsi" w:hAnsiTheme="majorHAnsi" w:cstheme="majorHAnsi"/>
          <w:color w:val="000000" w:themeColor="text1"/>
        </w:rPr>
        <w:t xml:space="preserve">should also be specified in the CEP or in dedicated documents (see Section 12.1). </w:t>
      </w:r>
    </w:p>
    <w:p w14:paraId="34C09046" w14:textId="51633C58" w:rsidR="004171CC" w:rsidRPr="003015CD" w:rsidRDefault="004171CC" w:rsidP="00081885">
      <w:pPr>
        <w:jc w:val="both"/>
        <w:rPr>
          <w:rFonts w:asciiTheme="majorHAnsi" w:hAnsiTheme="majorHAnsi" w:cstheme="majorHAnsi"/>
          <w:color w:val="000000" w:themeColor="text1"/>
        </w:rPr>
      </w:pPr>
      <w:r w:rsidRPr="003015CD">
        <w:rPr>
          <w:rFonts w:eastAsia="Times New Roman"/>
        </w:rPr>
        <w:t>Moreover, as stated in MDR Article 61(1), the manufacturer must specify and justify the level of clinical evidence necessary to demonstrate conformity with the relevant GSPR</w:t>
      </w:r>
      <w:r w:rsidR="003D15D0" w:rsidRPr="003015CD">
        <w:rPr>
          <w:rFonts w:eastAsia="Times New Roman"/>
        </w:rPr>
        <w:t>s</w:t>
      </w:r>
      <w:r w:rsidRPr="003015CD">
        <w:rPr>
          <w:rFonts w:eastAsia="Times New Roman"/>
        </w:rPr>
        <w:t xml:space="preserve">. This specification and justification should be included in the CEP (please see Appendix </w:t>
      </w:r>
      <w:r w:rsidR="006D3174" w:rsidRPr="003015CD">
        <w:rPr>
          <w:rFonts w:eastAsia="Times New Roman"/>
        </w:rPr>
        <w:fldChar w:fldCharType="begin"/>
      </w:r>
      <w:r w:rsidR="006D3174" w:rsidRPr="003015CD">
        <w:rPr>
          <w:rFonts w:eastAsia="Times New Roman"/>
        </w:rPr>
        <w:instrText xml:space="preserve"> REF _Ref233808176 \r \h </w:instrText>
      </w:r>
      <w:r w:rsidR="006D3174" w:rsidRPr="003015CD">
        <w:rPr>
          <w:rFonts w:eastAsia="Times New Roman"/>
        </w:rPr>
      </w:r>
      <w:r w:rsidR="006D3174" w:rsidRPr="003015CD">
        <w:rPr>
          <w:rFonts w:eastAsia="Times New Roman"/>
        </w:rPr>
        <w:fldChar w:fldCharType="separate"/>
      </w:r>
      <w:r w:rsidR="006D3174" w:rsidRPr="003015CD">
        <w:rPr>
          <w:rFonts w:eastAsia="Times New Roman"/>
        </w:rPr>
        <w:t>A10</w:t>
      </w:r>
      <w:r w:rsidR="006D3174" w:rsidRPr="003015CD">
        <w:rPr>
          <w:rFonts w:eastAsia="Times New Roman"/>
        </w:rPr>
        <w:fldChar w:fldCharType="end"/>
      </w:r>
      <w:r w:rsidRPr="003015CD">
        <w:rPr>
          <w:rFonts w:eastAsia="Times New Roman"/>
        </w:rPr>
        <w:t xml:space="preserve"> for guidance on how to specify and justify the level of clinical evidence necessary). Once specified and justified, this can act as the minimum level to which the analysis (see Section 10) should compare and enables the manufacturer to determine whether the analysed clinical data provides sufficient clinical evidence in line with Article 61(1). </w:t>
      </w:r>
    </w:p>
    <w:p w14:paraId="5A6B9F40" w14:textId="072C011C"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_Ref165303152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A3</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for CEP typical content.</w:t>
      </w:r>
    </w:p>
    <w:p w14:paraId="5CE590BF" w14:textId="77777777" w:rsidR="004171CC" w:rsidRPr="003015CD" w:rsidRDefault="004171CC" w:rsidP="00081885">
      <w:pPr>
        <w:jc w:val="both"/>
        <w:rPr>
          <w:rFonts w:asciiTheme="majorHAnsi" w:hAnsiTheme="majorHAnsi" w:cstheme="majorHAnsi"/>
          <w:color w:val="000000" w:themeColor="text1"/>
        </w:rPr>
      </w:pPr>
    </w:p>
    <w:p w14:paraId="6DEEE266" w14:textId="77777777" w:rsidR="004171CC" w:rsidRPr="003015CD" w:rsidRDefault="004171CC" w:rsidP="00B65C19">
      <w:pPr>
        <w:pStyle w:val="Titre2"/>
        <w:autoSpaceDE/>
        <w:autoSpaceDN/>
        <w:adjustRightInd/>
        <w:ind w:left="0" w:firstLine="0"/>
        <w:jc w:val="both"/>
        <w:rPr>
          <w:rFonts w:asciiTheme="majorHAnsi" w:hAnsiTheme="majorHAnsi" w:cstheme="majorHAnsi"/>
          <w:color w:val="000000" w:themeColor="text1"/>
        </w:rPr>
      </w:pPr>
      <w:bookmarkStart w:id="51" w:name="_Toc236912878"/>
      <w:bookmarkStart w:id="52" w:name="_Hlk145431572"/>
      <w:bookmarkEnd w:id="50"/>
      <w:r w:rsidRPr="003015CD">
        <w:rPr>
          <w:rFonts w:asciiTheme="majorHAnsi" w:hAnsiTheme="majorHAnsi" w:cstheme="majorHAnsi"/>
          <w:color w:val="000000" w:themeColor="text1"/>
        </w:rPr>
        <w:t>Specific considerations for the clinical evaluation of certain device categories</w:t>
      </w:r>
      <w:bookmarkEnd w:id="51"/>
    </w:p>
    <w:p w14:paraId="00705C4B"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53" w:name="_Toc158730992"/>
      <w:r w:rsidRPr="003015CD">
        <w:rPr>
          <w:rFonts w:asciiTheme="majorHAnsi" w:hAnsiTheme="majorHAnsi" w:cstheme="majorHAnsi"/>
          <w:color w:val="000000" w:themeColor="text1"/>
        </w:rPr>
        <w:t xml:space="preserve"> </w:t>
      </w:r>
      <w:bookmarkStart w:id="54" w:name="_Toc236912879"/>
      <w:r w:rsidRPr="003015CD">
        <w:rPr>
          <w:rFonts w:asciiTheme="majorHAnsi" w:hAnsiTheme="majorHAnsi" w:cstheme="majorHAnsi"/>
          <w:color w:val="000000" w:themeColor="text1"/>
        </w:rPr>
        <w:t>Implantable and class III devices (application of art. 61 (4)-(6))</w:t>
      </w:r>
      <w:bookmarkEnd w:id="53"/>
      <w:bookmarkEnd w:id="54"/>
    </w:p>
    <w:p w14:paraId="11A7DF44" w14:textId="77777777" w:rsidR="004D76FF" w:rsidRPr="003015CD" w:rsidRDefault="004171CC" w:rsidP="00081885">
      <w:pPr>
        <w:jc w:val="both"/>
        <w:rPr>
          <w:rFonts w:asciiTheme="majorHAnsi" w:eastAsiaTheme="minorEastAsia" w:hAnsiTheme="majorHAnsi" w:cstheme="majorHAnsi"/>
          <w:color w:val="000000" w:themeColor="text1"/>
          <w:szCs w:val="22"/>
        </w:rPr>
      </w:pPr>
      <w:r w:rsidRPr="003015CD">
        <w:rPr>
          <w:rFonts w:asciiTheme="majorHAnsi" w:hAnsiTheme="majorHAnsi" w:cstheme="majorHAnsi"/>
          <w:color w:val="000000" w:themeColor="text1"/>
        </w:rPr>
        <w:t xml:space="preserve">Article 61(4) of MDR requires clinical investigations to be performed for implantable and class III devices. There are however four exemptions from this requirement as outlined in bullets 1-3 of paragraph (4) and in paragraphs (5), (6)(a) and (6)(b) respectively. For these cases there are circumstances under which it may be appropriate to use data coming from sources other than clinical investigations carried out on the device under evaluation. </w:t>
      </w:r>
      <w:r w:rsidRPr="003015CD">
        <w:rPr>
          <w:rFonts w:asciiTheme="majorHAnsi" w:eastAsiaTheme="minorHAnsi" w:hAnsiTheme="majorHAnsi" w:cstheme="majorHAnsi"/>
          <w:color w:val="000000" w:themeColor="text1"/>
          <w:szCs w:val="22"/>
        </w:rPr>
        <w:t xml:space="preserve"> Clarifications on these matters are provided by MDCG  2023-7, MDCG 2020-5 and MDCG 2020-6.</w:t>
      </w:r>
      <w:r w:rsidRPr="003015CD">
        <w:rPr>
          <w:rFonts w:asciiTheme="majorHAnsi" w:eastAsiaTheme="minorEastAsia" w:hAnsiTheme="majorHAnsi" w:cstheme="majorHAnsi"/>
          <w:color w:val="000000" w:themeColor="text1"/>
          <w:szCs w:val="22"/>
        </w:rPr>
        <w:t xml:space="preserve"> </w:t>
      </w:r>
    </w:p>
    <w:p w14:paraId="719158D3" w14:textId="41FC6C32" w:rsidR="004171CC" w:rsidRPr="003015CD" w:rsidRDefault="004171CC" w:rsidP="00081885">
      <w:pPr>
        <w:jc w:val="both"/>
        <w:rPr>
          <w:rFonts w:asciiTheme="majorHAnsi" w:eastAsiaTheme="minorHAnsi" w:hAnsiTheme="majorHAnsi" w:cstheme="majorHAnsi"/>
          <w:color w:val="000000" w:themeColor="text1"/>
          <w:szCs w:val="22"/>
        </w:rPr>
      </w:pPr>
      <w:r w:rsidRPr="003015CD">
        <w:rPr>
          <w:rFonts w:asciiTheme="majorHAnsi" w:eastAsiaTheme="minorEastAsia" w:hAnsiTheme="majorHAnsi" w:cstheme="majorHAnsi"/>
          <w:color w:val="000000" w:themeColor="text1"/>
          <w:szCs w:val="22"/>
        </w:rPr>
        <w:t>In the case where a clinical investigation is determined to be mandatory,</w:t>
      </w:r>
      <w:r w:rsidRPr="003015CD">
        <w:rPr>
          <w:rFonts w:asciiTheme="majorHAnsi" w:eastAsiaTheme="minorEastAsia" w:hAnsiTheme="majorHAnsi" w:cstheme="majorHAnsi"/>
          <w:color w:val="000000" w:themeColor="text1"/>
        </w:rPr>
        <w:t xml:space="preserve"> i.e., where none of the above-mentioned exemption applies, </w:t>
      </w:r>
      <w:r w:rsidRPr="003015CD">
        <w:rPr>
          <w:rFonts w:asciiTheme="majorHAnsi" w:eastAsiaTheme="minorEastAsia" w:hAnsiTheme="majorHAnsi" w:cstheme="majorHAnsi"/>
          <w:color w:val="000000" w:themeColor="text1"/>
          <w:szCs w:val="22"/>
        </w:rPr>
        <w:t>in order to obtain the needed clinical data to support the clinical evidence for a claimed indication</w:t>
      </w:r>
      <w:r w:rsidR="009A2205" w:rsidRPr="003015CD">
        <w:rPr>
          <w:rFonts w:asciiTheme="majorHAnsi" w:eastAsiaTheme="minorEastAsia" w:hAnsiTheme="majorHAnsi" w:cstheme="majorHAnsi"/>
          <w:color w:val="000000" w:themeColor="text1"/>
          <w:szCs w:val="22"/>
        </w:rPr>
        <w:t xml:space="preserve"> MDR</w:t>
      </w:r>
      <w:r w:rsidR="004D76FF" w:rsidRPr="003015CD">
        <w:rPr>
          <w:rFonts w:asciiTheme="majorHAnsi" w:eastAsiaTheme="minorEastAsia" w:hAnsiTheme="majorHAnsi" w:cstheme="majorHAnsi"/>
          <w:color w:val="000000" w:themeColor="text1"/>
          <w:szCs w:val="22"/>
        </w:rPr>
        <w:t xml:space="preserve"> </w:t>
      </w:r>
      <w:r w:rsidRPr="003015CD">
        <w:rPr>
          <w:rFonts w:asciiTheme="majorHAnsi" w:eastAsiaTheme="minorEastAsia" w:hAnsiTheme="majorHAnsi" w:cstheme="majorHAnsi"/>
          <w:color w:val="000000" w:themeColor="text1"/>
          <w:szCs w:val="22"/>
        </w:rPr>
        <w:t xml:space="preserve">does not specify the number or extent of the clinical investigation(s) required. However, as a minimum, mandatory clinical investigation(s) should be understood to mean a pivotal clinical investigation(s) generating pivotal data (see Section </w:t>
      </w:r>
      <w:r w:rsidRPr="003015CD">
        <w:rPr>
          <w:rFonts w:asciiTheme="majorHAnsi" w:eastAsiaTheme="minorEastAsia" w:hAnsiTheme="majorHAnsi" w:cstheme="majorHAnsi"/>
          <w:color w:val="000000" w:themeColor="text1"/>
          <w:szCs w:val="22"/>
        </w:rPr>
        <w:fldChar w:fldCharType="begin"/>
      </w:r>
      <w:r w:rsidRPr="003015CD">
        <w:rPr>
          <w:rFonts w:asciiTheme="majorHAnsi" w:eastAsiaTheme="minorEastAsia" w:hAnsiTheme="majorHAnsi" w:cstheme="majorHAnsi"/>
          <w:color w:val="000000" w:themeColor="text1"/>
          <w:szCs w:val="22"/>
        </w:rPr>
        <w:instrText xml:space="preserve"> REF _Ref171001626 \r \h  \* MERGEFORMAT </w:instrText>
      </w:r>
      <w:r w:rsidRPr="003015CD">
        <w:rPr>
          <w:rFonts w:asciiTheme="majorHAnsi" w:eastAsiaTheme="minorEastAsia" w:hAnsiTheme="majorHAnsi" w:cstheme="majorHAnsi"/>
          <w:color w:val="000000" w:themeColor="text1"/>
          <w:szCs w:val="22"/>
        </w:rPr>
      </w:r>
      <w:r w:rsidRPr="003015CD">
        <w:rPr>
          <w:rFonts w:asciiTheme="majorHAnsi" w:eastAsiaTheme="minorEastAsia" w:hAnsiTheme="majorHAnsi" w:cstheme="majorHAnsi"/>
          <w:color w:val="000000" w:themeColor="text1"/>
          <w:szCs w:val="22"/>
        </w:rPr>
        <w:fldChar w:fldCharType="separate"/>
      </w:r>
      <w:r w:rsidR="001D11FB" w:rsidRPr="003015CD">
        <w:rPr>
          <w:rFonts w:asciiTheme="majorHAnsi" w:eastAsiaTheme="minorEastAsia" w:hAnsiTheme="majorHAnsi" w:cstheme="majorHAnsi"/>
          <w:color w:val="000000" w:themeColor="text1"/>
          <w:szCs w:val="22"/>
        </w:rPr>
        <w:t>11.1</w:t>
      </w:r>
      <w:r w:rsidRPr="003015CD">
        <w:rPr>
          <w:rFonts w:asciiTheme="majorHAnsi" w:eastAsiaTheme="minorEastAsia" w:hAnsiTheme="majorHAnsi" w:cstheme="majorHAnsi"/>
          <w:color w:val="000000" w:themeColor="text1"/>
          <w:szCs w:val="22"/>
        </w:rPr>
        <w:fldChar w:fldCharType="end"/>
      </w:r>
      <w:r w:rsidRPr="003015CD">
        <w:rPr>
          <w:rFonts w:asciiTheme="majorHAnsi" w:eastAsiaTheme="minorEastAsia" w:hAnsiTheme="majorHAnsi" w:cstheme="majorHAnsi"/>
          <w:color w:val="000000" w:themeColor="text1"/>
          <w:szCs w:val="22"/>
        </w:rPr>
        <w:t>).</w:t>
      </w:r>
      <w:r w:rsidRPr="003015CD">
        <w:rPr>
          <w:rFonts w:asciiTheme="majorHAnsi" w:eastAsiaTheme="minorHAnsi" w:hAnsiTheme="majorHAnsi" w:cstheme="majorHAnsi"/>
          <w:color w:val="000000" w:themeColor="text1"/>
          <w:szCs w:val="22"/>
        </w:rPr>
        <w:t xml:space="preserve"> As such, exploratory investigations such as feasibility or first in man studies are not normally sufficient to meet the requirement for a mandatory clinical investigation.</w:t>
      </w:r>
    </w:p>
    <w:p w14:paraId="70097D9A" w14:textId="77777777" w:rsidR="004171CC" w:rsidRPr="003015CD" w:rsidRDefault="004171CC" w:rsidP="00081885">
      <w:pPr>
        <w:jc w:val="both"/>
        <w:rPr>
          <w:rFonts w:asciiTheme="majorHAnsi" w:eastAsiaTheme="minorHAnsi" w:hAnsiTheme="majorHAnsi" w:cstheme="majorHAnsi"/>
          <w:color w:val="000000" w:themeColor="text1"/>
          <w:szCs w:val="22"/>
        </w:rPr>
      </w:pPr>
    </w:p>
    <w:p w14:paraId="3724785A"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55" w:name="_Toc151129063"/>
      <w:bookmarkStart w:id="56" w:name="_Toc151129338"/>
      <w:bookmarkStart w:id="57" w:name="_Toc151129960"/>
      <w:bookmarkStart w:id="58" w:name="_Toc155681006"/>
      <w:bookmarkStart w:id="59" w:name="_Toc158730993"/>
      <w:bookmarkStart w:id="60" w:name="_Toc158731003"/>
      <w:bookmarkStart w:id="61" w:name="_Toc236912880"/>
      <w:bookmarkEnd w:id="55"/>
      <w:bookmarkEnd w:id="56"/>
      <w:bookmarkEnd w:id="57"/>
      <w:bookmarkEnd w:id="58"/>
      <w:bookmarkEnd w:id="59"/>
      <w:r w:rsidRPr="003015CD">
        <w:rPr>
          <w:rFonts w:asciiTheme="majorHAnsi" w:hAnsiTheme="majorHAnsi" w:cstheme="majorHAnsi"/>
          <w:color w:val="000000" w:themeColor="text1"/>
        </w:rPr>
        <w:t>Annex XVI products</w:t>
      </w:r>
      <w:bookmarkEnd w:id="60"/>
      <w:bookmarkEnd w:id="61"/>
    </w:p>
    <w:p w14:paraId="0D29F4D5" w14:textId="6746E216" w:rsidR="004171CC" w:rsidRPr="003015CD" w:rsidRDefault="004171CC" w:rsidP="00081885">
      <w:pPr>
        <w:jc w:val="both"/>
        <w:rPr>
          <w:rFonts w:asciiTheme="majorHAnsi" w:hAnsiTheme="majorHAnsi" w:cstheme="majorHAnsi"/>
          <w:iCs/>
          <w:color w:val="000000" w:themeColor="text1"/>
        </w:rPr>
      </w:pPr>
      <w:r w:rsidRPr="003015CD">
        <w:rPr>
          <w:rFonts w:asciiTheme="majorHAnsi" w:hAnsiTheme="majorHAnsi" w:cstheme="majorHAnsi"/>
          <w:iCs/>
          <w:color w:val="000000" w:themeColor="text1"/>
        </w:rPr>
        <w:t xml:space="preserve">MDR provides that the clinical evaluation of products without an intended medical purpose are to be based on relevant clinical data concerning performance and safety. Such data are to include information from PMS, PMCF, and, where applicable, specific clinical investigations. The general principles proposed by this guidance document are relevant for the clinical evaluation of Annex XVI products provided that the requirement to demonstrate the clinical benefit is understood as a requirement to demonstrate the performance of these products in accordance with Article 61(9). Following with the principles established in preamble (11) of Commission Implementing Regulation (EU) 2022/2346, the document MDCG 2023-6 “Guidance on demonstration of equivalence for Annex XVI products - A guide for manufacturers and notified bodies” clarifies how to demonstrate equivalence for Annex XVI products. </w:t>
      </w:r>
    </w:p>
    <w:p w14:paraId="1DA24495" w14:textId="77777777" w:rsidR="004171CC" w:rsidRPr="003015CD" w:rsidRDefault="004171CC" w:rsidP="00081885">
      <w:pPr>
        <w:jc w:val="both"/>
        <w:rPr>
          <w:rFonts w:asciiTheme="majorHAnsi" w:hAnsiTheme="majorHAnsi" w:cstheme="majorHAnsi"/>
          <w:iCs/>
          <w:color w:val="000000" w:themeColor="text1"/>
        </w:rPr>
      </w:pPr>
    </w:p>
    <w:p w14:paraId="752DBA41"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62" w:name="_Toc158731004"/>
      <w:bookmarkStart w:id="63" w:name="_Ref163489758"/>
      <w:bookmarkStart w:id="64" w:name="_Toc236912881"/>
      <w:r w:rsidRPr="003015CD">
        <w:rPr>
          <w:rFonts w:asciiTheme="majorHAnsi" w:hAnsiTheme="majorHAnsi" w:cstheme="majorHAnsi"/>
          <w:color w:val="000000" w:themeColor="text1"/>
        </w:rPr>
        <w:t>Custom made devices</w:t>
      </w:r>
      <w:bookmarkEnd w:id="62"/>
      <w:bookmarkEnd w:id="63"/>
      <w:bookmarkEnd w:id="64"/>
    </w:p>
    <w:p w14:paraId="764F3D4E" w14:textId="0F9F1136" w:rsidR="004171CC" w:rsidRPr="003015CD" w:rsidRDefault="004171CC" w:rsidP="00081885">
      <w:pPr>
        <w:pStyle w:val="Commentaire"/>
        <w:jc w:val="both"/>
        <w:rPr>
          <w:rFonts w:asciiTheme="majorHAnsi" w:eastAsiaTheme="minorHAnsi" w:hAnsiTheme="majorHAnsi" w:cstheme="majorHAnsi"/>
          <w:color w:val="000000" w:themeColor="text1"/>
          <w:sz w:val="22"/>
          <w:szCs w:val="22"/>
        </w:rPr>
      </w:pPr>
      <w:r w:rsidRPr="003015CD">
        <w:rPr>
          <w:rFonts w:asciiTheme="majorHAnsi" w:eastAsiaTheme="minorHAnsi" w:hAnsiTheme="majorHAnsi" w:cstheme="majorHAnsi"/>
          <w:color w:val="000000" w:themeColor="text1"/>
          <w:sz w:val="22"/>
          <w:szCs w:val="22"/>
        </w:rPr>
        <w:t>As for any other medical device manufacturer, custom made devices’ manufacturers shall establish, document, implement, maintain, keep up to date and continuously improve a quality management system (QMS) that shall ensure compliance with  MDR in the most effective manner that is proportionate to the risk class and the type of device</w:t>
      </w:r>
      <w:r w:rsidRPr="003015CD">
        <w:rPr>
          <w:rStyle w:val="Appelnotedebasdep"/>
          <w:rFonts w:asciiTheme="majorHAnsi" w:eastAsiaTheme="minorHAnsi" w:hAnsiTheme="majorHAnsi" w:cstheme="majorHAnsi"/>
          <w:color w:val="000000" w:themeColor="text1"/>
          <w:sz w:val="22"/>
          <w:szCs w:val="22"/>
        </w:rPr>
        <w:footnoteReference w:id="19"/>
      </w:r>
      <w:r w:rsidRPr="003015CD">
        <w:rPr>
          <w:rFonts w:asciiTheme="majorHAnsi" w:eastAsiaTheme="minorHAnsi" w:hAnsiTheme="majorHAnsi" w:cstheme="majorHAnsi"/>
          <w:color w:val="000000" w:themeColor="text1"/>
          <w:sz w:val="22"/>
          <w:szCs w:val="22"/>
        </w:rPr>
        <w:t>. The QMS must address all elements described in Article 10(9) of MDR, including</w:t>
      </w:r>
      <w:r w:rsidRPr="003015CD" w:rsidDel="004E6316">
        <w:rPr>
          <w:rFonts w:asciiTheme="majorHAnsi" w:eastAsiaTheme="minorHAnsi" w:hAnsiTheme="majorHAnsi" w:cstheme="majorHAnsi"/>
          <w:color w:val="000000" w:themeColor="text1"/>
          <w:sz w:val="22"/>
          <w:szCs w:val="22"/>
        </w:rPr>
        <w:t xml:space="preserve"> </w:t>
      </w:r>
      <w:r w:rsidRPr="003015CD">
        <w:rPr>
          <w:rFonts w:asciiTheme="majorHAnsi" w:eastAsiaTheme="minorHAnsi" w:hAnsiTheme="majorHAnsi" w:cstheme="majorHAnsi"/>
          <w:color w:val="000000" w:themeColor="text1"/>
          <w:sz w:val="22"/>
          <w:szCs w:val="22"/>
        </w:rPr>
        <w:t>clinical evaluation in accordance with Article 61 and Annex XIV, including PMCF. Therefore, Article 61(12), stating that the clinical evaluation report shall be part of the technical documentation referred to in Annex II except for custom-made devices, should not be interpreted as an exemption from performing clinical evaluation for CMDs. This paragraph only states that Annex II technical documentation does not need to be provided for CMDs</w:t>
      </w:r>
      <w:r w:rsidRPr="003015CD">
        <w:rPr>
          <w:rStyle w:val="Appelnotedebasdep"/>
          <w:rFonts w:asciiTheme="majorHAnsi" w:eastAsiaTheme="minorHAnsi" w:hAnsiTheme="majorHAnsi" w:cstheme="majorHAnsi"/>
          <w:color w:val="000000" w:themeColor="text1"/>
          <w:sz w:val="22"/>
          <w:szCs w:val="22"/>
        </w:rPr>
        <w:footnoteReference w:id="20"/>
      </w:r>
      <w:r w:rsidRPr="003015CD">
        <w:rPr>
          <w:rFonts w:asciiTheme="majorHAnsi" w:eastAsiaTheme="minorHAnsi" w:hAnsiTheme="majorHAnsi" w:cstheme="majorHAnsi"/>
          <w:color w:val="000000" w:themeColor="text1"/>
          <w:sz w:val="22"/>
          <w:szCs w:val="22"/>
        </w:rPr>
        <w:t>.  CMD manufacturers should apply these obligations to devices with the same intended purpose, materials used, process utilised, same principal design etc. and not to each individual CMD. For more information refer to MDCG 2021-3.</w:t>
      </w:r>
    </w:p>
    <w:p w14:paraId="58EFD68A" w14:textId="77777777" w:rsidR="004171CC" w:rsidRPr="003015CD" w:rsidRDefault="004171CC" w:rsidP="00081885">
      <w:pPr>
        <w:pStyle w:val="Commentaire"/>
        <w:jc w:val="both"/>
        <w:rPr>
          <w:rFonts w:asciiTheme="majorHAnsi" w:eastAsiaTheme="minorHAnsi" w:hAnsiTheme="majorHAnsi" w:cstheme="majorHAnsi"/>
          <w:color w:val="000000" w:themeColor="text1"/>
          <w:sz w:val="22"/>
          <w:szCs w:val="22"/>
        </w:rPr>
      </w:pPr>
    </w:p>
    <w:p w14:paraId="04065A0E"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65" w:name="_Toc155681018"/>
      <w:bookmarkStart w:id="66" w:name="_Toc158731006"/>
      <w:bookmarkStart w:id="67" w:name="_Toc236912882"/>
      <w:bookmarkEnd w:id="65"/>
      <w:r w:rsidRPr="003015CD">
        <w:rPr>
          <w:rFonts w:asciiTheme="majorHAnsi" w:hAnsiTheme="majorHAnsi" w:cstheme="majorHAnsi"/>
          <w:color w:val="000000" w:themeColor="text1"/>
        </w:rPr>
        <w:t>Legacy devices</w:t>
      </w:r>
      <w:bookmarkEnd w:id="66"/>
      <w:bookmarkEnd w:id="67"/>
    </w:p>
    <w:p w14:paraId="02B99079"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For specific aspects pertaining to clinical evaluation of legacy devices see MDCG 2020-6</w:t>
      </w:r>
      <w:r w:rsidRPr="003015CD">
        <w:rPr>
          <w:rStyle w:val="Appelnotedebasdep"/>
          <w:rFonts w:asciiTheme="majorHAnsi" w:hAnsiTheme="majorHAnsi" w:cstheme="majorHAnsi"/>
          <w:color w:val="000000" w:themeColor="text1"/>
        </w:rPr>
        <w:footnoteReference w:id="21"/>
      </w:r>
      <w:r w:rsidRPr="003015CD">
        <w:rPr>
          <w:rFonts w:asciiTheme="majorHAnsi" w:hAnsiTheme="majorHAnsi" w:cstheme="majorHAnsi"/>
          <w:color w:val="000000" w:themeColor="text1"/>
        </w:rPr>
        <w:t>.</w:t>
      </w:r>
    </w:p>
    <w:p w14:paraId="23E82D14"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68" w:name="_Toc236912883"/>
      <w:r w:rsidRPr="003015CD">
        <w:rPr>
          <w:rFonts w:asciiTheme="majorHAnsi" w:hAnsiTheme="majorHAnsi" w:cstheme="majorHAnsi"/>
          <w:color w:val="000000" w:themeColor="text1"/>
        </w:rPr>
        <w:t>Medical device software</w:t>
      </w:r>
      <w:bookmarkEnd w:id="68"/>
    </w:p>
    <w:p w14:paraId="1D1617CF" w14:textId="77777777" w:rsidR="004171CC" w:rsidRPr="003015CD" w:rsidRDefault="004171CC" w:rsidP="00081885">
      <w:pPr>
        <w:jc w:val="both"/>
        <w:rPr>
          <w:rFonts w:asciiTheme="majorHAnsi" w:eastAsiaTheme="minorHAnsi" w:hAnsiTheme="majorHAnsi" w:cstheme="majorHAnsi"/>
          <w:color w:val="000000" w:themeColor="text1"/>
          <w:szCs w:val="22"/>
        </w:rPr>
      </w:pPr>
      <w:r w:rsidRPr="003015CD">
        <w:rPr>
          <w:rFonts w:asciiTheme="majorHAnsi" w:eastAsiaTheme="minorHAnsi" w:hAnsiTheme="majorHAnsi" w:cstheme="majorHAnsi"/>
          <w:color w:val="000000" w:themeColor="text1"/>
          <w:szCs w:val="22"/>
        </w:rPr>
        <w:t>For specific aspects pertaining to clinical evaluation of medical device software see MDCG 2020-1.</w:t>
      </w:r>
    </w:p>
    <w:p w14:paraId="739C2BE0"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69" w:name="_Ref164526539"/>
      <w:bookmarkStart w:id="70" w:name="_Toc236912884"/>
      <w:r w:rsidRPr="003015CD">
        <w:rPr>
          <w:rFonts w:asciiTheme="majorHAnsi" w:hAnsiTheme="majorHAnsi" w:cstheme="majorHAnsi"/>
          <w:color w:val="000000" w:themeColor="text1"/>
        </w:rPr>
        <w:t>Devices for which demonstration of conformity based on clinical data is not deemed appropriate</w:t>
      </w:r>
      <w:bookmarkEnd w:id="69"/>
      <w:bookmarkEnd w:id="70"/>
    </w:p>
    <w:p w14:paraId="5632C693" w14:textId="32591BDD" w:rsidR="004171CC" w:rsidRPr="003015CD" w:rsidRDefault="004171CC" w:rsidP="00B65C19">
      <w:p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Where demonstration of conformity with GSPR</w:t>
      </w:r>
      <w:r w:rsidR="00097965" w:rsidRPr="003015CD">
        <w:rPr>
          <w:rFonts w:asciiTheme="majorHAnsi" w:eastAsiaTheme="minorHAnsi" w:hAnsiTheme="majorHAnsi" w:cstheme="majorHAnsi"/>
          <w:color w:val="000000" w:themeColor="text1"/>
          <w:szCs w:val="22"/>
        </w:rPr>
        <w:t>s</w:t>
      </w:r>
      <w:r w:rsidRPr="003015CD">
        <w:rPr>
          <w:rFonts w:asciiTheme="majorHAnsi" w:eastAsiaTheme="minorHAnsi" w:hAnsiTheme="majorHAnsi" w:cstheme="majorHAnsi"/>
          <w:color w:val="000000" w:themeColor="text1"/>
          <w:szCs w:val="22"/>
        </w:rPr>
        <w:t xml:space="preserve"> based on clinical data is not deemed appropriate, an adequate justification for any such exception must be given by the manufacturer in accordance with Article 61(10) of MDR in the </w:t>
      </w:r>
      <w:r w:rsidR="00CD1204" w:rsidRPr="003015CD">
        <w:rPr>
          <w:rFonts w:asciiTheme="majorHAnsi" w:eastAsiaTheme="minorHAnsi" w:hAnsiTheme="majorHAnsi" w:cstheme="majorHAnsi"/>
          <w:color w:val="000000" w:themeColor="text1"/>
          <w:szCs w:val="22"/>
        </w:rPr>
        <w:t>CEP</w:t>
      </w:r>
      <w:r w:rsidR="000F0A43" w:rsidRPr="003015CD">
        <w:rPr>
          <w:rFonts w:asciiTheme="majorHAnsi" w:eastAsiaTheme="minorHAnsi" w:hAnsiTheme="majorHAnsi" w:cstheme="majorHAnsi"/>
          <w:color w:val="000000" w:themeColor="text1"/>
          <w:szCs w:val="22"/>
        </w:rPr>
        <w:t>,</w:t>
      </w:r>
      <w:r w:rsidR="008B3249" w:rsidRPr="003015CD">
        <w:rPr>
          <w:rFonts w:asciiTheme="majorHAnsi" w:eastAsiaTheme="minorHAnsi" w:hAnsiTheme="majorHAnsi" w:cstheme="majorHAnsi"/>
          <w:color w:val="000000" w:themeColor="text1"/>
          <w:szCs w:val="22"/>
        </w:rPr>
        <w:t xml:space="preserve"> which is part of</w:t>
      </w:r>
      <w:r w:rsidR="005E7CBA" w:rsidRPr="003015CD">
        <w:rPr>
          <w:rFonts w:asciiTheme="majorHAnsi" w:eastAsiaTheme="minorHAnsi" w:hAnsiTheme="majorHAnsi" w:cstheme="majorHAnsi"/>
          <w:color w:val="000000" w:themeColor="text1"/>
          <w:szCs w:val="22"/>
        </w:rPr>
        <w:t xml:space="preserve"> </w:t>
      </w:r>
      <w:r w:rsidRPr="003015CD">
        <w:rPr>
          <w:rFonts w:asciiTheme="majorHAnsi" w:eastAsiaTheme="minorHAnsi" w:hAnsiTheme="majorHAnsi" w:cstheme="majorHAnsi"/>
          <w:color w:val="000000" w:themeColor="text1"/>
          <w:szCs w:val="22"/>
        </w:rPr>
        <w:t xml:space="preserve">the technical documentation referred to in Annex II of MDR. The justification must be based on the results of the manufacturer’s risk management and on consideration of the specifics of the interaction between the device and the human body, the intended clinical performance and the claims of the manufacturer. Article 61(10) is not applicable to class III or implantable devices. </w:t>
      </w:r>
    </w:p>
    <w:p w14:paraId="74F8D861" w14:textId="3B9F90F4" w:rsidR="004171CC" w:rsidRPr="003015CD" w:rsidRDefault="004171CC" w:rsidP="00B65C19">
      <w:p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 xml:space="preserve">For devices applying Article 61(10) of MDR, their CER should include at least the following information: </w:t>
      </w:r>
    </w:p>
    <w:p w14:paraId="4B69F08C" w14:textId="51C660F7" w:rsidR="004171CC" w:rsidRPr="003015CD" w:rsidRDefault="004171CC" w:rsidP="00B65C19">
      <w:pPr>
        <w:pStyle w:val="Paragraphedeliste"/>
        <w:numPr>
          <w:ilvl w:val="0"/>
          <w:numId w:val="324"/>
        </w:num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a</w:t>
      </w:r>
      <w:r w:rsidR="00F43C09" w:rsidRPr="003015CD">
        <w:rPr>
          <w:rFonts w:asciiTheme="majorHAnsi" w:eastAsiaTheme="minorHAnsi" w:hAnsiTheme="majorHAnsi" w:cstheme="majorHAnsi"/>
          <w:color w:val="000000" w:themeColor="text1"/>
          <w:szCs w:val="22"/>
        </w:rPr>
        <w:t xml:space="preserve"> description </w:t>
      </w:r>
      <w:r w:rsidRPr="003015CD">
        <w:rPr>
          <w:rFonts w:asciiTheme="majorHAnsi" w:eastAsiaTheme="minorHAnsi" w:hAnsiTheme="majorHAnsi" w:cstheme="majorHAnsi"/>
          <w:color w:val="000000" w:themeColor="text1"/>
          <w:szCs w:val="22"/>
        </w:rPr>
        <w:t>of the</w:t>
      </w:r>
      <w:r w:rsidR="006D182F" w:rsidRPr="003015CD">
        <w:rPr>
          <w:rFonts w:asciiTheme="majorHAnsi" w:eastAsiaTheme="minorHAnsi" w:hAnsiTheme="majorHAnsi" w:cstheme="majorHAnsi"/>
          <w:color w:val="000000" w:themeColor="text1"/>
          <w:szCs w:val="22"/>
        </w:rPr>
        <w:t xml:space="preserve"> SOTA</w:t>
      </w:r>
      <w:r w:rsidRPr="003015CD">
        <w:rPr>
          <w:rFonts w:asciiTheme="majorHAnsi" w:eastAsiaTheme="minorHAnsi" w:hAnsiTheme="majorHAnsi" w:cstheme="majorHAnsi"/>
          <w:color w:val="000000" w:themeColor="text1"/>
          <w:szCs w:val="22"/>
        </w:rPr>
        <w:t xml:space="preserve"> (see Appendix </w:t>
      </w:r>
      <w:r w:rsidRPr="003015CD">
        <w:rPr>
          <w:rFonts w:asciiTheme="majorHAnsi" w:eastAsiaTheme="minorHAnsi" w:hAnsiTheme="majorHAnsi" w:cstheme="majorHAnsi"/>
          <w:color w:val="000000" w:themeColor="text1"/>
          <w:szCs w:val="22"/>
        </w:rPr>
        <w:fldChar w:fldCharType="begin"/>
      </w:r>
      <w:r w:rsidRPr="003015CD">
        <w:rPr>
          <w:rFonts w:asciiTheme="majorHAnsi" w:eastAsiaTheme="minorHAnsi" w:hAnsiTheme="majorHAnsi" w:cstheme="majorHAnsi"/>
          <w:color w:val="000000" w:themeColor="text1"/>
          <w:szCs w:val="22"/>
        </w:rPr>
        <w:instrText xml:space="preserve"> REF _Ref172554081 \r \h  \* MERGEFORMAT </w:instrText>
      </w:r>
      <w:r w:rsidRPr="003015CD">
        <w:rPr>
          <w:rFonts w:asciiTheme="majorHAnsi" w:eastAsiaTheme="minorHAnsi" w:hAnsiTheme="majorHAnsi" w:cstheme="majorHAnsi"/>
          <w:color w:val="000000" w:themeColor="text1"/>
          <w:szCs w:val="22"/>
        </w:rPr>
      </w:r>
      <w:r w:rsidRPr="003015CD">
        <w:rPr>
          <w:rFonts w:asciiTheme="majorHAnsi" w:eastAsiaTheme="minorHAnsi" w:hAnsiTheme="majorHAnsi" w:cstheme="majorHAnsi"/>
          <w:color w:val="000000" w:themeColor="text1"/>
          <w:szCs w:val="22"/>
        </w:rPr>
        <w:fldChar w:fldCharType="separate"/>
      </w:r>
      <w:r w:rsidR="001D11FB" w:rsidRPr="003015CD">
        <w:rPr>
          <w:rFonts w:asciiTheme="majorHAnsi" w:eastAsiaTheme="minorHAnsi" w:hAnsiTheme="majorHAnsi" w:cstheme="majorHAnsi"/>
          <w:color w:val="000000" w:themeColor="text1"/>
          <w:szCs w:val="22"/>
        </w:rPr>
        <w:t>A1</w:t>
      </w:r>
      <w:r w:rsidRPr="003015CD">
        <w:rPr>
          <w:rFonts w:asciiTheme="majorHAnsi" w:eastAsiaTheme="minorHAnsi" w:hAnsiTheme="majorHAnsi" w:cstheme="majorHAnsi"/>
          <w:color w:val="000000" w:themeColor="text1"/>
          <w:szCs w:val="22"/>
        </w:rPr>
        <w:fldChar w:fldCharType="end"/>
      </w:r>
      <w:r w:rsidRPr="003015CD">
        <w:rPr>
          <w:rFonts w:asciiTheme="majorHAnsi" w:eastAsiaTheme="minorHAnsi" w:hAnsiTheme="majorHAnsi" w:cstheme="majorHAnsi"/>
          <w:color w:val="000000" w:themeColor="text1"/>
          <w:szCs w:val="22"/>
        </w:rPr>
        <w:t>),</w:t>
      </w:r>
      <w:r w:rsidR="00F43C09" w:rsidRPr="003015CD">
        <w:rPr>
          <w:rFonts w:asciiTheme="majorHAnsi" w:eastAsiaTheme="minorHAnsi" w:hAnsiTheme="majorHAnsi" w:cstheme="majorHAnsi"/>
          <w:color w:val="000000" w:themeColor="text1"/>
          <w:szCs w:val="22"/>
        </w:rPr>
        <w:t xml:space="preserve"> if not in the CEP or in a standalone document</w:t>
      </w:r>
      <w:r w:rsidRPr="003015CD">
        <w:rPr>
          <w:rFonts w:asciiTheme="majorHAnsi" w:eastAsiaTheme="minorHAnsi" w:hAnsiTheme="majorHAnsi" w:cstheme="majorHAnsi"/>
          <w:color w:val="000000" w:themeColor="text1"/>
          <w:szCs w:val="22"/>
        </w:rPr>
        <w:t>,</w:t>
      </w:r>
    </w:p>
    <w:p w14:paraId="3A3E1555" w14:textId="77777777" w:rsidR="004171CC" w:rsidRPr="003015CD" w:rsidRDefault="004171CC" w:rsidP="00B65C19">
      <w:pPr>
        <w:pStyle w:val="Paragraphedeliste"/>
        <w:numPr>
          <w:ilvl w:val="0"/>
          <w:numId w:val="324"/>
        </w:num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a literature review of the device under evaluation,</w:t>
      </w:r>
    </w:p>
    <w:p w14:paraId="7AC53BFC" w14:textId="77777777" w:rsidR="004171CC" w:rsidRPr="003015CD" w:rsidRDefault="004171CC" w:rsidP="00B65C19">
      <w:pPr>
        <w:pStyle w:val="Paragraphedeliste"/>
        <w:numPr>
          <w:ilvl w:val="0"/>
          <w:numId w:val="324"/>
        </w:num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a summary of relevant non-clinical data, including results of non-clinical testing methods, performance evaluation, bench testing, and pre-clinical evaluation,</w:t>
      </w:r>
    </w:p>
    <w:p w14:paraId="0CC5B830" w14:textId="369045B1" w:rsidR="004171CC" w:rsidRPr="003015CD" w:rsidRDefault="004171CC" w:rsidP="00B65C19">
      <w:pPr>
        <w:pStyle w:val="Paragraphedeliste"/>
        <w:numPr>
          <w:ilvl w:val="0"/>
          <w:numId w:val="324"/>
        </w:num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d</w:t>
      </w:r>
      <w:r w:rsidRPr="003015CD" w:rsidDel="002B1438">
        <w:rPr>
          <w:rFonts w:asciiTheme="majorHAnsi" w:eastAsiaTheme="minorHAnsi" w:hAnsiTheme="majorHAnsi" w:cstheme="majorHAnsi"/>
          <w:color w:val="000000" w:themeColor="text1"/>
          <w:szCs w:val="22"/>
        </w:rPr>
        <w:t>u</w:t>
      </w:r>
      <w:r w:rsidRPr="003015CD">
        <w:rPr>
          <w:rFonts w:asciiTheme="majorHAnsi" w:eastAsiaTheme="minorHAnsi" w:hAnsiTheme="majorHAnsi" w:cstheme="majorHAnsi"/>
          <w:color w:val="000000" w:themeColor="text1"/>
          <w:szCs w:val="22"/>
        </w:rPr>
        <w:t>e</w:t>
      </w:r>
      <w:r w:rsidRPr="003015CD" w:rsidDel="002B1438">
        <w:rPr>
          <w:rFonts w:asciiTheme="majorHAnsi" w:eastAsiaTheme="minorHAnsi" w:hAnsiTheme="majorHAnsi" w:cstheme="majorHAnsi"/>
          <w:color w:val="000000" w:themeColor="text1"/>
          <w:szCs w:val="22"/>
        </w:rPr>
        <w:t xml:space="preserve"> substantiat</w:t>
      </w:r>
      <w:r w:rsidRPr="003015CD">
        <w:rPr>
          <w:rFonts w:asciiTheme="majorHAnsi" w:eastAsiaTheme="minorHAnsi" w:hAnsiTheme="majorHAnsi" w:cstheme="majorHAnsi"/>
          <w:color w:val="000000" w:themeColor="text1"/>
          <w:szCs w:val="22"/>
        </w:rPr>
        <w:t>ion of t</w:t>
      </w:r>
      <w:r w:rsidRPr="003015CD" w:rsidDel="002B1438">
        <w:rPr>
          <w:rFonts w:asciiTheme="majorHAnsi" w:eastAsiaTheme="minorHAnsi" w:hAnsiTheme="majorHAnsi" w:cstheme="majorHAnsi"/>
          <w:color w:val="000000" w:themeColor="text1"/>
          <w:szCs w:val="22"/>
        </w:rPr>
        <w:t>he adequacy of demonstration of conformity with the GSPR</w:t>
      </w:r>
      <w:r w:rsidR="001F4010" w:rsidRPr="003015CD">
        <w:rPr>
          <w:rFonts w:asciiTheme="majorHAnsi" w:eastAsiaTheme="minorHAnsi" w:hAnsiTheme="majorHAnsi" w:cstheme="majorHAnsi"/>
          <w:color w:val="000000" w:themeColor="text1"/>
          <w:szCs w:val="22"/>
        </w:rPr>
        <w:t xml:space="preserve">s </w:t>
      </w:r>
      <w:r w:rsidRPr="003015CD" w:rsidDel="002B1438">
        <w:rPr>
          <w:rFonts w:asciiTheme="majorHAnsi" w:eastAsiaTheme="minorHAnsi" w:hAnsiTheme="majorHAnsi" w:cstheme="majorHAnsi"/>
          <w:color w:val="000000" w:themeColor="text1"/>
          <w:szCs w:val="22"/>
        </w:rPr>
        <w:t>based on the results of non-clinical testing methods alone, including performance evaluation, bench testing and preclinical evaluation</w:t>
      </w:r>
      <w:r w:rsidRPr="003015CD">
        <w:rPr>
          <w:rFonts w:asciiTheme="majorHAnsi" w:eastAsiaTheme="minorHAnsi" w:hAnsiTheme="majorHAnsi" w:cstheme="majorHAnsi"/>
          <w:color w:val="000000" w:themeColor="text1"/>
          <w:szCs w:val="22"/>
        </w:rPr>
        <w:t xml:space="preserve">, </w:t>
      </w:r>
    </w:p>
    <w:p w14:paraId="1837CDB3" w14:textId="543B19BB" w:rsidR="004171CC" w:rsidRPr="003015CD" w:rsidRDefault="004171CC" w:rsidP="00B65C19">
      <w:pPr>
        <w:pStyle w:val="Paragraphedeliste"/>
        <w:numPr>
          <w:ilvl w:val="0"/>
          <w:numId w:val="324"/>
        </w:num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a plan for the evaluation of clinically relevant information coming from PMS</w:t>
      </w:r>
      <w:r w:rsidR="008B1EE2" w:rsidRPr="003015CD">
        <w:rPr>
          <w:rFonts w:asciiTheme="majorHAnsi" w:eastAsiaTheme="minorHAnsi" w:hAnsiTheme="majorHAnsi" w:cstheme="majorHAnsi"/>
          <w:color w:val="000000" w:themeColor="text1"/>
          <w:szCs w:val="22"/>
        </w:rPr>
        <w:t xml:space="preserve"> and</w:t>
      </w:r>
      <w:r w:rsidRPr="003015CD">
        <w:rPr>
          <w:rFonts w:asciiTheme="majorHAnsi" w:eastAsiaTheme="minorHAnsi" w:hAnsiTheme="majorHAnsi" w:cstheme="majorHAnsi"/>
          <w:color w:val="000000" w:themeColor="text1"/>
          <w:szCs w:val="22"/>
        </w:rPr>
        <w:t xml:space="preserve"> PMCF, if deemed appropriate.</w:t>
      </w:r>
    </w:p>
    <w:p w14:paraId="467A4391" w14:textId="77777777" w:rsidR="001955C6" w:rsidRPr="003015CD" w:rsidRDefault="001955C6" w:rsidP="0043292D">
      <w:pPr>
        <w:jc w:val="both"/>
        <w:rPr>
          <w:rFonts w:asciiTheme="majorHAnsi" w:eastAsiaTheme="minorHAnsi" w:hAnsiTheme="majorHAnsi" w:cstheme="majorHAnsi"/>
          <w:color w:val="000000" w:themeColor="text1"/>
        </w:rPr>
      </w:pPr>
    </w:p>
    <w:p w14:paraId="2EA3A1E6" w14:textId="0427AC19" w:rsidR="001955C6" w:rsidRPr="003015CD" w:rsidRDefault="001955C6" w:rsidP="0043292D">
      <w:pPr>
        <w:jc w:val="both"/>
        <w:rPr>
          <w:rFonts w:asciiTheme="majorHAnsi" w:eastAsiaTheme="minorHAnsi" w:hAnsiTheme="majorHAnsi" w:cstheme="majorHAnsi"/>
          <w:color w:val="000000" w:themeColor="text1"/>
        </w:rPr>
      </w:pPr>
      <w:r w:rsidRPr="003015CD">
        <w:rPr>
          <w:rFonts w:asciiTheme="majorHAnsi" w:eastAsiaTheme="minorHAnsi" w:hAnsiTheme="majorHAnsi" w:cstheme="majorHAnsi"/>
          <w:color w:val="000000" w:themeColor="text1"/>
          <w:szCs w:val="22"/>
        </w:rPr>
        <w:t>Based on the above documentation, the notified body</w:t>
      </w:r>
      <w:r w:rsidR="00DF734C" w:rsidRPr="003015CD">
        <w:rPr>
          <w:rFonts w:asciiTheme="majorHAnsi" w:eastAsiaTheme="minorHAnsi" w:hAnsiTheme="majorHAnsi" w:cstheme="majorHAnsi"/>
          <w:color w:val="000000" w:themeColor="text1"/>
          <w:szCs w:val="22"/>
        </w:rPr>
        <w:t xml:space="preserve">, when </w:t>
      </w:r>
      <w:r w:rsidR="006505CA" w:rsidRPr="003015CD">
        <w:rPr>
          <w:rFonts w:asciiTheme="majorHAnsi" w:eastAsiaTheme="minorHAnsi" w:hAnsiTheme="majorHAnsi" w:cstheme="majorHAnsi"/>
          <w:color w:val="000000" w:themeColor="text1"/>
          <w:szCs w:val="22"/>
        </w:rPr>
        <w:t>required by the conformity assessment procedure</w:t>
      </w:r>
      <w:r w:rsidR="00DF734C" w:rsidRPr="003015CD">
        <w:rPr>
          <w:rFonts w:asciiTheme="majorHAnsi" w:eastAsiaTheme="minorHAnsi" w:hAnsiTheme="majorHAnsi" w:cstheme="majorHAnsi"/>
          <w:color w:val="000000" w:themeColor="text1"/>
          <w:szCs w:val="22"/>
        </w:rPr>
        <w:t>,</w:t>
      </w:r>
      <w:r w:rsidRPr="003015CD">
        <w:rPr>
          <w:rFonts w:asciiTheme="majorHAnsi" w:eastAsiaTheme="minorHAnsi" w:hAnsiTheme="majorHAnsi" w:cstheme="majorHAnsi"/>
          <w:color w:val="000000" w:themeColor="text1"/>
          <w:szCs w:val="22"/>
        </w:rPr>
        <w:t xml:space="preserve"> will evaluate the acceptability of the justification provided in the CEP.</w:t>
      </w:r>
    </w:p>
    <w:p w14:paraId="6A7EE996" w14:textId="299827AC" w:rsidR="004171CC" w:rsidRPr="003015CD" w:rsidRDefault="004171CC" w:rsidP="00C43994">
      <w:pPr>
        <w:jc w:val="both"/>
        <w:rPr>
          <w:rFonts w:asciiTheme="majorHAnsi" w:eastAsiaTheme="minorHAnsi" w:hAnsiTheme="majorHAnsi" w:cstheme="majorHAnsi"/>
          <w:color w:val="000000" w:themeColor="text1"/>
          <w:szCs w:val="22"/>
        </w:rPr>
      </w:pPr>
      <w:r w:rsidRPr="003015CD">
        <w:rPr>
          <w:rFonts w:asciiTheme="majorHAnsi" w:eastAsiaTheme="minorHAnsi" w:hAnsiTheme="majorHAnsi" w:cstheme="majorHAnsi"/>
          <w:color w:val="000000" w:themeColor="text1"/>
          <w:szCs w:val="22"/>
        </w:rPr>
        <w:t xml:space="preserve">An example of a device that could potentially apply MDR Article 61(10) may be a device intended to sterilise other invasive medical devices prior to their use. For certain sterilisers, the performance may depend on reaching and maintaining specified values for process parameters; these could potentially be verified through non-clinical testing alone. Another example could include medical refrigerators that are intended for storing tissues and disinfectant solutions. </w:t>
      </w:r>
    </w:p>
    <w:p w14:paraId="21D42265" w14:textId="65BA0A26" w:rsidR="004171CC" w:rsidRPr="003015CD" w:rsidRDefault="004171CC" w:rsidP="0043292D">
      <w:pPr>
        <w:pStyle w:val="Titre3"/>
        <w:spacing w:line="259" w:lineRule="auto"/>
        <w:ind w:left="993" w:hanging="993"/>
        <w:jc w:val="both"/>
        <w:rPr>
          <w:rFonts w:asciiTheme="majorHAnsi" w:hAnsiTheme="majorHAnsi" w:cstheme="majorHAnsi"/>
          <w:color w:val="000000" w:themeColor="text1"/>
        </w:rPr>
      </w:pPr>
      <w:bookmarkStart w:id="71" w:name="_Toc236912885"/>
      <w:r w:rsidRPr="003015CD">
        <w:rPr>
          <w:rFonts w:asciiTheme="majorHAnsi" w:hAnsiTheme="majorHAnsi" w:cstheme="majorHAnsi"/>
          <w:color w:val="000000" w:themeColor="text1"/>
        </w:rPr>
        <w:t>Devices for unmet medical needs</w:t>
      </w:r>
      <w:bookmarkEnd w:id="71"/>
    </w:p>
    <w:p w14:paraId="623853AE" w14:textId="77777777" w:rsidR="004171CC" w:rsidRPr="003015CD" w:rsidRDefault="004171CC" w:rsidP="00081885">
      <w:pPr>
        <w:jc w:val="both"/>
        <w:rPr>
          <w:rFonts w:eastAsia="Arial"/>
          <w:color w:val="000000" w:themeColor="text1"/>
          <w:szCs w:val="22"/>
        </w:rPr>
      </w:pPr>
      <w:r w:rsidRPr="003015CD">
        <w:rPr>
          <w:rFonts w:eastAsia="Arial"/>
          <w:color w:val="000000" w:themeColor="text1"/>
          <w:szCs w:val="22"/>
        </w:rPr>
        <w:t xml:space="preserve">Like all medical devices, devices for unmet medical needs must fully comply with the GSPR to be CE-marked. Many of these devices may be orphan devices and/or breakthrough innovative devices. </w:t>
      </w:r>
    </w:p>
    <w:p w14:paraId="25EF35FF" w14:textId="77777777" w:rsidR="004171CC" w:rsidRPr="003015CD" w:rsidRDefault="004171CC" w:rsidP="0043292D">
      <w:r w:rsidRPr="003015CD">
        <w:rPr>
          <w:b/>
          <w:bCs/>
        </w:rPr>
        <w:t>Orphan medical devices</w:t>
      </w:r>
    </w:p>
    <w:p w14:paraId="64F72DCF" w14:textId="77777777" w:rsidR="004171CC" w:rsidRPr="003015CD" w:rsidRDefault="004171CC" w:rsidP="0043292D">
      <w:r w:rsidRPr="003015CD">
        <w:t>Guidance on orphan medical devices is provided in MDCG 2024-10 Clinical evaluation of orphan medical devices.</w:t>
      </w:r>
    </w:p>
    <w:p w14:paraId="79A5448C" w14:textId="77777777" w:rsidR="004171CC" w:rsidRPr="003015CD" w:rsidRDefault="004171CC" w:rsidP="0043292D">
      <w:r w:rsidRPr="003015CD">
        <w:rPr>
          <w:b/>
          <w:bCs/>
        </w:rPr>
        <w:t>Breakthrough innovative devices for unmet medical needs</w:t>
      </w:r>
    </w:p>
    <w:p w14:paraId="5443B3B5" w14:textId="77777777" w:rsidR="004171CC" w:rsidRPr="003015CD" w:rsidRDefault="004171CC" w:rsidP="00081885">
      <w:pPr>
        <w:spacing w:line="259" w:lineRule="auto"/>
        <w:jc w:val="both"/>
        <w:rPr>
          <w:rFonts w:eastAsia="Arial"/>
          <w:color w:val="000000" w:themeColor="text1"/>
          <w:szCs w:val="22"/>
        </w:rPr>
      </w:pPr>
      <w:r w:rsidRPr="003015CD">
        <w:rPr>
          <w:rFonts w:eastAsia="Arial"/>
          <w:color w:val="000000" w:themeColor="text1"/>
          <w:szCs w:val="22"/>
        </w:rPr>
        <w:t>Guidance on breakthrough medical devices is provided in MDCG 2025-9 Clinical evaluation of breakthrough medical devices. </w:t>
      </w:r>
    </w:p>
    <w:p w14:paraId="30D9D263" w14:textId="77777777" w:rsidR="004171CC" w:rsidRPr="003015CD" w:rsidRDefault="004171CC" w:rsidP="00081885">
      <w:pPr>
        <w:jc w:val="both"/>
        <w:rPr>
          <w:rFonts w:asciiTheme="majorHAnsi" w:hAnsiTheme="majorHAnsi" w:cstheme="majorHAnsi"/>
          <w:color w:val="000000" w:themeColor="text1"/>
        </w:rPr>
      </w:pPr>
    </w:p>
    <w:p w14:paraId="3BD979B0" w14:textId="5A60123E" w:rsidR="008B5FD4" w:rsidRPr="003015CD" w:rsidRDefault="003756C9" w:rsidP="0043292D">
      <w:pPr>
        <w:pStyle w:val="Titre2"/>
        <w:autoSpaceDE/>
        <w:autoSpaceDN/>
        <w:adjustRightInd/>
        <w:ind w:left="0" w:firstLine="0"/>
        <w:jc w:val="both"/>
        <w:rPr>
          <w:rFonts w:asciiTheme="majorHAnsi" w:hAnsiTheme="majorHAnsi" w:cstheme="majorHAnsi"/>
          <w:color w:val="000000" w:themeColor="text1"/>
        </w:rPr>
      </w:pPr>
      <w:bookmarkStart w:id="72" w:name="_Toc236912886"/>
      <w:r w:rsidRPr="003015CD">
        <w:rPr>
          <w:rFonts w:asciiTheme="majorHAnsi" w:hAnsiTheme="majorHAnsi" w:cstheme="majorHAnsi"/>
          <w:color w:val="000000" w:themeColor="text1"/>
        </w:rPr>
        <w:t>Consultation by the manufacturer of an expert panel under Article 61(2)</w:t>
      </w:r>
      <w:bookmarkEnd w:id="72"/>
    </w:p>
    <w:p w14:paraId="25C2EFCF" w14:textId="25467BED" w:rsidR="003756C9" w:rsidRPr="003015CD" w:rsidRDefault="003756C9"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expert panels for medical devices designated by the Commission Implementing Decision (EU) 2019/1396 may provide scientific advice to manufacturers of certain high-risk medical devices on their intended clinical development strategies and proposals for clinical investigations. According to Article 61(2) of MDR, the devices in scope of the expert panels’ advice are class III devices and class IIb active devices intended to administer and/or remove a medicinal product from the human body (see MDR Section 6.4 of Annex VIII (Rule 12) for the latter). It is for the applicant to determine the type and risk class of their device before submitting the request to the expert panels. The Secretariat for the expert panels for medical devices is managed by the European Medicines Agency.  Note that per article 61(2), the manufacturer shall give due consideration to the views expressed by the expert panel, and such consideration shall be documented in the clinical evaluation report.</w:t>
      </w:r>
    </w:p>
    <w:p w14:paraId="4481071C" w14:textId="77777777" w:rsidR="008B5FD4" w:rsidRPr="003015CD" w:rsidRDefault="008B5FD4" w:rsidP="00081885">
      <w:pPr>
        <w:jc w:val="both"/>
        <w:rPr>
          <w:rFonts w:asciiTheme="majorHAnsi" w:hAnsiTheme="majorHAnsi" w:cstheme="majorHAnsi"/>
          <w:color w:val="000000" w:themeColor="text1"/>
        </w:rPr>
      </w:pPr>
    </w:p>
    <w:bookmarkEnd w:id="52"/>
    <w:p w14:paraId="0670B1E1" w14:textId="77777777" w:rsidR="004171CC" w:rsidRPr="003015CD" w:rsidRDefault="004171CC" w:rsidP="00081885">
      <w:pPr>
        <w:jc w:val="both"/>
        <w:rPr>
          <w:rFonts w:asciiTheme="majorHAnsi" w:hAnsiTheme="majorHAnsi" w:cstheme="majorHAnsi"/>
          <w:color w:val="000000" w:themeColor="text1"/>
        </w:rPr>
      </w:pPr>
    </w:p>
    <w:p w14:paraId="0DABC25D" w14:textId="77777777" w:rsidR="00AC4767" w:rsidRPr="003015CD" w:rsidRDefault="00AC4767">
      <w:pPr>
        <w:spacing w:before="0" w:after="0"/>
        <w:rPr>
          <w:rFonts w:asciiTheme="majorHAnsi" w:hAnsiTheme="majorHAnsi" w:cstheme="majorHAnsi"/>
          <w:b/>
          <w:bCs/>
          <w:color w:val="000000" w:themeColor="text1"/>
          <w:sz w:val="32"/>
          <w:szCs w:val="28"/>
        </w:rPr>
      </w:pPr>
      <w:bookmarkStart w:id="73" w:name="_Toc446499035"/>
      <w:bookmarkStart w:id="74" w:name="_Ref164155827"/>
      <w:bookmarkStart w:id="75" w:name="_Ref164263102"/>
      <w:bookmarkStart w:id="76" w:name="_Ref165303089"/>
      <w:bookmarkStart w:id="77" w:name="_Ref166607147"/>
      <w:bookmarkStart w:id="78" w:name="_Ref170135872"/>
      <w:bookmarkStart w:id="79" w:name="_Ref170135907"/>
      <w:bookmarkStart w:id="80" w:name="_Ref170994888"/>
      <w:r w:rsidRPr="003015CD">
        <w:rPr>
          <w:rFonts w:asciiTheme="majorHAnsi" w:hAnsiTheme="majorHAnsi" w:cstheme="majorHAnsi"/>
          <w:color w:val="000000" w:themeColor="text1"/>
        </w:rPr>
        <w:br w:type="page"/>
      </w:r>
    </w:p>
    <w:p w14:paraId="48AB85AD" w14:textId="78E89512" w:rsidR="004171CC" w:rsidRPr="003015CD" w:rsidRDefault="004171CC" w:rsidP="0052434F">
      <w:pPr>
        <w:pStyle w:val="Titre1"/>
        <w:ind w:left="426"/>
        <w:jc w:val="both"/>
        <w:rPr>
          <w:rFonts w:asciiTheme="majorHAnsi" w:hAnsiTheme="majorHAnsi" w:cstheme="majorHAnsi"/>
          <w:color w:val="000000" w:themeColor="text1"/>
        </w:rPr>
      </w:pPr>
      <w:bookmarkStart w:id="81" w:name="_Toc236912887"/>
      <w:r w:rsidRPr="003015CD">
        <w:rPr>
          <w:rFonts w:asciiTheme="majorHAnsi" w:hAnsiTheme="majorHAnsi" w:cstheme="majorHAnsi"/>
          <w:color w:val="000000" w:themeColor="text1"/>
        </w:rPr>
        <w:t>Identification of clinical data (Stage 1)</w:t>
      </w:r>
      <w:bookmarkEnd w:id="73"/>
      <w:bookmarkEnd w:id="74"/>
      <w:bookmarkEnd w:id="75"/>
      <w:bookmarkEnd w:id="76"/>
      <w:bookmarkEnd w:id="77"/>
      <w:bookmarkEnd w:id="78"/>
      <w:bookmarkEnd w:id="79"/>
      <w:bookmarkEnd w:id="80"/>
      <w:bookmarkEnd w:id="81"/>
    </w:p>
    <w:p w14:paraId="77340AB9" w14:textId="18C136AB"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goal of this stage is to identify available clinical data that are relevant to the device under evaluation, for the purpose of clinical evaluation. Relevant data that are identified in this stage will undergo appraisal in line with Stage 2 (Section 9). For specifics relating to MDSW, see </w:t>
      </w:r>
      <w:r w:rsidR="00247025" w:rsidRPr="003015CD">
        <w:rPr>
          <w:rFonts w:asciiTheme="majorHAnsi" w:hAnsiTheme="majorHAnsi" w:cstheme="majorBidi"/>
          <w:color w:val="000000" w:themeColor="text1"/>
        </w:rPr>
        <w:t>A</w:t>
      </w:r>
      <w:r w:rsidRPr="003015CD">
        <w:rPr>
          <w:rFonts w:asciiTheme="majorHAnsi" w:hAnsiTheme="majorHAnsi" w:cstheme="majorBidi"/>
          <w:color w:val="000000" w:themeColor="text1"/>
        </w:rPr>
        <w:t xml:space="preserve">ppendix </w:t>
      </w:r>
      <w:r w:rsidR="008B5FD4" w:rsidRPr="003015CD">
        <w:rPr>
          <w:rFonts w:asciiTheme="majorHAnsi" w:hAnsiTheme="majorHAnsi" w:cstheme="majorBidi"/>
          <w:color w:val="000000" w:themeColor="text1"/>
        </w:rPr>
        <w:t>A4</w:t>
      </w:r>
      <w:r w:rsidRPr="003015CD">
        <w:rPr>
          <w:rFonts w:asciiTheme="majorHAnsi" w:hAnsiTheme="majorHAnsi" w:cstheme="majorBidi"/>
          <w:color w:val="000000" w:themeColor="text1"/>
        </w:rPr>
        <w:t>.</w:t>
      </w:r>
    </w:p>
    <w:p w14:paraId="414971B3" w14:textId="77777777" w:rsidR="00247025" w:rsidRPr="003015CD" w:rsidRDefault="00247025" w:rsidP="00081885">
      <w:pPr>
        <w:jc w:val="both"/>
        <w:rPr>
          <w:rFonts w:asciiTheme="majorHAnsi" w:hAnsiTheme="majorHAnsi" w:cstheme="majorBidi"/>
          <w:color w:val="000000" w:themeColor="text1"/>
        </w:rPr>
      </w:pPr>
    </w:p>
    <w:p w14:paraId="228C42FC" w14:textId="77777777" w:rsidR="004171CC" w:rsidRPr="003015CD" w:rsidRDefault="004171CC" w:rsidP="008D30B1">
      <w:pPr>
        <w:pStyle w:val="Titre2"/>
        <w:ind w:left="0" w:firstLine="0"/>
      </w:pPr>
      <w:bookmarkStart w:id="82" w:name="_Ref164261395"/>
      <w:bookmarkStart w:id="83" w:name="_Ref164356469"/>
      <w:bookmarkStart w:id="84" w:name="_Toc236912888"/>
      <w:bookmarkStart w:id="85" w:name="_Hlk158301978"/>
      <w:r w:rsidRPr="003015CD">
        <w:t>Clinical data</w:t>
      </w:r>
      <w:bookmarkEnd w:id="82"/>
      <w:bookmarkEnd w:id="83"/>
      <w:r w:rsidRPr="003015CD">
        <w:t xml:space="preserve"> – Article 2(48) in MDR</w:t>
      </w:r>
      <w:bookmarkEnd w:id="84"/>
    </w:p>
    <w:p w14:paraId="79F2870C" w14:textId="1D5A5DD8" w:rsidR="004171CC" w:rsidRPr="003015CD" w:rsidRDefault="004171CC" w:rsidP="00081885">
      <w:pPr>
        <w:jc w:val="both"/>
      </w:pPr>
      <w:bookmarkStart w:id="86" w:name="_Hlk201755655"/>
      <w:r w:rsidRPr="003015CD">
        <w:t>As defined in MDR Article 2(48), data can and must be considered as clinical</w:t>
      </w:r>
      <w:r w:rsidRPr="003015CD" w:rsidDel="00DD3ABA">
        <w:t xml:space="preserve"> </w:t>
      </w:r>
      <w:r w:rsidRPr="003015CD">
        <w:t xml:space="preserve">data if the data concerns the safety or performance of the device, are generated from the use of the device or equivalent </w:t>
      </w:r>
      <w:r w:rsidR="00B93EE7" w:rsidRPr="003015CD">
        <w:t>device and</w:t>
      </w:r>
      <w:r w:rsidRPr="003015CD">
        <w:t xml:space="preserve"> are sourced from one or more of the four sources specified in the four indents stated in MDR Article 2(48). </w:t>
      </w:r>
    </w:p>
    <w:p w14:paraId="6833DED4" w14:textId="77777777" w:rsidR="004171CC" w:rsidRPr="003015CD" w:rsidRDefault="004171CC" w:rsidP="00081885">
      <w:pPr>
        <w:rPr>
          <w:rFonts w:cstheme="majorHAnsi"/>
        </w:rPr>
      </w:pPr>
      <w:r w:rsidRPr="003015CD">
        <w:t xml:space="preserve">Further guidance on the interpretation of Article 2(48) is given below. </w:t>
      </w:r>
      <w:r w:rsidRPr="003015CD">
        <w:rPr>
          <w:rFonts w:cstheme="majorHAnsi"/>
        </w:rPr>
        <w:t xml:space="preserve"> </w:t>
      </w:r>
    </w:p>
    <w:p w14:paraId="7F7C7C6C" w14:textId="77777777" w:rsidR="0084381C" w:rsidRPr="003015CD" w:rsidRDefault="0084381C" w:rsidP="00081885">
      <w:pPr>
        <w:rPr>
          <w:rFonts w:cstheme="majorHAnsi"/>
        </w:rPr>
      </w:pPr>
    </w:p>
    <w:p w14:paraId="28F85471" w14:textId="77777777" w:rsidR="004171CC" w:rsidRPr="003015CD" w:rsidRDefault="004171CC" w:rsidP="0052434F">
      <w:pPr>
        <w:pStyle w:val="Titre3"/>
        <w:spacing w:line="259" w:lineRule="auto"/>
        <w:ind w:left="993" w:hanging="993"/>
        <w:jc w:val="both"/>
        <w:rPr>
          <w:rFonts w:asciiTheme="majorHAnsi" w:hAnsiTheme="majorHAnsi" w:cstheme="majorHAnsi"/>
          <w:color w:val="000000" w:themeColor="text1"/>
        </w:rPr>
      </w:pPr>
      <w:bookmarkStart w:id="87" w:name="_Ref164180578"/>
      <w:bookmarkStart w:id="88" w:name="_Toc236912889"/>
      <w:bookmarkEnd w:id="86"/>
      <w:r w:rsidRPr="003015CD">
        <w:rPr>
          <w:rFonts w:asciiTheme="majorHAnsi" w:hAnsiTheme="majorHAnsi" w:cstheme="majorHAnsi"/>
          <w:color w:val="000000" w:themeColor="text1"/>
        </w:rPr>
        <w:t>Source of data - clinical investigations</w:t>
      </w:r>
      <w:bookmarkEnd w:id="87"/>
      <w:bookmarkEnd w:id="88"/>
    </w:p>
    <w:p w14:paraId="0B335516" w14:textId="1D5797CE"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Clinical investigations</w:t>
      </w:r>
      <w:r w:rsidRPr="003015CD">
        <w:rPr>
          <w:rStyle w:val="Appelnotedebasdep"/>
          <w:rFonts w:asciiTheme="majorHAnsi" w:hAnsiTheme="majorHAnsi" w:cstheme="majorBidi"/>
          <w:color w:val="000000" w:themeColor="text1"/>
        </w:rPr>
        <w:footnoteReference w:id="22"/>
      </w:r>
      <w:r w:rsidRPr="003015CD">
        <w:rPr>
          <w:rFonts w:asciiTheme="majorHAnsi" w:hAnsiTheme="majorHAnsi" w:cstheme="majorBidi"/>
          <w:color w:val="000000" w:themeColor="text1"/>
        </w:rPr>
        <w:t xml:space="preserve"> are defined in MDR Article 2(45) and include those pursuant to MDR Article 62, 74 and 82, as well as clinical investigations conducted under the medical device directives</w:t>
      </w:r>
      <w:r w:rsidRPr="003015CD">
        <w:rPr>
          <w:rStyle w:val="Appelnotedebasdep"/>
          <w:rFonts w:asciiTheme="majorHAnsi" w:hAnsiTheme="majorHAnsi" w:cstheme="majorBidi"/>
          <w:color w:val="000000" w:themeColor="text1"/>
        </w:rPr>
        <w:footnoteReference w:id="23"/>
      </w:r>
      <w:r w:rsidRPr="003015CD">
        <w:rPr>
          <w:rFonts w:asciiTheme="majorHAnsi" w:hAnsiTheme="majorHAnsi" w:cstheme="majorBidi"/>
          <w:color w:val="000000" w:themeColor="text1"/>
        </w:rPr>
        <w:t>, and clinical investigations conducted outside the European Union if they meet the definition of Article 2(45)</w:t>
      </w:r>
      <w:r w:rsidR="002B42CE" w:rsidRPr="003015CD">
        <w:rPr>
          <w:rFonts w:asciiTheme="majorHAnsi" w:hAnsiTheme="majorHAnsi" w:cstheme="majorBidi"/>
          <w:color w:val="000000" w:themeColor="text1"/>
        </w:rPr>
        <w:t xml:space="preserve"> (See Section 9.3.1.1 for more information on Clinical investigations based outside of the EU</w:t>
      </w:r>
      <w:r w:rsidR="00BB1BCC" w:rsidRPr="003015CD">
        <w:rPr>
          <w:rFonts w:asciiTheme="majorHAnsi" w:hAnsiTheme="majorHAnsi" w:cstheme="majorBidi"/>
          <w:color w:val="000000" w:themeColor="text1"/>
        </w:rPr>
        <w:t>)</w:t>
      </w:r>
      <w:r w:rsidRPr="003015CD">
        <w:rPr>
          <w:rFonts w:asciiTheme="majorHAnsi" w:hAnsiTheme="majorHAnsi" w:cstheme="majorBidi"/>
          <w:color w:val="000000" w:themeColor="text1"/>
        </w:rPr>
        <w:t>.</w:t>
      </w:r>
      <w:r w:rsidR="00BB1BCC"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Guidance on the conduct of clinical investigations is available in other MDCG documents</w:t>
      </w:r>
      <w:r w:rsidRPr="003015CD">
        <w:rPr>
          <w:rStyle w:val="Appelnotedebasdep"/>
          <w:rFonts w:asciiTheme="majorHAnsi" w:hAnsiTheme="majorHAnsi" w:cstheme="majorBidi"/>
          <w:color w:val="000000" w:themeColor="text1"/>
        </w:rPr>
        <w:footnoteReference w:id="24"/>
      </w:r>
      <w:r w:rsidRPr="003015CD">
        <w:rPr>
          <w:rFonts w:asciiTheme="majorHAnsi" w:hAnsiTheme="majorHAnsi" w:cstheme="majorBidi"/>
          <w:color w:val="000000" w:themeColor="text1"/>
        </w:rPr>
        <w:t xml:space="preserve"> as well as ISO 14155.  </w:t>
      </w:r>
    </w:p>
    <w:p w14:paraId="4B53D60D" w14:textId="77777777"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There is no requirement for publication of clinical investigations to be considered as source of clinical data. For more guidance on clinical investigations, see MDCG 2021-6.</w:t>
      </w:r>
    </w:p>
    <w:p w14:paraId="6A479F3D" w14:textId="77777777" w:rsidR="004171CC" w:rsidRPr="003015CD" w:rsidRDefault="004171CC" w:rsidP="00081885">
      <w:pPr>
        <w:pStyle w:val="Paragraphedeliste"/>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Note that retrospective studies do not fall under the definition of clinical investigations</w:t>
      </w:r>
      <w:r w:rsidRPr="003015CD">
        <w:rPr>
          <w:rStyle w:val="Appelnotedebasdep"/>
        </w:rPr>
        <w:footnoteReference w:id="25"/>
      </w:r>
      <w:r w:rsidRPr="003015CD">
        <w:rPr>
          <w:rFonts w:asciiTheme="majorHAnsi" w:hAnsiTheme="majorHAnsi" w:cstheme="majorBidi"/>
          <w:color w:val="000000" w:themeColor="text1"/>
        </w:rPr>
        <w:t xml:space="preserve">, but may be considered </w:t>
      </w:r>
      <w:r w:rsidRPr="003015CD" w:rsidDel="002E12E1">
        <w:rPr>
          <w:rFonts w:asciiTheme="majorHAnsi" w:hAnsiTheme="majorHAnsi" w:cstheme="majorBidi"/>
          <w:color w:val="000000" w:themeColor="text1"/>
        </w:rPr>
        <w:t xml:space="preserve">as </w:t>
      </w:r>
      <w:r w:rsidRPr="003015CD">
        <w:rPr>
          <w:rFonts w:asciiTheme="majorHAnsi" w:hAnsiTheme="majorHAnsi" w:cstheme="majorBidi"/>
          <w:color w:val="000000" w:themeColor="text1"/>
        </w:rPr>
        <w:t xml:space="preserve">sources of clinical data if they fall under any of the other indents of Article 2(48) (described below). </w:t>
      </w:r>
    </w:p>
    <w:p w14:paraId="542EC325" w14:textId="77777777" w:rsidR="00E664A4" w:rsidRPr="003015CD" w:rsidRDefault="00E664A4" w:rsidP="00081885">
      <w:pPr>
        <w:pStyle w:val="Paragraphedeliste"/>
        <w:ind w:left="0"/>
        <w:jc w:val="both"/>
        <w:rPr>
          <w:rFonts w:asciiTheme="majorHAnsi" w:hAnsiTheme="majorHAnsi" w:cstheme="majorBidi"/>
          <w:color w:val="000000" w:themeColor="text1"/>
        </w:rPr>
      </w:pPr>
    </w:p>
    <w:p w14:paraId="2EA6D1C3" w14:textId="18BA63B8" w:rsidR="004171CC" w:rsidRPr="003015CD" w:rsidRDefault="000C69C2" w:rsidP="005F4E93">
      <w:pPr>
        <w:pStyle w:val="Titre3"/>
        <w:spacing w:line="259" w:lineRule="auto"/>
        <w:ind w:left="993" w:hanging="993"/>
        <w:jc w:val="both"/>
        <w:rPr>
          <w:rFonts w:asciiTheme="majorHAnsi" w:hAnsiTheme="majorHAnsi" w:cstheme="majorHAnsi"/>
          <w:color w:val="000000" w:themeColor="text1"/>
        </w:rPr>
      </w:pPr>
      <w:bookmarkStart w:id="89" w:name="_Toc236912890"/>
      <w:bookmarkStart w:id="90" w:name="_Hlk201830100"/>
      <w:r w:rsidRPr="003015CD">
        <w:rPr>
          <w:rFonts w:asciiTheme="majorHAnsi" w:hAnsiTheme="majorHAnsi" w:cstheme="majorHAnsi"/>
          <w:color w:val="000000" w:themeColor="text1"/>
        </w:rPr>
        <w:t>Source of data - studies other than clinical investigations</w:t>
      </w:r>
      <w:bookmarkEnd w:id="89"/>
    </w:p>
    <w:p w14:paraId="50C9E860" w14:textId="77777777" w:rsidR="004171CC" w:rsidRPr="003015CD" w:rsidRDefault="004171CC" w:rsidP="00081885">
      <w:p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Studies other than clinical investigations are clinical studies within medical research involving human subjects that have clear research objectives and endpoints but fall outside the Article 2(45) definition of clinical investigation</w:t>
      </w:r>
      <w:r w:rsidRPr="003015CD">
        <w:rPr>
          <w:rStyle w:val="Appelnotedebasdep"/>
          <w:rFonts w:asciiTheme="majorHAnsi" w:hAnsiTheme="majorHAnsi" w:cstheme="majorHAnsi"/>
          <w:color w:val="000000" w:themeColor="text1"/>
        </w:rPr>
        <w:footnoteReference w:id="26"/>
      </w:r>
      <w:r w:rsidRPr="003015CD">
        <w:rPr>
          <w:rFonts w:asciiTheme="majorHAnsi" w:hAnsiTheme="majorHAnsi" w:cstheme="majorBidi"/>
          <w:color w:val="000000" w:themeColor="text1"/>
        </w:rPr>
        <w:t xml:space="preserve">. </w:t>
      </w:r>
    </w:p>
    <w:p w14:paraId="6CE4901A" w14:textId="7300547C" w:rsidR="004171CC" w:rsidRPr="003015CD" w:rsidRDefault="004171CC" w:rsidP="00081885">
      <w:p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Note that for the clinical evaluation of </w:t>
      </w:r>
      <w:r w:rsidRPr="003015CD">
        <w:rPr>
          <w:rFonts w:asciiTheme="majorHAnsi" w:hAnsiTheme="majorHAnsi" w:cstheme="majorBidi"/>
          <w:b/>
          <w:bCs/>
          <w:color w:val="000000" w:themeColor="text1"/>
        </w:rPr>
        <w:t>non-CE-marked devices</w:t>
      </w:r>
      <w:r w:rsidRPr="003015CD">
        <w:rPr>
          <w:rFonts w:asciiTheme="majorHAnsi" w:hAnsiTheme="majorHAnsi" w:cstheme="majorBidi"/>
          <w:color w:val="000000" w:themeColor="text1"/>
        </w:rPr>
        <w:t xml:space="preserve">, data from </w:t>
      </w:r>
      <w:r w:rsidR="00D32C56" w:rsidRPr="003015CD">
        <w:t>st</w:t>
      </w:r>
      <w:r w:rsidRPr="003015CD">
        <w:t>udies other than clinical investigations of the device under evaluation</w:t>
      </w:r>
      <w:r w:rsidRPr="003015CD">
        <w:rPr>
          <w:rStyle w:val="normaltextrun"/>
          <w:color w:val="000000"/>
          <w:szCs w:val="22"/>
          <w:shd w:val="clear" w:color="auto" w:fill="FFFFFF"/>
        </w:rPr>
        <w:t xml:space="preserve"> fall under the definition of clinical data only if published in peer-reviewed scientific literature</w:t>
      </w:r>
      <w:r w:rsidRPr="003015CD">
        <w:rPr>
          <w:rStyle w:val="Appelnotedebasdep"/>
          <w:color w:val="000000"/>
          <w:szCs w:val="22"/>
          <w:shd w:val="clear" w:color="auto" w:fill="FFFFFF"/>
        </w:rPr>
        <w:footnoteReference w:id="27"/>
      </w:r>
      <w:r w:rsidRPr="003015CD">
        <w:rPr>
          <w:rStyle w:val="normaltextrun"/>
          <w:color w:val="000000"/>
          <w:szCs w:val="22"/>
          <w:shd w:val="clear" w:color="auto" w:fill="FFFFFF"/>
        </w:rPr>
        <w:t xml:space="preserve">, or of </w:t>
      </w:r>
      <w:r w:rsidRPr="003015CD">
        <w:t xml:space="preserve">the equivalent device, </w:t>
      </w:r>
      <w:r w:rsidRPr="003015CD">
        <w:rPr>
          <w:rStyle w:val="normaltextrun"/>
          <w:color w:val="000000"/>
          <w:szCs w:val="22"/>
          <w:shd w:val="clear" w:color="auto" w:fill="FFFFFF"/>
        </w:rPr>
        <w:t>only if published in scientific literature</w:t>
      </w:r>
      <w:r w:rsidRPr="003015CD">
        <w:rPr>
          <w:rStyle w:val="Appelnotedebasdep"/>
          <w:color w:val="000000"/>
          <w:szCs w:val="22"/>
          <w:shd w:val="clear" w:color="auto" w:fill="FFFFFF"/>
        </w:rPr>
        <w:footnoteReference w:id="28"/>
      </w:r>
      <w:r w:rsidRPr="003015CD">
        <w:rPr>
          <w:rStyle w:val="normaltextrun"/>
          <w:color w:val="000000"/>
          <w:szCs w:val="22"/>
          <w:shd w:val="clear" w:color="auto" w:fill="FFFFFF"/>
        </w:rPr>
        <w:t xml:space="preserve">. </w:t>
      </w:r>
    </w:p>
    <w:p w14:paraId="17791E7F" w14:textId="574D481A" w:rsidR="004171CC" w:rsidRPr="003015CD" w:rsidRDefault="004171CC" w:rsidP="00081885">
      <w:p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Note that for the clinical evaluation of </w:t>
      </w:r>
      <w:r w:rsidRPr="003015CD">
        <w:rPr>
          <w:rFonts w:asciiTheme="majorHAnsi" w:hAnsiTheme="majorHAnsi" w:cstheme="majorBidi"/>
          <w:b/>
          <w:bCs/>
          <w:color w:val="000000" w:themeColor="text1"/>
        </w:rPr>
        <w:t>CE-marked devices</w:t>
      </w:r>
      <w:r w:rsidRPr="003015CD">
        <w:rPr>
          <w:rFonts w:asciiTheme="majorHAnsi" w:hAnsiTheme="majorHAnsi" w:cstheme="majorBidi"/>
          <w:color w:val="000000" w:themeColor="text1"/>
        </w:rPr>
        <w:t xml:space="preserve"> data from </w:t>
      </w:r>
      <w:r w:rsidR="00D32C56" w:rsidRPr="003015CD">
        <w:t>st</w:t>
      </w:r>
      <w:r w:rsidRPr="003015CD">
        <w:t>udies other than clinical investigations of the device under evaluation and/or an equivalent device</w:t>
      </w:r>
      <w:r w:rsidRPr="003015CD">
        <w:rPr>
          <w:b/>
          <w:bCs/>
        </w:rPr>
        <w:t xml:space="preserve"> </w:t>
      </w:r>
      <w:r w:rsidRPr="003015CD">
        <w:rPr>
          <w:rStyle w:val="normaltextrun"/>
          <w:color w:val="000000"/>
          <w:szCs w:val="22"/>
          <w:shd w:val="clear" w:color="auto" w:fill="FFFFFF"/>
        </w:rPr>
        <w:t>fall under the definition of clinical data</w:t>
      </w:r>
      <w:r w:rsidRPr="003015CD">
        <w:t xml:space="preserve"> without requirements of publication</w:t>
      </w:r>
      <w:r w:rsidRPr="003015CD">
        <w:rPr>
          <w:rStyle w:val="Appelnotedebasdep"/>
        </w:rPr>
        <w:footnoteReference w:id="29"/>
      </w:r>
      <w:r w:rsidRPr="003015CD">
        <w:t>.</w:t>
      </w:r>
    </w:p>
    <w:bookmarkEnd w:id="90"/>
    <w:p w14:paraId="6A7D29BC" w14:textId="77777777" w:rsidR="004171CC" w:rsidRPr="003015CD" w:rsidRDefault="004171CC" w:rsidP="00081885">
      <w:pPr>
        <w:jc w:val="both"/>
        <w:rPr>
          <w:rFonts w:asciiTheme="majorHAnsi" w:hAnsiTheme="majorHAnsi" w:cstheme="majorHAnsi"/>
          <w:color w:val="000000" w:themeColor="text1"/>
        </w:rPr>
      </w:pPr>
    </w:p>
    <w:p w14:paraId="5EB6FCF8" w14:textId="2467A26F" w:rsidR="004171CC" w:rsidRPr="003015CD" w:rsidRDefault="004171CC" w:rsidP="00081885">
      <w:pPr>
        <w:jc w:val="both"/>
        <w:rPr>
          <w:rFonts w:asciiTheme="majorHAnsi" w:hAnsiTheme="majorHAnsi" w:cstheme="majorBidi"/>
          <w:iCs/>
          <w:color w:val="000000" w:themeColor="text1"/>
        </w:rPr>
      </w:pPr>
      <w:r w:rsidRPr="003015CD">
        <w:rPr>
          <w:rFonts w:asciiTheme="majorHAnsi" w:hAnsiTheme="majorHAnsi" w:cstheme="majorBidi"/>
          <w:iCs/>
          <w:color w:val="000000" w:themeColor="text1"/>
        </w:rPr>
        <w:t xml:space="preserve">Examples of </w:t>
      </w:r>
      <w:r w:rsidR="00A85DB8" w:rsidRPr="003015CD">
        <w:rPr>
          <w:rFonts w:asciiTheme="majorHAnsi" w:hAnsiTheme="majorHAnsi" w:cstheme="majorBidi"/>
          <w:iCs/>
          <w:color w:val="000000" w:themeColor="text1"/>
        </w:rPr>
        <w:t>“</w:t>
      </w:r>
      <w:r w:rsidRPr="003015CD">
        <w:rPr>
          <w:rFonts w:asciiTheme="majorHAnsi" w:hAnsiTheme="majorHAnsi" w:cstheme="majorBidi"/>
          <w:iCs/>
          <w:color w:val="000000" w:themeColor="text1"/>
        </w:rPr>
        <w:t>other studies</w:t>
      </w:r>
      <w:r w:rsidR="00A85DB8" w:rsidRPr="003015CD">
        <w:rPr>
          <w:rFonts w:asciiTheme="majorHAnsi" w:hAnsiTheme="majorHAnsi" w:cstheme="majorBidi"/>
          <w:iCs/>
          <w:color w:val="000000" w:themeColor="text1"/>
        </w:rPr>
        <w:t>”</w:t>
      </w:r>
      <w:r w:rsidRPr="003015CD">
        <w:rPr>
          <w:rFonts w:asciiTheme="majorHAnsi" w:hAnsiTheme="majorHAnsi" w:cstheme="majorBidi"/>
          <w:iCs/>
          <w:color w:val="000000" w:themeColor="text1"/>
        </w:rPr>
        <w:t xml:space="preserve"> include (list not exhaustive):  </w:t>
      </w:r>
    </w:p>
    <w:p w14:paraId="2D13909C" w14:textId="77777777" w:rsidR="004171CC" w:rsidRPr="003015CD" w:rsidRDefault="004171CC" w:rsidP="00B93367">
      <w:pPr>
        <w:pStyle w:val="Commentaire"/>
        <w:numPr>
          <w:ilvl w:val="0"/>
          <w:numId w:val="325"/>
        </w:numPr>
        <w:rPr>
          <w:rFonts w:asciiTheme="majorHAnsi" w:hAnsiTheme="majorHAnsi" w:cstheme="majorBidi"/>
          <w:iCs/>
          <w:color w:val="000000" w:themeColor="text1"/>
        </w:rPr>
      </w:pPr>
      <w:r w:rsidRPr="003015CD">
        <w:rPr>
          <w:rFonts w:asciiTheme="majorHAnsi" w:hAnsiTheme="majorHAnsi" w:cstheme="majorBidi"/>
          <w:iCs/>
          <w:color w:val="000000" w:themeColor="text1"/>
          <w:sz w:val="22"/>
          <w:szCs w:val="22"/>
        </w:rPr>
        <w:t>a retrospective study using data generated from the use of a device</w:t>
      </w:r>
      <w:r w:rsidRPr="003015CD">
        <w:rPr>
          <w:rFonts w:asciiTheme="majorHAnsi" w:hAnsiTheme="majorHAnsi" w:cstheme="majorBidi"/>
          <w:iCs/>
          <w:color w:val="000000" w:themeColor="text1"/>
        </w:rPr>
        <w:t>, </w:t>
      </w:r>
    </w:p>
    <w:p w14:paraId="629F7455" w14:textId="0B4CED3D" w:rsidR="004171CC" w:rsidRPr="003015CD" w:rsidRDefault="004171CC" w:rsidP="00B93367">
      <w:pPr>
        <w:pStyle w:val="Commentaire"/>
        <w:numPr>
          <w:ilvl w:val="0"/>
          <w:numId w:val="325"/>
        </w:numPr>
        <w:spacing w:line="259" w:lineRule="auto"/>
        <w:rPr>
          <w:rFonts w:asciiTheme="majorHAnsi" w:hAnsiTheme="majorHAnsi" w:cstheme="majorBidi"/>
          <w:iCs/>
          <w:color w:val="000000" w:themeColor="text1"/>
        </w:rPr>
      </w:pPr>
      <w:r w:rsidRPr="003015CD">
        <w:rPr>
          <w:rFonts w:asciiTheme="majorHAnsi" w:hAnsiTheme="majorHAnsi" w:cstheme="majorBidi"/>
          <w:iCs/>
          <w:color w:val="000000" w:themeColor="text1"/>
          <w:sz w:val="22"/>
          <w:szCs w:val="22"/>
        </w:rPr>
        <w:t xml:space="preserve">a study using real-world data collected from </w:t>
      </w:r>
      <w:r w:rsidR="00A056EB" w:rsidRPr="003015CD">
        <w:rPr>
          <w:rFonts w:asciiTheme="majorHAnsi" w:hAnsiTheme="majorHAnsi" w:cstheme="majorBidi"/>
          <w:iCs/>
          <w:color w:val="000000" w:themeColor="text1"/>
          <w:sz w:val="22"/>
          <w:szCs w:val="22"/>
        </w:rPr>
        <w:t>a registry</w:t>
      </w:r>
      <w:r w:rsidRPr="003015CD">
        <w:rPr>
          <w:rFonts w:asciiTheme="majorHAnsi" w:hAnsiTheme="majorHAnsi" w:cstheme="majorBidi"/>
          <w:iCs/>
          <w:color w:val="000000" w:themeColor="text1"/>
          <w:sz w:val="22"/>
          <w:szCs w:val="22"/>
        </w:rPr>
        <w:t xml:space="preserve"> (see section 8.2 for more information on real-world data),</w:t>
      </w:r>
    </w:p>
    <w:p w14:paraId="1A3EBB8B" w14:textId="44CF2714" w:rsidR="004171CC" w:rsidRPr="003015CD" w:rsidRDefault="004171CC" w:rsidP="00B93367">
      <w:pPr>
        <w:pStyle w:val="Commentaire"/>
        <w:numPr>
          <w:ilvl w:val="0"/>
          <w:numId w:val="325"/>
        </w:numPr>
        <w:spacing w:line="259" w:lineRule="auto"/>
        <w:rPr>
          <w:rFonts w:asciiTheme="majorHAnsi" w:hAnsiTheme="majorHAnsi" w:cstheme="majorBidi"/>
          <w:iCs/>
          <w:color w:val="000000" w:themeColor="text1"/>
          <w:sz w:val="22"/>
          <w:szCs w:val="22"/>
        </w:rPr>
      </w:pPr>
      <w:r w:rsidRPr="003015CD">
        <w:rPr>
          <w:rFonts w:asciiTheme="majorHAnsi" w:hAnsiTheme="majorHAnsi" w:cstheme="majorBidi"/>
          <w:iCs/>
          <w:color w:val="000000" w:themeColor="text1"/>
          <w:sz w:val="22"/>
          <w:szCs w:val="22"/>
        </w:rPr>
        <w:t>a study where a device is used but the scope of the study is not to assess the safety or performance of the device(s)</w:t>
      </w:r>
      <w:r w:rsidRPr="003015CD">
        <w:rPr>
          <w:rStyle w:val="Appelnotedebasdep"/>
          <w:rFonts w:asciiTheme="majorHAnsi" w:hAnsiTheme="majorHAnsi" w:cstheme="majorBidi"/>
          <w:iCs/>
          <w:color w:val="000000" w:themeColor="text1"/>
          <w:sz w:val="22"/>
          <w:szCs w:val="22"/>
        </w:rPr>
        <w:footnoteReference w:id="30"/>
      </w:r>
      <w:r w:rsidRPr="003015CD">
        <w:rPr>
          <w:rFonts w:asciiTheme="majorHAnsi" w:hAnsiTheme="majorHAnsi" w:cstheme="majorBidi"/>
          <w:iCs/>
          <w:color w:val="000000" w:themeColor="text1"/>
          <w:sz w:val="22"/>
          <w:szCs w:val="22"/>
        </w:rPr>
        <w:t xml:space="preserve">: </w:t>
      </w:r>
    </w:p>
    <w:p w14:paraId="73AD9517" w14:textId="77777777" w:rsidR="004171CC" w:rsidRPr="003015CD" w:rsidRDefault="004171CC" w:rsidP="00A85DB8">
      <w:pPr>
        <w:pStyle w:val="Commentaire"/>
        <w:numPr>
          <w:ilvl w:val="1"/>
          <w:numId w:val="100"/>
        </w:numPr>
        <w:spacing w:line="259" w:lineRule="auto"/>
        <w:rPr>
          <w:rFonts w:asciiTheme="majorHAnsi" w:hAnsiTheme="majorHAnsi" w:cstheme="majorBidi"/>
          <w:iCs/>
          <w:color w:val="000000" w:themeColor="text1"/>
          <w:sz w:val="22"/>
          <w:szCs w:val="22"/>
        </w:rPr>
      </w:pPr>
      <w:r w:rsidRPr="003015CD">
        <w:rPr>
          <w:rFonts w:asciiTheme="majorHAnsi" w:hAnsiTheme="majorHAnsi" w:cstheme="majorBidi"/>
          <w:color w:val="000000" w:themeColor="text1"/>
          <w:sz w:val="22"/>
          <w:szCs w:val="22"/>
        </w:rPr>
        <w:t>a clinical trial of a medicinal product that involves determining blood pressure or oxygen</w:t>
      </w:r>
      <w:r w:rsidRPr="003015CD">
        <w:rPr>
          <w:rFonts w:asciiTheme="majorHAnsi" w:hAnsiTheme="majorHAnsi" w:cstheme="majorBidi"/>
          <w:iCs/>
          <w:color w:val="000000" w:themeColor="text1"/>
          <w:sz w:val="22"/>
          <w:szCs w:val="22"/>
        </w:rPr>
        <w:t xml:space="preserve"> saturation that will require the use of a device, or </w:t>
      </w:r>
    </w:p>
    <w:p w14:paraId="653D8C23" w14:textId="40F4D737" w:rsidR="004171CC" w:rsidRPr="003015CD" w:rsidRDefault="004171CC" w:rsidP="00081885">
      <w:pPr>
        <w:pStyle w:val="Commentaire"/>
        <w:numPr>
          <w:ilvl w:val="1"/>
          <w:numId w:val="100"/>
        </w:numPr>
        <w:spacing w:line="259" w:lineRule="auto"/>
        <w:rPr>
          <w:rFonts w:asciiTheme="majorHAnsi" w:hAnsiTheme="majorHAnsi" w:cstheme="majorBidi"/>
          <w:iCs/>
          <w:color w:val="000000" w:themeColor="text1"/>
          <w:sz w:val="22"/>
          <w:szCs w:val="22"/>
        </w:rPr>
      </w:pPr>
      <w:r w:rsidRPr="003015CD">
        <w:rPr>
          <w:rFonts w:asciiTheme="majorHAnsi" w:hAnsiTheme="majorHAnsi" w:cstheme="majorBidi"/>
          <w:iCs/>
          <w:color w:val="000000" w:themeColor="text1"/>
          <w:sz w:val="22"/>
          <w:szCs w:val="22"/>
        </w:rPr>
        <w:t xml:space="preserve">a study with primary focus </w:t>
      </w:r>
      <w:r w:rsidR="00A056EB" w:rsidRPr="003015CD">
        <w:rPr>
          <w:rFonts w:asciiTheme="majorHAnsi" w:hAnsiTheme="majorHAnsi" w:cstheme="majorBidi"/>
          <w:iCs/>
          <w:color w:val="000000" w:themeColor="text1"/>
          <w:sz w:val="22"/>
          <w:szCs w:val="22"/>
        </w:rPr>
        <w:t>on stent</w:t>
      </w:r>
      <w:r w:rsidRPr="003015CD">
        <w:rPr>
          <w:rFonts w:asciiTheme="majorHAnsi" w:hAnsiTheme="majorHAnsi" w:cstheme="majorBidi"/>
          <w:iCs/>
          <w:color w:val="000000" w:themeColor="text1"/>
          <w:sz w:val="22"/>
          <w:szCs w:val="22"/>
        </w:rPr>
        <w:t xml:space="preserve">/stent delivery </w:t>
      </w:r>
      <w:r w:rsidR="00A056EB" w:rsidRPr="003015CD">
        <w:rPr>
          <w:rFonts w:asciiTheme="majorHAnsi" w:hAnsiTheme="majorHAnsi" w:cstheme="majorBidi"/>
          <w:iCs/>
          <w:color w:val="000000" w:themeColor="text1"/>
          <w:sz w:val="22"/>
          <w:szCs w:val="22"/>
        </w:rPr>
        <w:t>systems in</w:t>
      </w:r>
      <w:r w:rsidRPr="003015CD">
        <w:rPr>
          <w:rFonts w:asciiTheme="majorHAnsi" w:hAnsiTheme="majorHAnsi" w:cstheme="majorBidi"/>
          <w:iCs/>
          <w:color w:val="000000" w:themeColor="text1"/>
          <w:sz w:val="22"/>
          <w:szCs w:val="22"/>
        </w:rPr>
        <w:t xml:space="preserve"> which the guidewire is used in the PTCA/PTA</w:t>
      </w:r>
      <w:r w:rsidRPr="003015CD">
        <w:rPr>
          <w:rStyle w:val="Appelnotedebasdep"/>
          <w:rFonts w:asciiTheme="majorHAnsi" w:hAnsiTheme="majorHAnsi" w:cstheme="majorBidi"/>
          <w:iCs/>
          <w:color w:val="000000" w:themeColor="text1"/>
          <w:sz w:val="22"/>
          <w:szCs w:val="22"/>
        </w:rPr>
        <w:footnoteReference w:id="31"/>
      </w:r>
      <w:r w:rsidRPr="003015CD">
        <w:rPr>
          <w:rFonts w:asciiTheme="majorHAnsi" w:hAnsiTheme="majorHAnsi" w:cstheme="majorBidi"/>
          <w:iCs/>
          <w:color w:val="000000" w:themeColor="text1"/>
          <w:sz w:val="22"/>
          <w:szCs w:val="22"/>
        </w:rPr>
        <w:t xml:space="preserve"> procedure The study’s primary focus is on the stent with relevant safety and performance data gathered indirectly for the guidewire.</w:t>
      </w:r>
    </w:p>
    <w:p w14:paraId="0536136E" w14:textId="77777777" w:rsidR="004171CC" w:rsidRPr="003015CD" w:rsidRDefault="004171CC" w:rsidP="00081885"/>
    <w:p w14:paraId="069407FB" w14:textId="7CCA735A" w:rsidR="004171CC" w:rsidRPr="003015CD" w:rsidRDefault="004171CC" w:rsidP="0052434F">
      <w:pPr>
        <w:pStyle w:val="Titre3"/>
        <w:spacing w:line="259" w:lineRule="auto"/>
        <w:ind w:left="993" w:hanging="993"/>
        <w:jc w:val="both"/>
        <w:rPr>
          <w:rFonts w:asciiTheme="majorHAnsi" w:hAnsiTheme="majorHAnsi" w:cstheme="majorHAnsi"/>
          <w:color w:val="000000" w:themeColor="text1"/>
        </w:rPr>
      </w:pPr>
      <w:bookmarkStart w:id="91" w:name="_Toc236912891"/>
      <w:r w:rsidRPr="003015CD">
        <w:rPr>
          <w:rFonts w:asciiTheme="majorHAnsi" w:hAnsiTheme="majorHAnsi" w:cstheme="majorHAnsi"/>
          <w:color w:val="000000" w:themeColor="text1"/>
        </w:rPr>
        <w:t>Source of data - r</w:t>
      </w:r>
      <w:bookmarkStart w:id="92" w:name="_Ref164180629"/>
      <w:r w:rsidRPr="003015CD">
        <w:rPr>
          <w:rFonts w:asciiTheme="majorHAnsi" w:hAnsiTheme="majorHAnsi" w:cstheme="majorHAnsi"/>
          <w:color w:val="000000" w:themeColor="text1"/>
        </w:rPr>
        <w:t>eports on other clinical experience</w:t>
      </w:r>
      <w:bookmarkEnd w:id="91"/>
      <w:bookmarkEnd w:id="92"/>
      <w:r w:rsidRPr="003015CD">
        <w:rPr>
          <w:rFonts w:asciiTheme="majorHAnsi" w:hAnsiTheme="majorHAnsi" w:cstheme="majorHAnsi"/>
          <w:color w:val="000000" w:themeColor="text1"/>
        </w:rPr>
        <w:t xml:space="preserve"> </w:t>
      </w:r>
    </w:p>
    <w:p w14:paraId="1AFF51EC" w14:textId="44B422F5" w:rsidR="004171CC" w:rsidRPr="003015CD" w:rsidRDefault="004171CC" w:rsidP="00C43994">
      <w:pPr>
        <w:rPr>
          <w:color w:val="000000" w:themeColor="text1"/>
        </w:rPr>
      </w:pPr>
      <w:r w:rsidRPr="003015CD">
        <w:rPr>
          <w:rStyle w:val="normaltextrun"/>
          <w:color w:val="000000" w:themeColor="text1"/>
        </w:rPr>
        <w:t xml:space="preserve">Data sourced from reports on other clinical experience of the device under evaluation and/or equivalent device falls under indent three of Article 2(48). Reports on other clinical experience refer to data generated </w:t>
      </w:r>
      <w:r w:rsidR="00A056EB" w:rsidRPr="003015CD">
        <w:rPr>
          <w:rStyle w:val="normaltextrun"/>
          <w:color w:val="000000" w:themeColor="text1"/>
        </w:rPr>
        <w:t>through routine</w:t>
      </w:r>
      <w:r w:rsidRPr="003015CD">
        <w:rPr>
          <w:rStyle w:val="normaltextrun"/>
          <w:color w:val="000000" w:themeColor="text1"/>
        </w:rPr>
        <w:t xml:space="preserve"> clinical use of the device under evaluation or of an equivalent device, but not within the context of clinical investigations and other studies</w:t>
      </w:r>
      <w:r w:rsidRPr="003015CD">
        <w:rPr>
          <w:rStyle w:val="Appelnotedebasdep"/>
          <w:color w:val="000000" w:themeColor="text1"/>
        </w:rPr>
        <w:footnoteReference w:id="32"/>
      </w:r>
      <w:r w:rsidRPr="003015CD">
        <w:rPr>
          <w:rStyle w:val="normaltextrun"/>
          <w:color w:val="000000" w:themeColor="text1"/>
        </w:rPr>
        <w:t>.</w:t>
      </w:r>
      <w:bookmarkStart w:id="93" w:name="_Hlk201830171"/>
    </w:p>
    <w:p w14:paraId="4FF689C0" w14:textId="560EC2C7" w:rsidR="004171CC" w:rsidRPr="003015CD" w:rsidRDefault="004171CC" w:rsidP="00081885">
      <w:pPr>
        <w:rPr>
          <w:rStyle w:val="normaltextrun"/>
          <w:color w:val="000000" w:themeColor="text1"/>
        </w:rPr>
      </w:pPr>
      <w:r w:rsidRPr="003015CD">
        <w:rPr>
          <w:rStyle w:val="normaltextrun"/>
          <w:color w:val="000000"/>
          <w:szCs w:val="22"/>
          <w:shd w:val="clear" w:color="auto" w:fill="FFFFFF"/>
        </w:rPr>
        <w:t xml:space="preserve">Note that, for the clinical evaluation of a </w:t>
      </w:r>
      <w:r w:rsidRPr="003015CD">
        <w:rPr>
          <w:rStyle w:val="normaltextrun"/>
          <w:b/>
          <w:bCs/>
          <w:color w:val="000000"/>
          <w:szCs w:val="22"/>
          <w:shd w:val="clear" w:color="auto" w:fill="FFFFFF"/>
        </w:rPr>
        <w:t>non-CE marked device</w:t>
      </w:r>
      <w:r w:rsidRPr="003015CD">
        <w:rPr>
          <w:rStyle w:val="normaltextrun"/>
          <w:color w:val="000000"/>
          <w:szCs w:val="22"/>
          <w:shd w:val="clear" w:color="auto" w:fill="FFFFFF"/>
        </w:rPr>
        <w:t xml:space="preserve">, </w:t>
      </w:r>
      <w:bookmarkEnd w:id="93"/>
      <w:r w:rsidRPr="003015CD">
        <w:rPr>
          <w:rStyle w:val="normaltextrun"/>
          <w:color w:val="000000"/>
          <w:szCs w:val="22"/>
          <w:shd w:val="clear" w:color="auto" w:fill="FFFFFF"/>
        </w:rPr>
        <w:t>reports on other clinical experience fall under the definition of clinical data only if published in peer-reviewed scientific literature</w:t>
      </w:r>
      <w:r w:rsidRPr="003015CD">
        <w:rPr>
          <w:rStyle w:val="Appelnotedebasdep"/>
          <w:color w:val="000000"/>
          <w:szCs w:val="22"/>
          <w:shd w:val="clear" w:color="auto" w:fill="FFFFFF"/>
        </w:rPr>
        <w:footnoteReference w:id="33"/>
      </w:r>
      <w:r w:rsidRPr="003015CD">
        <w:rPr>
          <w:rStyle w:val="normaltextrun"/>
          <w:color w:val="000000"/>
          <w:szCs w:val="22"/>
          <w:shd w:val="clear" w:color="auto" w:fill="FFFFFF"/>
        </w:rPr>
        <w:t>. The requirement for publication in peer-reviewed scientific literature does not apply to information sourced from PMS</w:t>
      </w:r>
      <w:r w:rsidR="00FE33B3" w:rsidRPr="003015CD">
        <w:rPr>
          <w:rStyle w:val="normaltextrun"/>
          <w:color w:val="000000"/>
          <w:szCs w:val="22"/>
          <w:shd w:val="clear" w:color="auto" w:fill="FFFFFF"/>
        </w:rPr>
        <w:t xml:space="preserve"> and</w:t>
      </w:r>
      <w:r w:rsidR="00E664A4" w:rsidRPr="003015CD">
        <w:rPr>
          <w:rStyle w:val="normaltextrun"/>
          <w:color w:val="000000"/>
          <w:szCs w:val="22"/>
          <w:shd w:val="clear" w:color="auto" w:fill="FFFFFF"/>
        </w:rPr>
        <w:t xml:space="preserve"> </w:t>
      </w:r>
      <w:r w:rsidRPr="003015CD">
        <w:rPr>
          <w:rStyle w:val="normaltextrun"/>
          <w:color w:val="000000"/>
          <w:szCs w:val="22"/>
          <w:shd w:val="clear" w:color="auto" w:fill="FFFFFF"/>
        </w:rPr>
        <w:t xml:space="preserve">PMCF, activities of a </w:t>
      </w:r>
      <w:r w:rsidRPr="003015CD">
        <w:rPr>
          <w:rStyle w:val="normaltextrun"/>
          <w:b/>
          <w:bCs/>
          <w:color w:val="000000"/>
          <w:szCs w:val="22"/>
          <w:shd w:val="clear" w:color="auto" w:fill="FFFFFF"/>
        </w:rPr>
        <w:t>CE-marked device</w:t>
      </w:r>
      <w:r w:rsidRPr="003015CD">
        <w:rPr>
          <w:rStyle w:val="Appelnotedebasdep"/>
          <w:b/>
          <w:bCs/>
          <w:color w:val="000000"/>
          <w:szCs w:val="22"/>
          <w:shd w:val="clear" w:color="auto" w:fill="FFFFFF"/>
        </w:rPr>
        <w:footnoteReference w:id="34"/>
      </w:r>
      <w:r w:rsidRPr="003015CD">
        <w:rPr>
          <w:rStyle w:val="normaltextrun"/>
          <w:color w:val="000000"/>
          <w:szCs w:val="22"/>
          <w:shd w:val="clear" w:color="auto" w:fill="FFFFFF"/>
        </w:rPr>
        <w:t>,.</w:t>
      </w:r>
    </w:p>
    <w:p w14:paraId="4601105D" w14:textId="77777777" w:rsidR="003C4B71" w:rsidRPr="003015CD" w:rsidRDefault="003C4B71" w:rsidP="00081885">
      <w:pPr>
        <w:jc w:val="both"/>
        <w:rPr>
          <w:rFonts w:asciiTheme="majorHAnsi" w:hAnsiTheme="majorHAnsi" w:cstheme="majorHAnsi"/>
          <w:color w:val="000000" w:themeColor="text1"/>
        </w:rPr>
      </w:pPr>
    </w:p>
    <w:p w14:paraId="400F5B60" w14:textId="65B0AD9B"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Examples of reports on other clinical experience that may qualify as clinical data include </w:t>
      </w:r>
      <w:r w:rsidRPr="003015CD">
        <w:rPr>
          <w:rFonts w:asciiTheme="majorHAnsi" w:hAnsiTheme="majorHAnsi" w:cstheme="majorBidi"/>
          <w:color w:val="000000" w:themeColor="text1"/>
        </w:rPr>
        <w:t>(list not exhaustive)</w:t>
      </w:r>
      <w:r w:rsidRPr="003015CD">
        <w:rPr>
          <w:rFonts w:asciiTheme="majorHAnsi" w:hAnsiTheme="majorHAnsi" w:cstheme="majorHAnsi"/>
          <w:color w:val="000000" w:themeColor="text1"/>
        </w:rPr>
        <w:t>:</w:t>
      </w:r>
    </w:p>
    <w:p w14:paraId="28313670" w14:textId="7DEA805D" w:rsidR="004171CC" w:rsidRPr="003015CD" w:rsidRDefault="004171CC" w:rsidP="00081885">
      <w:pPr>
        <w:pStyle w:val="Paragraphedeliste"/>
        <w:numPr>
          <w:ilvl w:val="0"/>
          <w:numId w:val="101"/>
        </w:numPr>
        <w:jc w:val="both"/>
        <w:rPr>
          <w:rFonts w:asciiTheme="majorHAnsi" w:hAnsiTheme="majorHAnsi" w:cstheme="majorBidi"/>
          <w:color w:val="000000" w:themeColor="text1"/>
        </w:rPr>
      </w:pPr>
      <w:r w:rsidRPr="003015CD">
        <w:rPr>
          <w:rFonts w:asciiTheme="majorHAnsi" w:hAnsiTheme="majorHAnsi" w:cstheme="majorBidi"/>
          <w:color w:val="000000" w:themeColor="text1"/>
        </w:rPr>
        <w:t>reports presenting data from high quality surveys</w:t>
      </w:r>
      <w:r w:rsidRPr="003015CD">
        <w:rPr>
          <w:rStyle w:val="Appelnotedebasdep"/>
          <w:rFonts w:asciiTheme="majorHAnsi" w:hAnsiTheme="majorHAnsi" w:cstheme="majorBidi"/>
          <w:color w:val="000000" w:themeColor="text1"/>
        </w:rPr>
        <w:footnoteReference w:id="35"/>
      </w:r>
      <w:r w:rsidRPr="003015CD">
        <w:rPr>
          <w:rFonts w:asciiTheme="majorHAnsi" w:hAnsiTheme="majorHAnsi" w:cstheme="majorBidi"/>
          <w:color w:val="000000" w:themeColor="text1"/>
        </w:rPr>
        <w:t xml:space="preserve"> regarding the use of a non-CE-marked device in other jurisdictions where the device is marketed (with the same intended purpose and use)</w:t>
      </w:r>
    </w:p>
    <w:p w14:paraId="030221E3" w14:textId="6FE04C18" w:rsidR="004171CC" w:rsidRPr="003015CD" w:rsidRDefault="004171CC" w:rsidP="00081885">
      <w:pPr>
        <w:pStyle w:val="Paragraphedeliste"/>
        <w:numPr>
          <w:ilvl w:val="0"/>
          <w:numId w:val="101"/>
        </w:numPr>
        <w:rPr>
          <w:rFonts w:asciiTheme="majorHAnsi" w:hAnsiTheme="majorHAnsi" w:cstheme="majorBidi"/>
          <w:color w:val="000000" w:themeColor="text1"/>
        </w:rPr>
      </w:pPr>
      <w:r w:rsidRPr="003015CD">
        <w:rPr>
          <w:rFonts w:asciiTheme="majorHAnsi" w:hAnsiTheme="majorHAnsi" w:cstheme="majorBidi"/>
          <w:color w:val="000000" w:themeColor="text1"/>
        </w:rPr>
        <w:t xml:space="preserve">reports on real-world data (RWD) generated using a device in other jurisdictions outside of the EU, such as analysis of data that </w:t>
      </w:r>
      <w:r w:rsidR="006D2338" w:rsidRPr="003015CD">
        <w:rPr>
          <w:rFonts w:asciiTheme="majorHAnsi" w:hAnsiTheme="majorHAnsi" w:cstheme="majorBidi"/>
          <w:color w:val="000000" w:themeColor="text1"/>
        </w:rPr>
        <w:t>has</w:t>
      </w:r>
      <w:r w:rsidRPr="003015CD">
        <w:rPr>
          <w:rFonts w:asciiTheme="majorHAnsi" w:hAnsiTheme="majorHAnsi" w:cstheme="majorBidi"/>
          <w:color w:val="000000" w:themeColor="text1"/>
        </w:rPr>
        <w:t xml:space="preserve"> been extracted from vigilance </w:t>
      </w:r>
      <w:r w:rsidR="00500991" w:rsidRPr="003015CD">
        <w:rPr>
          <w:rFonts w:asciiTheme="majorHAnsi" w:hAnsiTheme="majorHAnsi" w:cstheme="majorBidi"/>
          <w:color w:val="000000" w:themeColor="text1"/>
        </w:rPr>
        <w:t>d</w:t>
      </w:r>
      <w:r w:rsidRPr="003015CD">
        <w:rPr>
          <w:rFonts w:asciiTheme="majorHAnsi" w:hAnsiTheme="majorHAnsi" w:cstheme="majorBidi"/>
          <w:color w:val="000000" w:themeColor="text1"/>
        </w:rPr>
        <w:t>atabases/registries and data collected from hospital information systems (see section 8.2).</w:t>
      </w:r>
    </w:p>
    <w:p w14:paraId="7576B497" w14:textId="26B5439B" w:rsidR="004171CC" w:rsidRPr="003015CD" w:rsidRDefault="004171CC" w:rsidP="0052434F">
      <w:pPr>
        <w:pStyle w:val="Paragraphedeliste"/>
        <w:jc w:val="both"/>
        <w:rPr>
          <w:rStyle w:val="normaltextrun"/>
          <w:color w:val="000000" w:themeColor="text1"/>
        </w:rPr>
      </w:pPr>
      <w:r w:rsidRPr="003015CD">
        <w:rPr>
          <w:rFonts w:asciiTheme="majorHAnsi" w:hAnsiTheme="majorHAnsi" w:cstheme="majorBidi"/>
          <w:i/>
          <w:color w:val="000000" w:themeColor="text1"/>
        </w:rPr>
        <w:t xml:space="preserve"> </w:t>
      </w:r>
    </w:p>
    <w:p w14:paraId="65FAEA4C" w14:textId="6987D70F" w:rsidR="004171CC" w:rsidRPr="003015CD" w:rsidRDefault="004171CC" w:rsidP="0052434F">
      <w:pPr>
        <w:pStyle w:val="Titre3"/>
        <w:spacing w:line="259" w:lineRule="auto"/>
        <w:ind w:left="993" w:hanging="993"/>
        <w:jc w:val="both"/>
        <w:rPr>
          <w:rFonts w:asciiTheme="majorHAnsi" w:hAnsiTheme="majorHAnsi" w:cstheme="majorHAnsi"/>
          <w:color w:val="000000" w:themeColor="text1"/>
        </w:rPr>
      </w:pPr>
      <w:bookmarkStart w:id="94" w:name="_Ref233793815"/>
      <w:bookmarkStart w:id="95" w:name="_Toc236912892"/>
      <w:bookmarkStart w:id="96" w:name="_Ref164071257"/>
      <w:bookmarkStart w:id="97" w:name="_Ref165299447"/>
      <w:bookmarkStart w:id="98" w:name="_Ref165303170"/>
      <w:bookmarkEnd w:id="85"/>
      <w:r w:rsidRPr="003015CD">
        <w:rPr>
          <w:rFonts w:asciiTheme="majorHAnsi" w:hAnsiTheme="majorHAnsi" w:cstheme="majorHAnsi"/>
          <w:color w:val="000000" w:themeColor="text1"/>
        </w:rPr>
        <w:t>Source of data - Clinically relevant information coming from the PMS system, in particular the PMCF</w:t>
      </w:r>
      <w:bookmarkEnd w:id="94"/>
      <w:bookmarkEnd w:id="95"/>
    </w:p>
    <w:p w14:paraId="65FB546D" w14:textId="3BDE0D47" w:rsidR="004171CC" w:rsidRPr="003015CD" w:rsidRDefault="004171CC" w:rsidP="00081885">
      <w:pPr>
        <w:spacing w:after="30"/>
        <w:jc w:val="both"/>
        <w:rPr>
          <w:rFonts w:asciiTheme="majorHAnsi" w:hAnsiTheme="majorHAnsi" w:cstheme="majorBidi"/>
          <w:color w:val="000000" w:themeColor="text1"/>
        </w:rPr>
      </w:pPr>
      <w:r w:rsidRPr="003015CD">
        <w:rPr>
          <w:rFonts w:asciiTheme="majorHAnsi" w:hAnsiTheme="majorHAnsi" w:cstheme="majorBidi"/>
          <w:color w:val="000000" w:themeColor="text1"/>
        </w:rPr>
        <w:t>Clinically relevant information collected through PMS</w:t>
      </w:r>
      <w:r w:rsidR="00FE33B3" w:rsidRPr="003015CD">
        <w:rPr>
          <w:rFonts w:asciiTheme="majorHAnsi" w:hAnsiTheme="majorHAnsi" w:cstheme="majorBidi"/>
          <w:color w:val="000000" w:themeColor="text1"/>
        </w:rPr>
        <w:t xml:space="preserve"> and</w:t>
      </w:r>
      <w:r w:rsidR="00500991"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 xml:space="preserve">PMCF, falls under indent four of MDR Article 2(48). </w:t>
      </w:r>
    </w:p>
    <w:p w14:paraId="18C2168E" w14:textId="5693CBAE" w:rsidR="004171CC" w:rsidRPr="003015CD" w:rsidRDefault="004171CC" w:rsidP="00081885">
      <w:pPr>
        <w:autoSpaceDE w:val="0"/>
        <w:autoSpaceDN w:val="0"/>
        <w:adjustRightInd w:val="0"/>
        <w:spacing w:before="80" w:after="80"/>
        <w:jc w:val="both"/>
        <w:rPr>
          <w:rFonts w:asciiTheme="majorHAnsi" w:hAnsiTheme="majorHAnsi" w:cstheme="majorBidi"/>
          <w:color w:val="000000" w:themeColor="text1"/>
        </w:rPr>
      </w:pPr>
      <w:r w:rsidRPr="003015CD">
        <w:rPr>
          <w:rFonts w:asciiTheme="majorHAnsi" w:hAnsiTheme="majorHAnsi" w:cstheme="majorBidi"/>
          <w:color w:val="000000" w:themeColor="text1"/>
        </w:rPr>
        <w:t>Note that there is no requirement for clinical data collected or generated from PMS</w:t>
      </w:r>
      <w:r w:rsidR="00FE33B3" w:rsidRPr="003015CD">
        <w:rPr>
          <w:rFonts w:asciiTheme="majorHAnsi" w:hAnsiTheme="majorHAnsi" w:cstheme="majorBidi"/>
          <w:color w:val="000000" w:themeColor="text1"/>
        </w:rPr>
        <w:t xml:space="preserve"> and</w:t>
      </w:r>
      <w:r w:rsidR="00500991"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 xml:space="preserve">PMCF, to be published. Therefore, data that do not fit the definition of clinical data as per indent two and three due their unpublished nature may qualify as clinical data through indent four if generated as a part of the PMS of a CE-marked device. </w:t>
      </w:r>
    </w:p>
    <w:p w14:paraId="68E809B2" w14:textId="178D4EEC" w:rsidR="004171CC" w:rsidRPr="003015CD" w:rsidRDefault="00EC6525" w:rsidP="00081885">
      <w:pPr>
        <w:spacing w:after="30"/>
        <w:jc w:val="both"/>
        <w:rPr>
          <w:rFonts w:asciiTheme="majorHAnsi" w:hAnsiTheme="majorHAnsi" w:cstheme="majorHAnsi"/>
          <w:color w:val="000000" w:themeColor="text1"/>
        </w:rPr>
      </w:pPr>
      <w:r w:rsidRPr="003015CD">
        <w:rPr>
          <w:rFonts w:asciiTheme="majorHAnsi" w:hAnsiTheme="majorHAnsi" w:cstheme="majorHAnsi"/>
          <w:color w:val="000000" w:themeColor="text1"/>
        </w:rPr>
        <w:t>PMS data and PMCF data</w:t>
      </w:r>
      <w:r w:rsidR="004171CC" w:rsidRPr="003015CD">
        <w:rPr>
          <w:rFonts w:asciiTheme="majorHAnsi" w:hAnsiTheme="majorHAnsi" w:cstheme="majorHAnsi"/>
          <w:color w:val="000000" w:themeColor="text1"/>
        </w:rPr>
        <w:t xml:space="preserve"> may include clinical data of equivalent and similar devices.</w:t>
      </w:r>
    </w:p>
    <w:p w14:paraId="782EA316" w14:textId="29F8E819" w:rsidR="004171CC" w:rsidRPr="003015CD" w:rsidRDefault="004171CC" w:rsidP="00C43994">
      <w:pPr>
        <w:spacing w:after="30" w:line="259" w:lineRule="auto"/>
        <w:jc w:val="both"/>
        <w:rPr>
          <w:rFonts w:asciiTheme="majorHAnsi" w:hAnsiTheme="majorHAnsi" w:cstheme="majorHAnsi"/>
          <w:color w:val="000000" w:themeColor="text1"/>
        </w:rPr>
      </w:pPr>
      <w:r w:rsidRPr="003015CD">
        <w:rPr>
          <w:rFonts w:asciiTheme="majorHAnsi" w:hAnsiTheme="majorHAnsi" w:cstheme="majorBidi"/>
          <w:color w:val="000000" w:themeColor="text1"/>
        </w:rPr>
        <w:t>The collection of data through PMS</w:t>
      </w:r>
      <w:r w:rsidR="00FE33B3" w:rsidRPr="003015CD">
        <w:rPr>
          <w:rFonts w:asciiTheme="majorHAnsi" w:hAnsiTheme="majorHAnsi" w:cstheme="majorBidi"/>
          <w:color w:val="000000" w:themeColor="text1"/>
        </w:rPr>
        <w:t xml:space="preserve"> and</w:t>
      </w:r>
      <w:r w:rsidRPr="003015CD">
        <w:rPr>
          <w:rFonts w:asciiTheme="majorHAnsi" w:hAnsiTheme="majorHAnsi" w:cstheme="majorBidi"/>
          <w:color w:val="000000" w:themeColor="text1"/>
        </w:rPr>
        <w:t xml:space="preserve"> PMCF, is an MDR requirement (Articles 83-86) and it refers to data collected for devices placed on the market</w:t>
      </w:r>
      <w:r w:rsidRPr="003015CD">
        <w:rPr>
          <w:rStyle w:val="Appelnotedebasdep"/>
          <w:rFonts w:asciiTheme="majorHAnsi" w:hAnsiTheme="majorHAnsi" w:cstheme="majorBidi"/>
          <w:color w:val="000000" w:themeColor="text1"/>
        </w:rPr>
        <w:footnoteReference w:id="36"/>
      </w:r>
      <w:r w:rsidRPr="003015CD">
        <w:rPr>
          <w:rFonts w:asciiTheme="majorHAnsi" w:hAnsiTheme="majorHAnsi" w:cstheme="majorBidi"/>
          <w:color w:val="000000" w:themeColor="text1"/>
        </w:rPr>
        <w:t xml:space="preserve"> or put into service</w:t>
      </w:r>
      <w:r w:rsidRPr="003015CD">
        <w:rPr>
          <w:rStyle w:val="Appelnotedebasdep"/>
          <w:rFonts w:asciiTheme="majorHAnsi" w:hAnsiTheme="majorHAnsi" w:cstheme="majorBidi"/>
          <w:color w:val="000000" w:themeColor="text1"/>
        </w:rPr>
        <w:footnoteReference w:id="37"/>
      </w:r>
      <w:r w:rsidRPr="003015CD">
        <w:rPr>
          <w:rFonts w:asciiTheme="majorHAnsi" w:hAnsiTheme="majorHAnsi" w:cstheme="majorBidi"/>
          <w:color w:val="000000" w:themeColor="text1"/>
        </w:rPr>
        <w:t xml:space="preserve"> in accordance with MDR</w:t>
      </w:r>
      <w:r w:rsidRPr="003015CD">
        <w:rPr>
          <w:rStyle w:val="Appelnotedebasdep"/>
          <w:rFonts w:asciiTheme="majorHAnsi" w:hAnsiTheme="majorHAnsi" w:cstheme="majorBidi"/>
          <w:color w:val="000000" w:themeColor="text1"/>
        </w:rPr>
        <w:footnoteReference w:id="38"/>
      </w:r>
      <w:r w:rsidRPr="003015CD">
        <w:rPr>
          <w:rFonts w:asciiTheme="majorHAnsi" w:hAnsiTheme="majorHAnsi" w:cstheme="majorBidi"/>
          <w:color w:val="000000" w:themeColor="text1"/>
        </w:rPr>
        <w:t>. For non-CE marked devices approved in other jurisdictions,</w:t>
      </w:r>
      <w:r w:rsidR="005A0492"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data would need to fall under any of indents 1-3 in Article 2(48) to be considered as clinical data. Examples of what constitutes “clinically relevant information” from PMS and PMCF are described in MDR Annex III section 1(a), and in MDR Annex XIV Part B 6.1-6.2, respectively</w:t>
      </w:r>
      <w:r w:rsidRPr="003015CD">
        <w:rPr>
          <w:rStyle w:val="Appelnotedebasdep"/>
          <w:rFonts w:asciiTheme="majorHAnsi" w:hAnsiTheme="majorHAnsi" w:cstheme="majorBidi"/>
          <w:color w:val="000000" w:themeColor="text1"/>
        </w:rPr>
        <w:footnoteReference w:id="39"/>
      </w:r>
      <w:r w:rsidRPr="003015CD">
        <w:rPr>
          <w:rFonts w:asciiTheme="majorHAnsi" w:hAnsiTheme="majorHAnsi" w:cstheme="majorBidi"/>
          <w:color w:val="000000" w:themeColor="text1"/>
        </w:rPr>
        <w:t xml:space="preserve">. </w:t>
      </w:r>
    </w:p>
    <w:p w14:paraId="30337615" w14:textId="77777777" w:rsidR="004171CC" w:rsidRPr="003015CD" w:rsidRDefault="004171CC" w:rsidP="00081885">
      <w:r w:rsidRPr="003015CD">
        <w:t xml:space="preserve">Examples of clinically relevant information from PMCF are </w:t>
      </w:r>
      <w:r w:rsidRPr="003015CD">
        <w:rPr>
          <w:rFonts w:asciiTheme="majorHAnsi" w:hAnsiTheme="majorHAnsi" w:cstheme="majorBidi"/>
          <w:color w:val="000000" w:themeColor="text1"/>
        </w:rPr>
        <w:t>(list not exhaustive)</w:t>
      </w:r>
      <w:r w:rsidRPr="003015CD">
        <w:t>:</w:t>
      </w:r>
    </w:p>
    <w:p w14:paraId="4145DD78" w14:textId="6B2087C0" w:rsidR="004171CC" w:rsidRPr="003015CD" w:rsidRDefault="004171CC" w:rsidP="00260B40">
      <w:pPr>
        <w:numPr>
          <w:ilvl w:val="2"/>
          <w:numId w:val="326"/>
        </w:numPr>
        <w:spacing w:after="30"/>
        <w:jc w:val="both"/>
        <w:rPr>
          <w:rFonts w:asciiTheme="majorHAnsi" w:hAnsiTheme="majorHAnsi" w:cstheme="majorHAnsi"/>
          <w:color w:val="000000" w:themeColor="text1"/>
        </w:rPr>
      </w:pPr>
      <w:r w:rsidRPr="003015CD">
        <w:rPr>
          <w:rFonts w:asciiTheme="majorHAnsi" w:hAnsiTheme="majorHAnsi" w:cstheme="majorHAnsi"/>
          <w:color w:val="000000" w:themeColor="text1"/>
        </w:rPr>
        <w:t>data from PMCF activities, such as PMCF investigations and</w:t>
      </w:r>
      <w:r w:rsidRPr="003015CD">
        <w:t xml:space="preserve"> other clinical studies (see section 1</w:t>
      </w:r>
      <w:r w:rsidR="005A0492" w:rsidRPr="003015CD">
        <w:t>3</w:t>
      </w:r>
      <w:r w:rsidRPr="003015CD">
        <w:t>.</w:t>
      </w:r>
    </w:p>
    <w:p w14:paraId="304E1644" w14:textId="7A5C4334" w:rsidR="004171CC" w:rsidRPr="003015CD" w:rsidRDefault="004171CC" w:rsidP="00260B40">
      <w:pPr>
        <w:numPr>
          <w:ilvl w:val="2"/>
          <w:numId w:val="326"/>
        </w:numPr>
        <w:spacing w:after="30"/>
        <w:jc w:val="both"/>
        <w:rPr>
          <w:rFonts w:asciiTheme="majorHAnsi" w:hAnsiTheme="majorHAnsi" w:cstheme="majorHAnsi"/>
          <w:color w:val="000000" w:themeColor="text1"/>
        </w:rPr>
      </w:pPr>
      <w:r w:rsidRPr="003015CD">
        <w:t>RWD from clinical experience such as data from registries</w:t>
      </w:r>
      <w:r w:rsidRPr="003015CD">
        <w:rPr>
          <w:rStyle w:val="Appelnotedebasdep"/>
        </w:rPr>
        <w:footnoteReference w:id="40"/>
      </w:r>
      <w:r w:rsidRPr="003015CD">
        <w:t xml:space="preserve"> generated post-market (see section 9.3.1.4);</w:t>
      </w:r>
      <w:r w:rsidRPr="003015CD">
        <w:rPr>
          <w:rFonts w:asciiTheme="majorHAnsi" w:hAnsiTheme="majorHAnsi" w:cstheme="majorHAnsi"/>
          <w:color w:val="000000" w:themeColor="text1"/>
        </w:rPr>
        <w:t xml:space="preserve"> </w:t>
      </w:r>
    </w:p>
    <w:p w14:paraId="3EB90818" w14:textId="2A4316F4" w:rsidR="004171CC" w:rsidRPr="003015CD" w:rsidRDefault="004171CC" w:rsidP="00260B40">
      <w:pPr>
        <w:numPr>
          <w:ilvl w:val="2"/>
          <w:numId w:val="326"/>
        </w:numPr>
        <w:spacing w:after="30"/>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Data from high quality surveys for users and/or patients. </w:t>
      </w:r>
    </w:p>
    <w:p w14:paraId="5B784EF1" w14:textId="77777777" w:rsidR="004171CC" w:rsidRPr="003015CD" w:rsidRDefault="004171CC" w:rsidP="00260B40">
      <w:pPr>
        <w:numPr>
          <w:ilvl w:val="2"/>
          <w:numId w:val="326"/>
        </w:numPr>
        <w:spacing w:after="30"/>
        <w:jc w:val="both"/>
        <w:rPr>
          <w:rFonts w:asciiTheme="majorHAnsi" w:hAnsiTheme="majorHAnsi" w:cstheme="majorHAnsi"/>
          <w:color w:val="000000" w:themeColor="text1"/>
        </w:rPr>
      </w:pPr>
      <w:r w:rsidRPr="003015CD">
        <w:rPr>
          <w:rFonts w:asciiTheme="majorHAnsi" w:hAnsiTheme="majorHAnsi" w:cstheme="majorHAnsi"/>
          <w:color w:val="000000" w:themeColor="text1"/>
        </w:rPr>
        <w:t>screening of scientific literature; and</w:t>
      </w:r>
    </w:p>
    <w:p w14:paraId="317965AB" w14:textId="77777777" w:rsidR="004171CC" w:rsidRPr="003015CD" w:rsidRDefault="004171CC" w:rsidP="00260B40">
      <w:pPr>
        <w:numPr>
          <w:ilvl w:val="2"/>
          <w:numId w:val="326"/>
        </w:numPr>
        <w:spacing w:after="30"/>
        <w:jc w:val="both"/>
        <w:rPr>
          <w:rFonts w:asciiTheme="majorHAnsi" w:hAnsiTheme="majorHAnsi" w:cstheme="majorHAnsi"/>
          <w:color w:val="000000" w:themeColor="text1"/>
        </w:rPr>
      </w:pPr>
      <w:r w:rsidRPr="003015CD">
        <w:rPr>
          <w:rFonts w:asciiTheme="majorHAnsi" w:hAnsiTheme="majorHAnsi" w:cstheme="majorBidi"/>
          <w:color w:val="000000" w:themeColor="text1"/>
        </w:rPr>
        <w:t>data from off-label use or misuse (see below)</w:t>
      </w:r>
      <w:r w:rsidRPr="003015CD">
        <w:rPr>
          <w:rStyle w:val="Appelnotedebasdep"/>
          <w:rFonts w:asciiTheme="majorHAnsi" w:hAnsiTheme="majorHAnsi" w:cstheme="majorBidi"/>
          <w:color w:val="000000" w:themeColor="text1"/>
        </w:rPr>
        <w:t xml:space="preserve"> </w:t>
      </w:r>
      <w:r w:rsidRPr="003015CD">
        <w:rPr>
          <w:rStyle w:val="Appelnotedebasdep"/>
          <w:rFonts w:asciiTheme="majorHAnsi" w:hAnsiTheme="majorHAnsi" w:cstheme="majorBidi"/>
          <w:color w:val="000000" w:themeColor="text1"/>
        </w:rPr>
        <w:footnoteReference w:id="41"/>
      </w:r>
      <w:r w:rsidRPr="003015CD">
        <w:rPr>
          <w:rStyle w:val="Appelnotedebasdep"/>
          <w:rFonts w:asciiTheme="majorHAnsi" w:hAnsiTheme="majorHAnsi" w:cstheme="majorBidi"/>
          <w:color w:val="000000" w:themeColor="text1"/>
          <w:vertAlign w:val="baseline"/>
        </w:rPr>
        <w:t>.</w:t>
      </w:r>
    </w:p>
    <w:p w14:paraId="5F93FEEE" w14:textId="77777777" w:rsidR="005A0492" w:rsidRPr="003015CD" w:rsidRDefault="005A0492" w:rsidP="00081885">
      <w:pPr>
        <w:spacing w:after="30"/>
        <w:jc w:val="both"/>
        <w:rPr>
          <w:rFonts w:asciiTheme="majorHAnsi" w:hAnsiTheme="majorHAnsi" w:cstheme="majorBidi"/>
          <w:color w:val="000000" w:themeColor="text1"/>
        </w:rPr>
      </w:pPr>
    </w:p>
    <w:p w14:paraId="7EEF28F6" w14:textId="41D33B3A" w:rsidR="004171CC" w:rsidRPr="003015CD" w:rsidRDefault="004171CC" w:rsidP="00081885">
      <w:pPr>
        <w:spacing w:after="30"/>
        <w:jc w:val="both"/>
        <w:rPr>
          <w:rFonts w:asciiTheme="majorHAnsi" w:hAnsiTheme="majorHAnsi" w:cstheme="majorBidi"/>
          <w:color w:val="000000" w:themeColor="text1"/>
        </w:rPr>
      </w:pPr>
      <w:r w:rsidRPr="003015CD">
        <w:rPr>
          <w:rFonts w:asciiTheme="majorHAnsi" w:hAnsiTheme="majorHAnsi" w:cstheme="majorBidi"/>
          <w:color w:val="000000" w:themeColor="text1"/>
        </w:rPr>
        <w:t>MDR requires that possible systematic misuse or off-label use of the device are identified through PMCF activities with a view to verifying that the intended purpose is correct. This information may prompt the manufacturer to evaluate whether corrective actions are needed to reduce or eliminate the occurrence of this misuse, or it may prompt the manufacturer to consider whether expansion of the intended purpose to include this currently off-label use may be appropriate. Note that PMCF data from off-label use is not sufficient to support the justification of extending the intended purpose to incorporate this new use or indication, and additional non-clinical and clinical data, such as additional pre-clinical testing and clinical investigation(s) conducted in line with MDR Article 74(2), would be needed. However, in the case of legacy orphan devices, as described in MDCG 2024-10, it might be acceptable to consider clinical data from off-label use when considering revision or expansion of a device’s intended purpose to include this use/indication.</w:t>
      </w:r>
    </w:p>
    <w:p w14:paraId="38036040" w14:textId="77777777" w:rsidR="004171CC" w:rsidRPr="003015CD" w:rsidRDefault="004171CC" w:rsidP="00081885">
      <w:pPr>
        <w:spacing w:after="30"/>
        <w:jc w:val="both"/>
        <w:rPr>
          <w:rFonts w:asciiTheme="majorHAnsi" w:hAnsiTheme="majorHAnsi" w:cstheme="majorHAnsi"/>
          <w:color w:val="000000" w:themeColor="text1"/>
        </w:rPr>
      </w:pPr>
    </w:p>
    <w:p w14:paraId="74904CE4" w14:textId="77777777" w:rsidR="004171CC" w:rsidRPr="003015CD" w:rsidRDefault="004171CC" w:rsidP="008D30B1">
      <w:pPr>
        <w:pStyle w:val="Titre2"/>
        <w:ind w:left="0" w:firstLine="0"/>
      </w:pPr>
      <w:bookmarkStart w:id="99" w:name="_Toc236912893"/>
      <w:r w:rsidRPr="003015CD">
        <w:t>Real-World Data</w:t>
      </w:r>
      <w:bookmarkEnd w:id="99"/>
      <w:r w:rsidRPr="003015CD">
        <w:t xml:space="preserve"> </w:t>
      </w:r>
    </w:p>
    <w:p w14:paraId="5EE2B845" w14:textId="1E5ADD9C"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Real-World Data (RWD) is typically observational in nature and relates to the ‘actual use’ of the device in the post-market setting (i.e., how users, healthcare professionals, and/or patients use the device in reality) during the routine use of the device in clinical practice. Real-world evidence (RWE) is evidence derived from the evaluation of RWD</w:t>
      </w:r>
      <w:r w:rsidRPr="003015CD">
        <w:rPr>
          <w:rStyle w:val="Appelnotedebasdep"/>
          <w:rFonts w:asciiTheme="majorHAnsi" w:hAnsiTheme="majorHAnsi" w:cstheme="majorBidi"/>
          <w:color w:val="000000" w:themeColor="text1"/>
        </w:rPr>
        <w:footnoteReference w:id="42"/>
      </w:r>
      <w:r w:rsidRPr="003015CD">
        <w:rPr>
          <w:rFonts w:asciiTheme="majorHAnsi" w:hAnsiTheme="majorHAnsi" w:cstheme="majorBidi"/>
          <w:color w:val="000000" w:themeColor="text1"/>
          <w:vertAlign w:val="superscript"/>
        </w:rPr>
        <w:t xml:space="preserve">, </w:t>
      </w:r>
      <w:r w:rsidRPr="003015CD">
        <w:rPr>
          <w:rStyle w:val="Appelnotedebasdep"/>
          <w:rFonts w:asciiTheme="majorHAnsi" w:hAnsiTheme="majorHAnsi" w:cstheme="majorBidi"/>
          <w:color w:val="000000" w:themeColor="text1"/>
        </w:rPr>
        <w:footnoteReference w:id="43"/>
      </w:r>
      <w:r w:rsidRPr="003015CD">
        <w:rPr>
          <w:rFonts w:asciiTheme="majorHAnsi" w:hAnsiTheme="majorHAnsi" w:cstheme="majorBidi"/>
          <w:color w:val="000000" w:themeColor="text1"/>
        </w:rPr>
        <w:t xml:space="preserve">. </w:t>
      </w:r>
    </w:p>
    <w:p w14:paraId="3AC40935" w14:textId="53533207"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RWD is distinct from data collected through clinical investigations. Clinical investigations, by their design, generally collect data through more controlled, structured, and systematic methods compared with RWD. Often the study population in a clinical investigation reflects a narrow sample of the overall population that would receive/use the device in routine clinical practice. Some examples of RWD include</w:t>
      </w:r>
      <w:r w:rsidRPr="003015CD" w:rsidDel="00151A3A">
        <w:rPr>
          <w:rStyle w:val="Appelnotedebasdep"/>
          <w:rFonts w:asciiTheme="majorHAnsi" w:hAnsiTheme="majorHAnsi" w:cstheme="majorHAnsi"/>
          <w:color w:val="000000" w:themeColor="text1"/>
        </w:rPr>
        <w:t xml:space="preserve"> </w:t>
      </w:r>
      <w:r w:rsidRPr="003015CD">
        <w:rPr>
          <w:rFonts w:asciiTheme="majorHAnsi" w:hAnsiTheme="majorHAnsi" w:cstheme="majorBidi"/>
          <w:iCs/>
          <w:color w:val="000000" w:themeColor="text1"/>
        </w:rPr>
        <w:t>(list not exhaustive):</w:t>
      </w:r>
      <w:r w:rsidRPr="003015CD">
        <w:rPr>
          <w:rFonts w:asciiTheme="majorHAnsi" w:hAnsiTheme="majorHAnsi" w:cstheme="majorBidi"/>
          <w:color w:val="000000" w:themeColor="text1"/>
        </w:rPr>
        <w:t xml:space="preserve"> </w:t>
      </w:r>
    </w:p>
    <w:p w14:paraId="1A847A98" w14:textId="1F0D7F2C" w:rsidR="004171CC" w:rsidRPr="003015CD" w:rsidRDefault="004171CC" w:rsidP="00081885">
      <w:pPr>
        <w:numPr>
          <w:ilvl w:val="0"/>
          <w:numId w:val="31"/>
        </w:numPr>
        <w:spacing w:before="0" w:after="30" w:line="276" w:lineRule="auto"/>
        <w:jc w:val="both"/>
        <w:rPr>
          <w:rFonts w:asciiTheme="majorHAnsi" w:hAnsiTheme="majorHAnsi" w:cstheme="majorHAnsi"/>
          <w:color w:val="000000" w:themeColor="text1"/>
        </w:rPr>
      </w:pPr>
      <w:r w:rsidRPr="003015CD">
        <w:rPr>
          <w:rFonts w:asciiTheme="majorHAnsi" w:hAnsiTheme="majorHAnsi" w:cstheme="majorBidi"/>
          <w:color w:val="000000" w:themeColor="text1"/>
        </w:rPr>
        <w:t>data derived from hospital information systems (HIS) such as electronic health records (EHRs)</w:t>
      </w:r>
      <w:r w:rsidRPr="003015CD">
        <w:rPr>
          <w:rStyle w:val="Appelnotedebasdep"/>
          <w:rFonts w:asciiTheme="majorHAnsi" w:hAnsiTheme="majorHAnsi" w:cstheme="majorHAnsi"/>
          <w:color w:val="000000" w:themeColor="text1"/>
        </w:rPr>
        <w:footnoteReference w:id="44"/>
      </w:r>
      <w:r w:rsidRPr="003015CD">
        <w:rPr>
          <w:rFonts w:asciiTheme="majorHAnsi" w:hAnsiTheme="majorHAnsi" w:cstheme="majorBidi"/>
          <w:color w:val="000000" w:themeColor="text1"/>
        </w:rPr>
        <w:t>,</w:t>
      </w:r>
      <w:r w:rsidRPr="003015CD" w:rsidDel="00BA482B">
        <w:rPr>
          <w:rFonts w:asciiTheme="majorHAnsi" w:hAnsiTheme="majorHAnsi" w:cstheme="majorHAnsi"/>
          <w:color w:val="000000" w:themeColor="text1"/>
        </w:rPr>
        <w:t xml:space="preserve"> </w:t>
      </w:r>
    </w:p>
    <w:p w14:paraId="675FE8F1" w14:textId="77777777" w:rsidR="004171CC" w:rsidRPr="003015CD" w:rsidRDefault="004171CC" w:rsidP="00081885">
      <w:pPr>
        <w:numPr>
          <w:ilvl w:val="0"/>
          <w:numId w:val="31"/>
        </w:numPr>
        <w:spacing w:before="0" w:after="30" w:line="276"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data from registries (e.g. from device, patient or disease registries), </w:t>
      </w:r>
    </w:p>
    <w:p w14:paraId="65784994" w14:textId="77777777" w:rsidR="004171CC" w:rsidRPr="003015CD" w:rsidRDefault="004171CC" w:rsidP="00081885">
      <w:pPr>
        <w:numPr>
          <w:ilvl w:val="0"/>
          <w:numId w:val="31"/>
        </w:numPr>
        <w:spacing w:before="0" w:after="30" w:line="276"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device generated data (e.g., implantable devices, physiological monitoring devices), </w:t>
      </w:r>
    </w:p>
    <w:p w14:paraId="52AB9F69" w14:textId="77777777" w:rsidR="004171CC" w:rsidRPr="003015CD" w:rsidRDefault="004171CC" w:rsidP="00081885">
      <w:pPr>
        <w:numPr>
          <w:ilvl w:val="0"/>
          <w:numId w:val="31"/>
        </w:numPr>
        <w:spacing w:before="0" w:after="30" w:line="276" w:lineRule="auto"/>
        <w:jc w:val="both"/>
        <w:rPr>
          <w:rFonts w:asciiTheme="majorHAnsi" w:hAnsiTheme="majorHAnsi" w:cstheme="majorHAnsi"/>
          <w:color w:val="000000" w:themeColor="text1"/>
        </w:rPr>
      </w:pPr>
      <w:r w:rsidRPr="003015CD">
        <w:rPr>
          <w:rFonts w:asciiTheme="majorHAnsi" w:hAnsiTheme="majorHAnsi" w:cstheme="majorBidi"/>
          <w:color w:val="000000" w:themeColor="text1"/>
        </w:rPr>
        <w:t>data from clinically annotated biobanks</w:t>
      </w:r>
      <w:r w:rsidRPr="003015CD">
        <w:rPr>
          <w:rStyle w:val="Appelnotedebasdep"/>
          <w:rFonts w:asciiTheme="majorHAnsi" w:hAnsiTheme="majorHAnsi" w:cstheme="majorHAnsi"/>
          <w:color w:val="000000" w:themeColor="text1"/>
        </w:rPr>
        <w:footnoteReference w:id="45"/>
      </w:r>
      <w:r w:rsidRPr="003015CD">
        <w:rPr>
          <w:rFonts w:asciiTheme="majorHAnsi" w:hAnsiTheme="majorHAnsi" w:cstheme="majorBidi"/>
          <w:color w:val="000000" w:themeColor="text1"/>
        </w:rPr>
        <w:t>, and</w:t>
      </w:r>
    </w:p>
    <w:p w14:paraId="1D0F6786" w14:textId="77777777" w:rsidR="004171CC" w:rsidRPr="003015CD" w:rsidRDefault="004171CC" w:rsidP="00081885">
      <w:pPr>
        <w:numPr>
          <w:ilvl w:val="0"/>
          <w:numId w:val="31"/>
        </w:numPr>
        <w:spacing w:before="0" w:after="30" w:line="276" w:lineRule="auto"/>
        <w:jc w:val="both"/>
        <w:rPr>
          <w:rFonts w:asciiTheme="majorHAnsi" w:hAnsiTheme="majorHAnsi" w:cstheme="majorHAnsi"/>
          <w:color w:val="000000" w:themeColor="text1"/>
        </w:rPr>
      </w:pPr>
      <w:r w:rsidRPr="003015CD">
        <w:rPr>
          <w:rFonts w:asciiTheme="majorHAnsi" w:hAnsiTheme="majorHAnsi" w:cstheme="majorBidi"/>
          <w:color w:val="000000" w:themeColor="text1"/>
        </w:rPr>
        <w:t>data gathered from other sources that can inform on health status, such as data from digital health technologies.</w:t>
      </w:r>
    </w:p>
    <w:p w14:paraId="1BADB23C" w14:textId="77777777" w:rsidR="00991C81" w:rsidRPr="003015CD" w:rsidRDefault="00991C81" w:rsidP="00260B40">
      <w:pPr>
        <w:spacing w:before="0" w:after="30" w:line="276" w:lineRule="auto"/>
        <w:ind w:left="720"/>
        <w:jc w:val="both"/>
        <w:rPr>
          <w:rFonts w:asciiTheme="majorHAnsi" w:hAnsiTheme="majorHAnsi" w:cstheme="majorHAnsi"/>
          <w:color w:val="000000" w:themeColor="text1"/>
        </w:rPr>
      </w:pPr>
    </w:p>
    <w:p w14:paraId="73033420"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00" w:name="_Toc446499036"/>
      <w:bookmarkStart w:id="101" w:name="_Ref168408918"/>
      <w:bookmarkStart w:id="102" w:name="_Toc236912894"/>
      <w:bookmarkEnd w:id="96"/>
      <w:bookmarkEnd w:id="97"/>
      <w:bookmarkEnd w:id="98"/>
      <w:r w:rsidRPr="003015CD">
        <w:rPr>
          <w:rFonts w:asciiTheme="majorHAnsi" w:hAnsiTheme="majorHAnsi" w:cstheme="majorHAnsi"/>
          <w:color w:val="000000" w:themeColor="text1"/>
        </w:rPr>
        <w:t>Clinical data generated and held by the manufacturer</w:t>
      </w:r>
      <w:bookmarkEnd w:id="100"/>
      <w:bookmarkEnd w:id="101"/>
      <w:bookmarkEnd w:id="102"/>
    </w:p>
    <w:p w14:paraId="5CF3B585" w14:textId="77777777" w:rsidR="004171CC" w:rsidRPr="003015CD" w:rsidRDefault="004171CC" w:rsidP="00081885">
      <w:pPr>
        <w:jc w:val="both"/>
        <w:rPr>
          <w:rFonts w:asciiTheme="majorHAnsi" w:hAnsiTheme="majorHAnsi" w:cstheme="majorHAnsi"/>
          <w:color w:val="000000" w:themeColor="text1"/>
        </w:rPr>
      </w:pPr>
      <w:bookmarkStart w:id="103" w:name="_Hlk141803358"/>
      <w:bookmarkStart w:id="104" w:name="_Hlk141803172"/>
      <w:r w:rsidRPr="003015CD">
        <w:rPr>
          <w:rFonts w:asciiTheme="majorHAnsi" w:hAnsiTheme="majorHAnsi" w:cstheme="majorHAnsi"/>
          <w:color w:val="000000" w:themeColor="text1"/>
        </w:rPr>
        <w:t xml:space="preserve">Available clinical data generated and held by the manufacturer needs to be </w:t>
      </w:r>
      <w:bookmarkEnd w:id="103"/>
      <w:r w:rsidRPr="003015CD">
        <w:rPr>
          <w:rFonts w:asciiTheme="majorHAnsi" w:hAnsiTheme="majorHAnsi" w:cstheme="majorHAnsi"/>
          <w:color w:val="000000" w:themeColor="text1"/>
        </w:rPr>
        <w:t xml:space="preserve">identified and: </w:t>
      </w:r>
    </w:p>
    <w:p w14:paraId="0C879FF0" w14:textId="77777777"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made available to the evaluators (including external experts when applicable),</w:t>
      </w:r>
    </w:p>
    <w:p w14:paraId="4A0F6DE3" w14:textId="77777777"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all identified data sets should be documented, meaning adequately summarised to the extent that it can be critically reviewed by others, appraised, analysed, and referenced in the clinical evaluation report; </w:t>
      </w:r>
    </w:p>
    <w:p w14:paraId="4CF7840B" w14:textId="1A9AC01E"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information regarding to which version of the product/ model/ size/ settings that data pertain should be included.</w:t>
      </w:r>
    </w:p>
    <w:p w14:paraId="6C16AD1C" w14:textId="77777777" w:rsidR="00E664A4" w:rsidRPr="003015CD" w:rsidRDefault="00E664A4" w:rsidP="00260B40">
      <w:pPr>
        <w:pStyle w:val="Paragraphedeliste"/>
        <w:autoSpaceDE w:val="0"/>
        <w:autoSpaceDN w:val="0"/>
        <w:adjustRightInd w:val="0"/>
        <w:spacing w:before="80" w:after="80"/>
        <w:ind w:left="709"/>
        <w:jc w:val="both"/>
        <w:rPr>
          <w:rFonts w:asciiTheme="majorHAnsi" w:hAnsiTheme="majorHAnsi" w:cstheme="majorHAnsi"/>
          <w:color w:val="000000" w:themeColor="text1"/>
        </w:rPr>
      </w:pPr>
    </w:p>
    <w:p w14:paraId="4E916706"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05" w:name="_Ref168408935"/>
      <w:bookmarkStart w:id="106" w:name="_Toc236912895"/>
      <w:bookmarkStart w:id="107" w:name="_Toc446499037"/>
      <w:bookmarkEnd w:id="104"/>
      <w:r w:rsidRPr="003015CD">
        <w:rPr>
          <w:rFonts w:asciiTheme="majorHAnsi" w:hAnsiTheme="majorHAnsi" w:cstheme="majorHAnsi"/>
          <w:color w:val="000000" w:themeColor="text1"/>
        </w:rPr>
        <w:t>Clinical data not held by the manufacturer</w:t>
      </w:r>
      <w:bookmarkEnd w:id="105"/>
      <w:bookmarkEnd w:id="106"/>
      <w:r w:rsidRPr="003015CD">
        <w:rPr>
          <w:rFonts w:asciiTheme="majorHAnsi" w:hAnsiTheme="majorHAnsi" w:cstheme="majorHAnsi"/>
          <w:color w:val="000000" w:themeColor="text1"/>
        </w:rPr>
        <w:t xml:space="preserve"> </w:t>
      </w:r>
      <w:bookmarkEnd w:id="107"/>
    </w:p>
    <w:p w14:paraId="3B2A2088" w14:textId="326E8688"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manufacturer needs to identify publicly available clinical data in the literature that are needed for the clinical evaluation through planned and documented searches. Comprehensive searches are recommended, in particular for high-risk devices. </w:t>
      </w:r>
      <w:r w:rsidRPr="003015CD">
        <w:t>A comprehensive search can be understood as a search that is not restricted to English language; where at least two electronic databases had been searched (such as MEDLINE or EMBASE); and at least one of the following search methods has been used to identify non-peer reviewed publications: searches for (</w:t>
      </w:r>
      <w:proofErr w:type="spellStart"/>
      <w:r w:rsidRPr="003015CD">
        <w:t>i</w:t>
      </w:r>
      <w:proofErr w:type="spellEnd"/>
      <w:r w:rsidRPr="003015CD">
        <w:t xml:space="preserve">) conference abstracts, (ii) theses, (iii) registers; and (iv) contacts with experts in the field. The purpose of thorough and comprehensive literature searches is to avoid missing key studies and to minimize bias since a systematic review based only on published (or easily accessible) studies may have an exaggerated effect size.  </w:t>
      </w:r>
      <w:r w:rsidRPr="003015CD">
        <w:rPr>
          <w:rFonts w:asciiTheme="majorHAnsi" w:hAnsiTheme="majorHAnsi" w:cstheme="majorBidi"/>
          <w:color w:val="000000" w:themeColor="text1"/>
        </w:rPr>
        <w:t xml:space="preserve">Examples of sources of data can be found in Appendix </w:t>
      </w:r>
      <w:r w:rsidR="006933D6" w:rsidRPr="003015CD">
        <w:rPr>
          <w:rFonts w:asciiTheme="majorHAnsi" w:hAnsiTheme="majorHAnsi" w:cstheme="majorBidi"/>
          <w:color w:val="000000" w:themeColor="text1"/>
        </w:rPr>
        <w:fldChar w:fldCharType="begin"/>
      </w:r>
      <w:r w:rsidR="006933D6" w:rsidRPr="003015CD">
        <w:rPr>
          <w:rFonts w:asciiTheme="majorHAnsi" w:hAnsiTheme="majorHAnsi" w:cstheme="majorBidi"/>
          <w:color w:val="000000" w:themeColor="text1"/>
        </w:rPr>
        <w:instrText xml:space="preserve"> REF _Ref233288458 \r \h </w:instrText>
      </w:r>
      <w:r w:rsidR="006933D6" w:rsidRPr="003015CD">
        <w:rPr>
          <w:rFonts w:asciiTheme="majorHAnsi" w:hAnsiTheme="majorHAnsi" w:cstheme="majorBidi"/>
          <w:color w:val="000000" w:themeColor="text1"/>
        </w:rPr>
      </w:r>
      <w:r w:rsidR="006933D6" w:rsidRPr="003015CD">
        <w:rPr>
          <w:rFonts w:asciiTheme="majorHAnsi" w:hAnsiTheme="majorHAnsi" w:cstheme="majorBidi"/>
          <w:color w:val="000000" w:themeColor="text1"/>
        </w:rPr>
        <w:fldChar w:fldCharType="separate"/>
      </w:r>
      <w:r w:rsidR="006933D6" w:rsidRPr="003015CD">
        <w:rPr>
          <w:rFonts w:asciiTheme="majorHAnsi" w:hAnsiTheme="majorHAnsi" w:cstheme="majorBidi"/>
          <w:color w:val="000000" w:themeColor="text1"/>
        </w:rPr>
        <w:t>A5</w:t>
      </w:r>
      <w:r w:rsidR="006933D6"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w:t>
      </w:r>
    </w:p>
    <w:p w14:paraId="5A2EC298" w14:textId="6ACCA932" w:rsidR="004171CC" w:rsidRPr="003015CD" w:rsidRDefault="004171CC" w:rsidP="00081885">
      <w:r w:rsidRPr="003015CD">
        <w:t xml:space="preserve">The following aspects should be considered for identification of data not held by the manufacturer (for more details, see Appendix </w:t>
      </w:r>
      <w:r w:rsidR="006933D6" w:rsidRPr="003015CD">
        <w:fldChar w:fldCharType="begin"/>
      </w:r>
      <w:r w:rsidR="006933D6" w:rsidRPr="003015CD">
        <w:instrText xml:space="preserve"> REF _Ref233808297 \r \h </w:instrText>
      </w:r>
      <w:r w:rsidR="006933D6" w:rsidRPr="003015CD">
        <w:fldChar w:fldCharType="separate"/>
      </w:r>
      <w:r w:rsidR="006933D6" w:rsidRPr="003015CD">
        <w:t>A6</w:t>
      </w:r>
      <w:r w:rsidR="006933D6" w:rsidRPr="003015CD">
        <w:fldChar w:fldCharType="end"/>
      </w:r>
      <w:r w:rsidRPr="003015CD">
        <w:t xml:space="preserve">): </w:t>
      </w:r>
    </w:p>
    <w:p w14:paraId="4EEC1C1B" w14:textId="77777777" w:rsidR="004171CC" w:rsidRPr="003015CD" w:rsidRDefault="004171CC" w:rsidP="00081885">
      <w:pPr>
        <w:pStyle w:val="Paragraphedeliste"/>
        <w:numPr>
          <w:ilvl w:val="0"/>
          <w:numId w:val="102"/>
        </w:numPr>
      </w:pPr>
      <w:r w:rsidRPr="003015CD">
        <w:t xml:space="preserve">Searches should be: </w:t>
      </w:r>
    </w:p>
    <w:p w14:paraId="52FF1E4F" w14:textId="77777777" w:rsidR="004171CC" w:rsidRPr="003015CD" w:rsidRDefault="004171CC" w:rsidP="00081885">
      <w:pPr>
        <w:pStyle w:val="Paragraphedeliste"/>
        <w:numPr>
          <w:ilvl w:val="1"/>
          <w:numId w:val="102"/>
        </w:numPr>
      </w:pPr>
      <w:r w:rsidRPr="003015CD">
        <w:t>carried out based on a search protocol(s) that documents the planning of the search before execution), and</w:t>
      </w:r>
    </w:p>
    <w:p w14:paraId="203AA91F" w14:textId="129F954C" w:rsidR="004171CC" w:rsidRPr="003015CD" w:rsidRDefault="004171CC" w:rsidP="00081885">
      <w:pPr>
        <w:pStyle w:val="Paragraphedeliste"/>
        <w:numPr>
          <w:ilvl w:val="1"/>
          <w:numId w:val="102"/>
        </w:numPr>
      </w:pPr>
      <w:r w:rsidRPr="003015CD">
        <w:t xml:space="preserve">documented to such degree that methods can be assessed critically, the results verified, and the search reproduced if necessary. </w:t>
      </w:r>
    </w:p>
    <w:p w14:paraId="0576DDBC" w14:textId="77777777" w:rsidR="004171CC" w:rsidRPr="003015CD" w:rsidRDefault="004171CC" w:rsidP="00081885">
      <w:pPr>
        <w:pStyle w:val="Paragraphedeliste"/>
        <w:numPr>
          <w:ilvl w:val="0"/>
          <w:numId w:val="102"/>
        </w:numPr>
      </w:pPr>
      <w:r w:rsidRPr="003015CD">
        <w:t xml:space="preserve">The search protocol should: </w:t>
      </w:r>
    </w:p>
    <w:p w14:paraId="3C25361C" w14:textId="77777777" w:rsidR="004171CC" w:rsidRPr="003015CD" w:rsidRDefault="004171CC" w:rsidP="00081885">
      <w:pPr>
        <w:pStyle w:val="Paragraphedeliste"/>
        <w:numPr>
          <w:ilvl w:val="1"/>
          <w:numId w:val="102"/>
        </w:numPr>
      </w:pPr>
      <w:r w:rsidRPr="003015CD">
        <w:t>clearly state the purpose of the search (e.g., device under evaluation, equivalent device, similar device); and</w:t>
      </w:r>
    </w:p>
    <w:p w14:paraId="7A99AE94" w14:textId="77777777" w:rsidR="004171CC" w:rsidRPr="003015CD" w:rsidRDefault="004171CC" w:rsidP="00081885">
      <w:pPr>
        <w:pStyle w:val="Paragraphedeliste"/>
        <w:numPr>
          <w:ilvl w:val="1"/>
          <w:numId w:val="102"/>
        </w:numPr>
      </w:pPr>
      <w:r w:rsidRPr="003015CD">
        <w:t xml:space="preserve">contain clear inclusion and exclusion criteria. </w:t>
      </w:r>
    </w:p>
    <w:p w14:paraId="74CB5EDF" w14:textId="77777777" w:rsidR="004171CC" w:rsidRPr="003015CD" w:rsidRDefault="004171CC" w:rsidP="00081885">
      <w:pPr>
        <w:pStyle w:val="Paragraphedeliste"/>
        <w:numPr>
          <w:ilvl w:val="0"/>
          <w:numId w:val="102"/>
        </w:numPr>
      </w:pPr>
      <w:r w:rsidRPr="003015CD">
        <w:t>The search report should:</w:t>
      </w:r>
    </w:p>
    <w:p w14:paraId="39037BA3" w14:textId="77777777" w:rsidR="004171CC" w:rsidRPr="003015CD" w:rsidRDefault="004171CC" w:rsidP="00081885">
      <w:pPr>
        <w:pStyle w:val="Paragraphedeliste"/>
        <w:numPr>
          <w:ilvl w:val="1"/>
          <w:numId w:val="102"/>
        </w:numPr>
      </w:pPr>
      <w:r w:rsidRPr="003015CD">
        <w:t>appropriately reflect results from search(es); and</w:t>
      </w:r>
    </w:p>
    <w:p w14:paraId="55AAE1F9" w14:textId="77777777" w:rsidR="004171CC" w:rsidRPr="003015CD" w:rsidRDefault="004171CC" w:rsidP="00081885">
      <w:pPr>
        <w:pStyle w:val="Paragraphedeliste"/>
        <w:numPr>
          <w:ilvl w:val="1"/>
          <w:numId w:val="102"/>
        </w:numPr>
      </w:pPr>
      <w:r w:rsidRPr="003015CD">
        <w:t>include information on any deviations from the search protocol.</w:t>
      </w:r>
    </w:p>
    <w:p w14:paraId="17ABEB6B" w14:textId="0F2F51CA" w:rsidR="004171CC" w:rsidRPr="003015CD" w:rsidRDefault="004171CC" w:rsidP="00081885">
      <w:pPr>
        <w:pStyle w:val="Paragraphedeliste"/>
        <w:numPr>
          <w:ilvl w:val="0"/>
          <w:numId w:val="102"/>
        </w:numPr>
      </w:pPr>
      <w:r w:rsidRPr="003015CD">
        <w:t xml:space="preserve">The search strategy should: </w:t>
      </w:r>
    </w:p>
    <w:p w14:paraId="3973392B" w14:textId="77777777" w:rsidR="004171CC" w:rsidRPr="003015CD" w:rsidRDefault="004171CC" w:rsidP="00081885">
      <w:pPr>
        <w:pStyle w:val="Paragraphedeliste"/>
        <w:numPr>
          <w:ilvl w:val="1"/>
          <w:numId w:val="102"/>
        </w:numPr>
      </w:pPr>
      <w:r w:rsidRPr="003015CD">
        <w:t>be thorough and objective, i.e. should identify available relevant favourable and unfavourable data; and</w:t>
      </w:r>
    </w:p>
    <w:p w14:paraId="14650389" w14:textId="2561694F" w:rsidR="004171CC" w:rsidRPr="003015CD" w:rsidRDefault="004171CC" w:rsidP="00081885">
      <w:pPr>
        <w:pStyle w:val="Paragraphedeliste"/>
        <w:numPr>
          <w:ilvl w:val="1"/>
          <w:numId w:val="102"/>
        </w:numPr>
      </w:pPr>
      <w:r w:rsidRPr="003015CD">
        <w:t>address all device sizes, variants, models and accessories and the same intended purpose.</w:t>
      </w:r>
    </w:p>
    <w:p w14:paraId="02455B3E" w14:textId="1D006B87" w:rsidR="004171CC" w:rsidRPr="003015CD" w:rsidRDefault="004171CC" w:rsidP="00081885">
      <w:r w:rsidRPr="003015CD">
        <w:t>Where a publication has been identified as relevant for inclusion, appropriate efforts should be made to access full-text publication. Where a full-text copy is not retrieved, justification should be provided, with due consideration to the overall</w:t>
      </w:r>
      <w:r w:rsidR="00AD67D4" w:rsidRPr="003015CD">
        <w:t xml:space="preserve"> identified</w:t>
      </w:r>
      <w:r w:rsidRPr="003015CD">
        <w:t xml:space="preserve"> clinical data available.</w:t>
      </w:r>
      <w:r w:rsidR="0088629B" w:rsidRPr="003015CD">
        <w:t xml:space="preserve"> </w:t>
      </w:r>
    </w:p>
    <w:p w14:paraId="39C9FD0A" w14:textId="4F3AAE48" w:rsidR="004171CC" w:rsidRPr="003015CD" w:rsidRDefault="004171CC" w:rsidP="00081885">
      <w:r w:rsidRPr="003015CD">
        <w:t xml:space="preserve">The literature search protocol, the literature search report, full list of retrieved and excluded articles (with reasons for exclusion) and full text copies of relevant available documents become part of the clinical evaluation documentation and, in turn, the technical documentation for the medical device, see section 12.1 for further guidance on the structure on the clinical evaluation documentation. </w:t>
      </w:r>
    </w:p>
    <w:p w14:paraId="2B879F31" w14:textId="77777777" w:rsidR="00E664A4" w:rsidRPr="003015CD" w:rsidRDefault="00E664A4" w:rsidP="00081885"/>
    <w:p w14:paraId="14FD4639" w14:textId="77777777" w:rsidR="004171CC" w:rsidRPr="003015CD" w:rsidRDefault="004171CC" w:rsidP="00081885">
      <w:pPr>
        <w:pStyle w:val="Titre2"/>
        <w:ind w:left="0" w:firstLine="0"/>
        <w:jc w:val="both"/>
      </w:pPr>
      <w:bookmarkStart w:id="108" w:name="_Toc236912896"/>
      <w:r w:rsidRPr="003015CD">
        <w:t>Data outside the definition of Article 2(48)</w:t>
      </w:r>
      <w:bookmarkEnd w:id="108"/>
    </w:p>
    <w:p w14:paraId="537BBE2A" w14:textId="52A2AE50" w:rsidR="004171CC" w:rsidRPr="003015CD" w:rsidRDefault="004171CC" w:rsidP="00081885">
      <w:pPr>
        <w:jc w:val="both"/>
        <w:rPr>
          <w:rFonts w:asciiTheme="majorHAnsi" w:hAnsiTheme="majorHAnsi" w:cstheme="majorBidi"/>
          <w:color w:val="000000" w:themeColor="text1"/>
        </w:rPr>
      </w:pPr>
      <w:r w:rsidRPr="003015CD">
        <w:rPr>
          <w:rStyle w:val="ui-provider"/>
          <w:rFonts w:asciiTheme="majorHAnsi" w:hAnsiTheme="majorHAnsi" w:cstheme="majorBidi"/>
          <w:color w:val="000000" w:themeColor="text1"/>
        </w:rPr>
        <w:t xml:space="preserve">Data falling outside the definition of clinical data in Article 2(48) are not considered as clinical data for clinical evaluation purposes. Such data are often generated and analysed as part of the preclinical evaluation. </w:t>
      </w:r>
      <w:r w:rsidRPr="003015CD">
        <w:rPr>
          <w:rFonts w:asciiTheme="majorHAnsi" w:hAnsiTheme="majorHAnsi" w:cstheme="majorBidi"/>
          <w:color w:val="000000" w:themeColor="text1"/>
        </w:rPr>
        <w:t>Such data can be valuable for product development, including risk management activities or as support to clinical evaluation findings. It is not, however, sufficient to use only such data for conformity assessment with those GSPR</w:t>
      </w:r>
      <w:r w:rsidR="00D91E63" w:rsidRPr="003015CD">
        <w:rPr>
          <w:rFonts w:asciiTheme="majorHAnsi" w:hAnsiTheme="majorHAnsi" w:cstheme="majorBidi"/>
          <w:color w:val="000000" w:themeColor="text1"/>
        </w:rPr>
        <w:t xml:space="preserve">s </w:t>
      </w:r>
      <w:r w:rsidRPr="003015CD">
        <w:rPr>
          <w:rFonts w:asciiTheme="majorHAnsi" w:hAnsiTheme="majorHAnsi" w:cstheme="majorBidi"/>
          <w:color w:val="000000" w:themeColor="text1"/>
        </w:rPr>
        <w:t>that the manufacturer has identified as requiring clinical data</w:t>
      </w:r>
      <w:r w:rsidRPr="003015CD">
        <w:rPr>
          <w:rStyle w:val="Appelnotedebasdep"/>
          <w:rFonts w:asciiTheme="majorHAnsi" w:hAnsiTheme="majorHAnsi" w:cstheme="majorBidi"/>
          <w:color w:val="000000" w:themeColor="text1"/>
        </w:rPr>
        <w:footnoteReference w:id="46"/>
      </w:r>
      <w:r w:rsidRPr="003015CD">
        <w:rPr>
          <w:rFonts w:asciiTheme="majorHAnsi" w:hAnsiTheme="majorHAnsi" w:cstheme="majorBidi"/>
          <w:color w:val="000000" w:themeColor="text1"/>
        </w:rPr>
        <w:t>.</w:t>
      </w:r>
    </w:p>
    <w:p w14:paraId="1DD7C0F9" w14:textId="77777777" w:rsidR="000175E5" w:rsidRPr="003015CD" w:rsidRDefault="000175E5" w:rsidP="00081885">
      <w:pPr>
        <w:jc w:val="both"/>
        <w:rPr>
          <w:rFonts w:asciiTheme="majorHAnsi" w:hAnsiTheme="majorHAnsi" w:cstheme="majorBidi"/>
          <w:color w:val="000000" w:themeColor="text1"/>
        </w:rPr>
      </w:pPr>
    </w:p>
    <w:p w14:paraId="4D3B39B5" w14:textId="77777777" w:rsidR="004171CC" w:rsidRPr="003015CD" w:rsidRDefault="004171CC" w:rsidP="00081885">
      <w:r w:rsidRPr="003015CD">
        <w:t>Examples of data outside the definition of Article 2(48) include (list not exhaustive):</w:t>
      </w:r>
    </w:p>
    <w:p w14:paraId="7421B688" w14:textId="4B8BC956"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data generated from non-clinical testing methods, </w:t>
      </w:r>
      <w:r w:rsidR="00AB4E66" w:rsidRPr="003015CD">
        <w:rPr>
          <w:rFonts w:asciiTheme="majorHAnsi" w:hAnsiTheme="majorHAnsi" w:cstheme="majorHAnsi"/>
          <w:color w:val="000000" w:themeColor="text1"/>
        </w:rPr>
        <w:t>for example</w:t>
      </w:r>
      <w:r w:rsidRPr="003015CD">
        <w:rPr>
          <w:rFonts w:asciiTheme="majorHAnsi" w:hAnsiTheme="majorHAnsi" w:cstheme="majorHAnsi"/>
          <w:color w:val="000000" w:themeColor="text1"/>
        </w:rPr>
        <w:t>,</w:t>
      </w:r>
      <w:r w:rsidRPr="003015CD" w:rsidDel="00FD5402">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ex vivo studies and cadaveric studies, computer modelling and simulated use testing, including software-based models, 3D printed models, and other physical models (list not exhaustive);</w:t>
      </w:r>
    </w:p>
    <w:p w14:paraId="4C64812E" w14:textId="77777777"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HAnsi"/>
          <w:color w:val="000000" w:themeColor="text1"/>
        </w:rPr>
      </w:pPr>
      <w:r w:rsidRPr="003015CD">
        <w:rPr>
          <w:rFonts w:asciiTheme="majorHAnsi" w:hAnsiTheme="majorHAnsi" w:cstheme="majorBidi"/>
          <w:color w:val="000000" w:themeColor="text1"/>
        </w:rPr>
        <w:t xml:space="preserve">data from similar (non-equivalent) devices for a non-CE-marked device; </w:t>
      </w:r>
    </w:p>
    <w:p w14:paraId="46BCB2A1" w14:textId="25B0DB3A"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Bidi"/>
          <w:color w:val="000000" w:themeColor="text1"/>
          <w:szCs w:val="22"/>
        </w:rPr>
      </w:pPr>
      <w:r w:rsidRPr="003015CD">
        <w:rPr>
          <w:rFonts w:asciiTheme="majorHAnsi" w:hAnsiTheme="majorHAnsi" w:cstheme="majorBidi"/>
          <w:color w:val="000000" w:themeColor="text1"/>
        </w:rPr>
        <w:t xml:space="preserve">data / patient information collected to train MDSW (see Appendix </w:t>
      </w:r>
      <w:r w:rsidR="006D2338" w:rsidRPr="003015CD">
        <w:rPr>
          <w:rFonts w:asciiTheme="majorHAnsi" w:hAnsiTheme="majorHAnsi" w:cstheme="majorBidi"/>
          <w:color w:val="000000" w:themeColor="text1"/>
        </w:rPr>
        <w:fldChar w:fldCharType="begin"/>
      </w:r>
      <w:r w:rsidR="006D2338" w:rsidRPr="003015CD">
        <w:rPr>
          <w:rFonts w:asciiTheme="majorHAnsi" w:hAnsiTheme="majorHAnsi" w:cstheme="majorBidi"/>
          <w:color w:val="000000" w:themeColor="text1"/>
        </w:rPr>
        <w:instrText xml:space="preserve"> REF _Ref233282631 \r \h </w:instrText>
      </w:r>
      <w:r w:rsidR="000175E5" w:rsidRPr="003015CD">
        <w:rPr>
          <w:rFonts w:asciiTheme="majorHAnsi" w:hAnsiTheme="majorHAnsi" w:cstheme="majorBidi"/>
          <w:color w:val="000000" w:themeColor="text1"/>
        </w:rPr>
        <w:instrText xml:space="preserve"> \* MERGEFORMAT </w:instrText>
      </w:r>
      <w:r w:rsidR="006D2338" w:rsidRPr="003015CD">
        <w:rPr>
          <w:rFonts w:asciiTheme="majorHAnsi" w:hAnsiTheme="majorHAnsi" w:cstheme="majorBidi"/>
          <w:color w:val="000000" w:themeColor="text1"/>
        </w:rPr>
      </w:r>
      <w:r w:rsidR="006D2338" w:rsidRPr="003015CD">
        <w:rPr>
          <w:rFonts w:asciiTheme="majorHAnsi" w:hAnsiTheme="majorHAnsi" w:cstheme="majorBidi"/>
          <w:color w:val="000000" w:themeColor="text1"/>
        </w:rPr>
        <w:fldChar w:fldCharType="separate"/>
      </w:r>
      <w:r w:rsidR="006D2338" w:rsidRPr="003015CD">
        <w:rPr>
          <w:rFonts w:asciiTheme="majorHAnsi" w:hAnsiTheme="majorHAnsi" w:cstheme="majorBidi"/>
          <w:color w:val="000000" w:themeColor="text1"/>
        </w:rPr>
        <w:t>A4</w:t>
      </w:r>
      <w:r w:rsidR="006D2338"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e.g., CT-scan images collected to train diagnostic MDSW; and</w:t>
      </w:r>
    </w:p>
    <w:p w14:paraId="501D9A10" w14:textId="77777777" w:rsidR="004171CC" w:rsidRPr="003015CD" w:rsidRDefault="004171CC" w:rsidP="00081885">
      <w:pPr>
        <w:pStyle w:val="Paragraphedeliste"/>
        <w:numPr>
          <w:ilvl w:val="0"/>
          <w:numId w:val="35"/>
        </w:numPr>
        <w:autoSpaceDE w:val="0"/>
        <w:autoSpaceDN w:val="0"/>
        <w:adjustRightInd w:val="0"/>
        <w:spacing w:before="80" w:after="80"/>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other studies and reports of other clinical experience for a non-CE-marked device that have not been published in scientific literature.</w:t>
      </w:r>
    </w:p>
    <w:p w14:paraId="73B36A49" w14:textId="1F87F4EE" w:rsidR="00E664A4" w:rsidRPr="003015CD" w:rsidRDefault="00E664A4">
      <w:pPr>
        <w:spacing w:before="0" w:after="0"/>
        <w:rPr>
          <w:rFonts w:asciiTheme="majorHAnsi" w:hAnsiTheme="majorHAnsi" w:cstheme="majorHAnsi"/>
          <w:b/>
          <w:bCs/>
          <w:i/>
          <w:iCs/>
          <w:color w:val="000000" w:themeColor="text1"/>
          <w:sz w:val="32"/>
          <w:szCs w:val="28"/>
        </w:rPr>
      </w:pPr>
      <w:r w:rsidRPr="003015CD">
        <w:rPr>
          <w:rFonts w:asciiTheme="majorHAnsi" w:hAnsiTheme="majorHAnsi" w:cstheme="majorHAnsi"/>
          <w:i/>
          <w:iCs/>
          <w:color w:val="000000" w:themeColor="text1"/>
        </w:rPr>
        <w:br w:type="page"/>
      </w:r>
    </w:p>
    <w:p w14:paraId="1D1A1956" w14:textId="77777777" w:rsidR="004171CC" w:rsidRPr="003015CD" w:rsidRDefault="004171CC" w:rsidP="0052434F">
      <w:pPr>
        <w:pStyle w:val="Titre1"/>
        <w:ind w:left="426"/>
        <w:jc w:val="both"/>
        <w:rPr>
          <w:rFonts w:asciiTheme="majorHAnsi" w:hAnsiTheme="majorHAnsi" w:cstheme="majorHAnsi"/>
          <w:color w:val="000000" w:themeColor="text1"/>
        </w:rPr>
      </w:pPr>
      <w:bookmarkStart w:id="109" w:name="_Toc446499038"/>
      <w:bookmarkStart w:id="110" w:name="_Toc236912897"/>
      <w:bookmarkStart w:id="111" w:name="_Ref164155836"/>
      <w:bookmarkStart w:id="112" w:name="_Ref164263146"/>
      <w:bookmarkStart w:id="113" w:name="_Ref165303100"/>
      <w:r w:rsidRPr="003015CD">
        <w:rPr>
          <w:rFonts w:asciiTheme="majorHAnsi" w:hAnsiTheme="majorHAnsi" w:cstheme="majorHAnsi"/>
          <w:color w:val="000000" w:themeColor="text1"/>
        </w:rPr>
        <w:t>Appraisal of relevant clinical data (Stage 2)</w:t>
      </w:r>
      <w:bookmarkEnd w:id="109"/>
      <w:bookmarkEnd w:id="110"/>
      <w:r w:rsidRPr="003015CD">
        <w:rPr>
          <w:rFonts w:asciiTheme="majorHAnsi" w:hAnsiTheme="majorHAnsi" w:cstheme="majorHAnsi"/>
          <w:color w:val="000000" w:themeColor="text1"/>
        </w:rPr>
        <w:t xml:space="preserve"> </w:t>
      </w:r>
      <w:bookmarkEnd w:id="111"/>
      <w:bookmarkEnd w:id="112"/>
      <w:bookmarkEnd w:id="113"/>
    </w:p>
    <w:p w14:paraId="0D4AC7F8"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14" w:name="_Toc446499039"/>
      <w:bookmarkStart w:id="115" w:name="_Ref233794092"/>
      <w:bookmarkStart w:id="116" w:name="_Toc236912898"/>
      <w:r w:rsidRPr="003015CD">
        <w:rPr>
          <w:rFonts w:asciiTheme="majorHAnsi" w:hAnsiTheme="majorHAnsi" w:cstheme="majorHAnsi"/>
          <w:color w:val="000000" w:themeColor="text1"/>
        </w:rPr>
        <w:t>General considerations</w:t>
      </w:r>
      <w:bookmarkEnd w:id="114"/>
      <w:bookmarkEnd w:id="115"/>
      <w:bookmarkEnd w:id="116"/>
    </w:p>
    <w:p w14:paraId="08E632C3" w14:textId="7CABF541" w:rsidR="004171CC" w:rsidRPr="003015CD" w:rsidRDefault="004171CC" w:rsidP="00081885">
      <w:pPr>
        <w:pStyle w:val="Notedebasdepage"/>
        <w:ind w:left="0" w:firstLine="0"/>
        <w:jc w:val="both"/>
        <w:rPr>
          <w:rFonts w:asciiTheme="majorHAnsi" w:hAnsiTheme="majorHAnsi" w:cstheme="majorHAnsi"/>
          <w:color w:val="000000" w:themeColor="text1"/>
          <w:sz w:val="22"/>
          <w:szCs w:val="22"/>
        </w:rPr>
      </w:pPr>
      <w:r w:rsidRPr="003015CD">
        <w:rPr>
          <w:rFonts w:asciiTheme="majorHAnsi" w:hAnsiTheme="majorHAnsi" w:cstheme="majorHAnsi"/>
          <w:color w:val="000000" w:themeColor="text1"/>
          <w:sz w:val="22"/>
          <w:szCs w:val="22"/>
        </w:rPr>
        <w:t xml:space="preserve">Appraisal involves the assessment of the clinical data identified in Stage 1 to determine the suitability of the data to demonstrate the safety and performance of the device. </w:t>
      </w:r>
    </w:p>
    <w:p w14:paraId="06DB19D6" w14:textId="0486C648"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Appraisal enables the manufacturer to understand the strengths and limitations of each data set.</w:t>
      </w:r>
    </w:p>
    <w:p w14:paraId="7D6468AF" w14:textId="77777777" w:rsidR="00E664A4" w:rsidRPr="003015CD" w:rsidRDefault="00E664A4" w:rsidP="00081885">
      <w:pPr>
        <w:jc w:val="both"/>
        <w:rPr>
          <w:rFonts w:asciiTheme="majorHAnsi" w:hAnsiTheme="majorHAnsi" w:cstheme="majorHAnsi"/>
          <w:color w:val="000000" w:themeColor="text1"/>
        </w:rPr>
      </w:pPr>
    </w:p>
    <w:p w14:paraId="1E7AEB61" w14:textId="77777777" w:rsidR="004171CC" w:rsidRPr="003015CD" w:rsidRDefault="004171CC" w:rsidP="00081885">
      <w:pPr>
        <w:pStyle w:val="Titre2"/>
        <w:ind w:left="0" w:firstLine="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bookmarkStart w:id="117" w:name="_Toc446499040"/>
      <w:bookmarkStart w:id="118" w:name="_Ref170995518"/>
      <w:bookmarkStart w:id="119" w:name="_Ref233794028"/>
      <w:bookmarkStart w:id="120" w:name="_Ref233794076"/>
      <w:bookmarkStart w:id="121" w:name="_Toc236912899"/>
      <w:r w:rsidRPr="003015CD">
        <w:rPr>
          <w:rFonts w:asciiTheme="majorHAnsi" w:hAnsiTheme="majorHAnsi" w:cstheme="majorHAnsi"/>
          <w:color w:val="000000" w:themeColor="text1"/>
        </w:rPr>
        <w:t>Appraisal plan</w:t>
      </w:r>
      <w:bookmarkEnd w:id="117"/>
      <w:bookmarkEnd w:id="118"/>
      <w:bookmarkEnd w:id="119"/>
      <w:bookmarkEnd w:id="120"/>
      <w:bookmarkEnd w:id="121"/>
    </w:p>
    <w:p w14:paraId="6CA4AA66"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To ensure systematic, rigorous, and unbiased appraisal of the data, the evaluators should set up an appraisal plan that describes the procedure and the criteria to be used for the appraisal.</w:t>
      </w:r>
    </w:p>
    <w:p w14:paraId="0429F3CF"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appraisal plan should be designed to be executed in line with relevant best practice guidance on critical appraisal, such as utilising validated critical appraisal tools that are appropriate to the data being appraised. In some cases, multiple tools and techniques may be needed to adequately appraise all the different types of quantitative and qualitative data identified in Stage 1.</w:t>
      </w:r>
    </w:p>
    <w:p w14:paraId="587AFD47" w14:textId="1F8C166E"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When reviewing literature, there are many established, internationally recognised recommendations, tools, and resources on critical appraisal methodology, which can be referred to. Taking into account the nature, intended purpose and risks associated with the device in question, it may be appropriate to incorporate such resources into the appraisal plan. Examples of such resources include (non-exhaustive):</w:t>
      </w:r>
    </w:p>
    <w:p w14:paraId="015365A9"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Cochrane Methods Network and Cochrane Prognosis Methods Group tools</w:t>
      </w:r>
    </w:p>
    <w:p w14:paraId="776FC834"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GRADE (Grading of Recommendations, Assessment, Development, and Evaluations)</w:t>
      </w:r>
    </w:p>
    <w:p w14:paraId="16605B7F" w14:textId="51541DAA"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IMDRF Clinical evaluation resources, such as IMDRF WG/N56FINAL:</w:t>
      </w:r>
      <w:r w:rsidR="00E664A4" w:rsidRPr="003015CD">
        <w:rPr>
          <w:rFonts w:asciiTheme="majorHAnsi" w:hAnsiTheme="majorHAnsi" w:cstheme="majorHAnsi"/>
          <w:color w:val="000000" w:themeColor="text1"/>
        </w:rPr>
        <w:t>2019 (</w:t>
      </w:r>
      <w:r w:rsidRPr="003015CD">
        <w:rPr>
          <w:rFonts w:asciiTheme="majorHAnsi" w:hAnsiTheme="majorHAnsi" w:cstheme="majorHAnsi"/>
          <w:color w:val="000000" w:themeColor="text1"/>
        </w:rPr>
        <w:t>International Medical Device Regulators Forum)</w:t>
      </w:r>
    </w:p>
    <w:p w14:paraId="09A2C5AC"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JBI Manual for Evidence Synthesis (Joanna Briggs Institute)</w:t>
      </w:r>
    </w:p>
    <w:p w14:paraId="4486033E"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EQUATOR network guidelines (Enhancing the quality and transparency of health research)</w:t>
      </w:r>
    </w:p>
    <w:p w14:paraId="36602B49"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AMSTAR (Assessing the Methodological Quality of Systematics Reviews)</w:t>
      </w:r>
    </w:p>
    <w:p w14:paraId="3F359487"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NOS (Newcastle-Ottawa Scale)</w:t>
      </w:r>
    </w:p>
    <w:p w14:paraId="058FD763"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CASP (Critical Appraisal Skills Programmes) checklists</w:t>
      </w:r>
    </w:p>
    <w:p w14:paraId="7A46AA5B"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Detailed overviews of commonly used appraisal and methodological quality assessment tools are available from academic sources</w:t>
      </w:r>
      <w:r w:rsidRPr="003015CD">
        <w:rPr>
          <w:rStyle w:val="Appelnotedebasdep"/>
          <w:rFonts w:asciiTheme="majorHAnsi" w:hAnsiTheme="majorHAnsi" w:cstheme="majorHAnsi"/>
          <w:color w:val="000000" w:themeColor="text1"/>
        </w:rPr>
        <w:footnoteReference w:id="47"/>
      </w:r>
      <w:r w:rsidRPr="003015CD">
        <w:rPr>
          <w:rFonts w:asciiTheme="majorHAnsi" w:hAnsiTheme="majorHAnsi" w:cstheme="majorHAnsi"/>
          <w:color w:val="000000" w:themeColor="text1"/>
          <w:vertAlign w:val="superscript"/>
        </w:rPr>
        <w:t>,</w:t>
      </w:r>
      <w:r w:rsidRPr="003015CD">
        <w:rPr>
          <w:rStyle w:val="Appelnotedebasdep"/>
          <w:rFonts w:asciiTheme="majorHAnsi" w:hAnsiTheme="majorHAnsi" w:cstheme="majorHAnsi"/>
          <w:color w:val="000000" w:themeColor="text1"/>
        </w:rPr>
        <w:footnoteReference w:id="48"/>
      </w:r>
      <w:r w:rsidRPr="003015CD">
        <w:rPr>
          <w:rFonts w:asciiTheme="majorHAnsi" w:hAnsiTheme="majorHAnsi" w:cstheme="majorHAnsi"/>
          <w:color w:val="000000" w:themeColor="text1"/>
        </w:rPr>
        <w:t xml:space="preserve">. </w:t>
      </w:r>
    </w:p>
    <w:p w14:paraId="04026A83"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appraisal plan typically includes:</w:t>
      </w:r>
    </w:p>
    <w:p w14:paraId="6BBCC408" w14:textId="3E0CBABC" w:rsidR="004171CC" w:rsidRPr="003015CD" w:rsidRDefault="004171CC" w:rsidP="00081885">
      <w:pPr>
        <w:pStyle w:val="List23"/>
        <w:numPr>
          <w:ilvl w:val="0"/>
          <w:numId w:val="5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criteria for determining the scientific validity (including internal and external validity) of each data set</w:t>
      </w:r>
    </w:p>
    <w:p w14:paraId="43B959B2" w14:textId="5DA87F9F" w:rsidR="004171CC" w:rsidRPr="003015CD" w:rsidRDefault="004171CC" w:rsidP="00081885">
      <w:pPr>
        <w:pStyle w:val="List23"/>
        <w:numPr>
          <w:ilvl w:val="0"/>
          <w:numId w:val="5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criteria for determining the relevance to the clinical evaluation (relevance to the device and to the different aspects of its intended purpose)</w:t>
      </w:r>
      <w:r w:rsidR="00AD1682" w:rsidRPr="003015CD">
        <w:rPr>
          <w:rFonts w:asciiTheme="majorHAnsi" w:hAnsiTheme="majorHAnsi" w:cstheme="majorHAnsi"/>
          <w:color w:val="000000" w:themeColor="text1"/>
        </w:rPr>
        <w:t xml:space="preserve"> of each data set</w:t>
      </w:r>
    </w:p>
    <w:p w14:paraId="38B2E5FE" w14:textId="77777777" w:rsidR="004171CC" w:rsidRPr="003015CD" w:rsidRDefault="004171CC" w:rsidP="00081885">
      <w:pPr>
        <w:pStyle w:val="List23"/>
        <w:numPr>
          <w:ilvl w:val="0"/>
          <w:numId w:val="5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criteria for weighting the contribution of each data set to the overall clinical evaluation. </w:t>
      </w:r>
    </w:p>
    <w:p w14:paraId="7F120AD9"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Each of these elements are discussed in detail in section 9.3 of this guidance.</w:t>
      </w:r>
    </w:p>
    <w:p w14:paraId="72372981"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p>
    <w:p w14:paraId="494031AC" w14:textId="53A91CB2"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appraisal should be thorough and objective, i.e. it should identify and attribute adequate weighting</w:t>
      </w:r>
      <w:r w:rsidR="003F78ED" w:rsidRPr="003015CD">
        <w:rPr>
          <w:rFonts w:asciiTheme="majorHAnsi" w:hAnsiTheme="majorHAnsi" w:cstheme="majorHAnsi"/>
          <w:color w:val="000000" w:themeColor="text1"/>
        </w:rPr>
        <w:t xml:space="preserve"> to</w:t>
      </w:r>
      <w:r w:rsidRPr="003015CD">
        <w:rPr>
          <w:rFonts w:asciiTheme="majorHAnsi" w:hAnsiTheme="majorHAnsi" w:cstheme="majorHAnsi"/>
          <w:color w:val="000000" w:themeColor="text1"/>
        </w:rPr>
        <w:t xml:space="preserve"> both favourable and unfavourable contents of each document. </w:t>
      </w:r>
    </w:p>
    <w:p w14:paraId="3EBE7E68" w14:textId="42A420E0"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criteria adopted for the appraisal should reflect the nature, history and intended use of the device. They should be documented and justified on the basis of the</w:t>
      </w:r>
      <w:r w:rsidR="006D182F" w:rsidRPr="003015CD">
        <w:rPr>
          <w:rFonts w:asciiTheme="majorHAnsi" w:hAnsiTheme="majorHAnsi" w:cstheme="majorHAnsi"/>
          <w:color w:val="000000" w:themeColor="text1"/>
        </w:rPr>
        <w:t xml:space="preserve"> SOTA</w:t>
      </w:r>
      <w:r w:rsidRPr="003015CD">
        <w:rPr>
          <w:rFonts w:asciiTheme="majorHAnsi" w:hAnsiTheme="majorHAnsi" w:cstheme="majorHAnsi"/>
          <w:color w:val="000000" w:themeColor="text1"/>
        </w:rPr>
        <w:t xml:space="preserve">, applying accepted scientific and technical standards. </w:t>
      </w:r>
    </w:p>
    <w:p w14:paraId="2D043D57" w14:textId="4851524A"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appraisal plan should be documented in the clinical evaluation </w:t>
      </w:r>
      <w:r w:rsidR="00E664A4" w:rsidRPr="003015CD">
        <w:rPr>
          <w:rFonts w:asciiTheme="majorHAnsi" w:hAnsiTheme="majorHAnsi" w:cstheme="majorHAnsi"/>
          <w:color w:val="000000" w:themeColor="text1"/>
        </w:rPr>
        <w:t>plan,</w:t>
      </w:r>
      <w:r w:rsidRPr="003015CD">
        <w:rPr>
          <w:rFonts w:asciiTheme="majorHAnsi" w:hAnsiTheme="majorHAnsi" w:cstheme="majorHAnsi"/>
          <w:color w:val="000000" w:themeColor="text1"/>
        </w:rPr>
        <w:t xml:space="preserve"> or it may be a standalone document which is referenced in the other clinical evaluation documents.</w:t>
      </w:r>
    </w:p>
    <w:p w14:paraId="600BB80E" w14:textId="77777777" w:rsidR="00EB75D4" w:rsidRPr="003015CD" w:rsidRDefault="00EB75D4" w:rsidP="00081885">
      <w:pPr>
        <w:pStyle w:val="Sansinterligne"/>
        <w:numPr>
          <w:ilvl w:val="0"/>
          <w:numId w:val="0"/>
        </w:numPr>
        <w:jc w:val="both"/>
        <w:rPr>
          <w:rFonts w:asciiTheme="majorHAnsi" w:hAnsiTheme="majorHAnsi" w:cstheme="majorHAnsi"/>
          <w:color w:val="000000" w:themeColor="text1"/>
        </w:rPr>
      </w:pPr>
    </w:p>
    <w:p w14:paraId="16B1F91E"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22" w:name="_Toc446499041"/>
      <w:bookmarkStart w:id="123" w:name="_Ref233793990"/>
      <w:bookmarkStart w:id="124" w:name="_Toc236912900"/>
      <w:r w:rsidRPr="003015CD">
        <w:rPr>
          <w:rFonts w:asciiTheme="majorHAnsi" w:hAnsiTheme="majorHAnsi" w:cstheme="majorHAnsi"/>
          <w:color w:val="000000" w:themeColor="text1"/>
        </w:rPr>
        <w:t>Conduct of the appraisal</w:t>
      </w:r>
      <w:bookmarkEnd w:id="122"/>
      <w:bookmarkEnd w:id="123"/>
      <w:bookmarkEnd w:id="124"/>
    </w:p>
    <w:p w14:paraId="44AEA474"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To conduct the appraisal, the evaluators should:</w:t>
      </w:r>
    </w:p>
    <w:p w14:paraId="7AE7C496" w14:textId="32DBEA08"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follow the pre-defined appraisal plan and apply its criteria consistently throughout the appraisal</w:t>
      </w:r>
      <w:r w:rsidR="00BA64D6" w:rsidRPr="003015CD">
        <w:rPr>
          <w:rFonts w:asciiTheme="majorHAnsi" w:hAnsiTheme="majorHAnsi" w:cstheme="majorHAnsi"/>
          <w:color w:val="000000" w:themeColor="text1"/>
        </w:rPr>
        <w:t>.</w:t>
      </w:r>
    </w:p>
    <w:p w14:paraId="286DB584" w14:textId="39BF679C"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base their appraisal on the full text of publications and of other documents (not abstracts or summaries), </w:t>
      </w:r>
      <w:r w:rsidR="00F110EE" w:rsidRPr="003015CD">
        <w:rPr>
          <w:rFonts w:asciiTheme="majorHAnsi" w:hAnsiTheme="majorHAnsi" w:cstheme="majorHAnsi"/>
          <w:color w:val="000000" w:themeColor="text1"/>
        </w:rPr>
        <w:t>in order</w:t>
      </w:r>
      <w:r w:rsidRPr="003015CD">
        <w:rPr>
          <w:rFonts w:asciiTheme="majorHAnsi" w:hAnsiTheme="majorHAnsi" w:cstheme="majorHAnsi"/>
          <w:color w:val="000000" w:themeColor="text1"/>
        </w:rPr>
        <w:t xml:space="preserve"> to review all the contents, the methodology employed, the reporting of results, the validity of conclusions drawn from the investigation or report, and evaluate any limitations and potential sources of error in the data. </w:t>
      </w:r>
    </w:p>
    <w:p w14:paraId="13D948B8"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document the appraisal in the clinical evaluation report (or a referenced appraisal report) to the extent that it can be critically reviewed by others.</w:t>
      </w:r>
    </w:p>
    <w:p w14:paraId="11C7846D" w14:textId="65563B1B"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As discussed in section 9.3.2, when conducting the appraisal, it is important to consider the scientific validity of each report/publication. This encompasses both ‘internal validity’ and ‘external validity’. Internal validity examines whether the study design, conduct, analysis and conclusions adequately answer the research questions with accuracy and </w:t>
      </w:r>
      <w:r w:rsidR="00C8164D" w:rsidRPr="003015CD">
        <w:rPr>
          <w:rFonts w:asciiTheme="majorHAnsi" w:hAnsiTheme="majorHAnsi" w:cstheme="majorHAnsi"/>
          <w:color w:val="000000" w:themeColor="text1"/>
        </w:rPr>
        <w:t xml:space="preserve">minimal </w:t>
      </w:r>
      <w:r w:rsidRPr="003015CD">
        <w:rPr>
          <w:rFonts w:asciiTheme="majorHAnsi" w:hAnsiTheme="majorHAnsi" w:cstheme="majorHAnsi"/>
          <w:color w:val="000000" w:themeColor="text1"/>
        </w:rPr>
        <w:t xml:space="preserve">bias </w:t>
      </w:r>
      <w:r w:rsidRPr="003015CD">
        <w:rPr>
          <w:rFonts w:asciiTheme="majorHAnsi" w:hAnsiTheme="majorHAnsi" w:cstheme="majorHAnsi"/>
          <w:color w:val="000000" w:themeColor="text1"/>
          <w:vertAlign w:val="superscript"/>
        </w:rPr>
        <w:fldChar w:fldCharType="begin"/>
      </w:r>
      <w:r w:rsidRPr="003015CD">
        <w:rPr>
          <w:rFonts w:asciiTheme="majorHAnsi" w:hAnsiTheme="majorHAnsi" w:cstheme="majorHAnsi"/>
          <w:color w:val="000000" w:themeColor="text1"/>
          <w:vertAlign w:val="superscript"/>
        </w:rPr>
        <w:instrText xml:space="preserve"> NOTEREF _Ref171518528 \h  \* MERGEFORMAT </w:instrText>
      </w:r>
      <w:r w:rsidRPr="003015CD">
        <w:rPr>
          <w:rFonts w:asciiTheme="majorHAnsi" w:hAnsiTheme="majorHAnsi" w:cstheme="majorHAnsi"/>
          <w:color w:val="000000" w:themeColor="text1"/>
          <w:vertAlign w:val="superscript"/>
        </w:rPr>
      </w:r>
      <w:r w:rsidRPr="003015CD">
        <w:rPr>
          <w:rFonts w:asciiTheme="majorHAnsi" w:hAnsiTheme="majorHAnsi" w:cstheme="majorHAnsi"/>
          <w:color w:val="000000" w:themeColor="text1"/>
          <w:vertAlign w:val="superscript"/>
        </w:rPr>
        <w:fldChar w:fldCharType="separate"/>
      </w:r>
      <w:r w:rsidR="001D11FB" w:rsidRPr="003015CD">
        <w:rPr>
          <w:rFonts w:asciiTheme="majorHAnsi" w:hAnsiTheme="majorHAnsi" w:cstheme="majorHAnsi"/>
          <w:color w:val="000000" w:themeColor="text1"/>
          <w:vertAlign w:val="superscript"/>
        </w:rPr>
        <w:t>54</w:t>
      </w:r>
      <w:r w:rsidRPr="003015CD">
        <w:rPr>
          <w:rFonts w:asciiTheme="majorHAnsi" w:hAnsiTheme="majorHAnsi" w:cstheme="majorHAnsi"/>
          <w:color w:val="000000" w:themeColor="text1"/>
          <w:vertAlign w:val="superscript"/>
        </w:rPr>
        <w:fldChar w:fldCharType="end"/>
      </w:r>
      <w:r w:rsidRPr="003015CD">
        <w:rPr>
          <w:rFonts w:asciiTheme="majorHAnsi" w:hAnsiTheme="majorHAnsi" w:cstheme="majorHAnsi"/>
          <w:color w:val="000000" w:themeColor="text1"/>
        </w:rPr>
        <w:t>. External validity examines whether internally valid findings produced from a dataset can be generalized to other populations, other settings and “real world” clinical practice</w:t>
      </w:r>
      <w:r w:rsidRPr="003015CD" w:rsidDel="00947B39">
        <w:rPr>
          <w:rFonts w:asciiTheme="majorHAnsi" w:hAnsiTheme="majorHAnsi" w:cstheme="majorHAnsi"/>
          <w:color w:val="000000" w:themeColor="text1"/>
        </w:rPr>
        <w:t xml:space="preserve"> </w:t>
      </w:r>
      <w:bookmarkStart w:id="125" w:name="_Ref171518528"/>
      <w:r w:rsidRPr="003015CD">
        <w:rPr>
          <w:rFonts w:asciiTheme="majorHAnsi" w:hAnsiTheme="majorHAnsi" w:cstheme="majorHAnsi"/>
          <w:color w:val="000000" w:themeColor="text1"/>
          <w:vertAlign w:val="superscript"/>
        </w:rPr>
        <w:footnoteReference w:id="49"/>
      </w:r>
      <w:bookmarkEnd w:id="125"/>
      <w:r w:rsidRPr="003015CD">
        <w:rPr>
          <w:rFonts w:asciiTheme="majorHAnsi" w:hAnsiTheme="majorHAnsi" w:cstheme="majorHAnsi"/>
          <w:color w:val="000000" w:themeColor="text1"/>
          <w:vertAlign w:val="superscript"/>
        </w:rPr>
        <w:t>,</w:t>
      </w:r>
      <w:r w:rsidRPr="003015CD">
        <w:rPr>
          <w:rStyle w:val="Appelnotedebasdep"/>
          <w:rFonts w:asciiTheme="majorHAnsi" w:hAnsiTheme="majorHAnsi" w:cstheme="majorHAnsi"/>
          <w:color w:val="000000" w:themeColor="text1"/>
        </w:rPr>
        <w:footnoteReference w:id="50"/>
      </w:r>
      <w:r w:rsidRPr="003015CD">
        <w:rPr>
          <w:rFonts w:asciiTheme="majorHAnsi" w:hAnsiTheme="majorHAnsi" w:cstheme="majorHAnsi"/>
          <w:color w:val="000000" w:themeColor="text1"/>
        </w:rPr>
        <w:t xml:space="preserve">. For example, an individual study may be well designed with high internal validity, but the study population may be limited to a small subset of the overall intended patient population, which may limit its external validity and limit the ability to generalise its findings. Internal and external validity may be interrelated, such as a needing a sufficiently large sample size to both minimize random errors and ensure generalisability. </w:t>
      </w:r>
    </w:p>
    <w:p w14:paraId="2E300B50" w14:textId="0A985D12"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As discussed in section 9.3.2, the appropriateness and relevance of each study’s research questions to the issues that need to be addressed by the clinical evaluation (as discussed in Section 7) should then be considered. </w:t>
      </w:r>
    </w:p>
    <w:p w14:paraId="042EBB02"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As discussed in section 9.3.3, an appropriate weighting should then be applied to each data set.</w:t>
      </w:r>
    </w:p>
    <w:p w14:paraId="0FC8DF05" w14:textId="77777777" w:rsidR="004171CC" w:rsidRPr="003015CD" w:rsidRDefault="004171CC" w:rsidP="00081885">
      <w:pPr>
        <w:jc w:val="both"/>
        <w:rPr>
          <w:rFonts w:asciiTheme="majorHAnsi" w:hAnsiTheme="majorHAnsi" w:cstheme="majorHAnsi"/>
          <w:color w:val="000000" w:themeColor="text1"/>
        </w:rPr>
      </w:pPr>
    </w:p>
    <w:p w14:paraId="28208B80"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It should be noted that for clinical data created and held by a manufacturer, the manufacturer will have access to a greater amount of information than for clinical data sourced from literature. For clinical data held by a manufacturer, the manufacturer should appraise the scientific validity, relevance and weighting of each data set based on the totality of information available to them and not just on any published information.</w:t>
      </w:r>
    </w:p>
    <w:p w14:paraId="03946853" w14:textId="77777777" w:rsidR="004171CC" w:rsidRPr="003015CD" w:rsidRDefault="004171CC" w:rsidP="00081885">
      <w:pPr>
        <w:jc w:val="both"/>
        <w:rPr>
          <w:rFonts w:asciiTheme="majorHAnsi" w:hAnsiTheme="majorHAnsi" w:cstheme="majorHAnsi"/>
          <w:color w:val="000000" w:themeColor="text1"/>
        </w:rPr>
      </w:pPr>
    </w:p>
    <w:p w14:paraId="6F72DBD1" w14:textId="12373B88"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126" w:name="_Toc446499042"/>
      <w:bookmarkStart w:id="127" w:name="_Toc236912901"/>
      <w:r w:rsidRPr="003015CD">
        <w:rPr>
          <w:rFonts w:asciiTheme="majorHAnsi" w:hAnsiTheme="majorHAnsi" w:cstheme="majorHAnsi"/>
          <w:color w:val="000000" w:themeColor="text1"/>
        </w:rPr>
        <w:t>Assessment of scientific validity</w:t>
      </w:r>
      <w:bookmarkEnd w:id="126"/>
      <w:r w:rsidRPr="003015CD">
        <w:rPr>
          <w:rFonts w:asciiTheme="majorHAnsi" w:hAnsiTheme="majorHAnsi" w:cstheme="majorHAnsi"/>
          <w:color w:val="000000" w:themeColor="text1"/>
        </w:rPr>
        <w:t xml:space="preserve"> of clinical data</w:t>
      </w:r>
      <w:bookmarkEnd w:id="127"/>
    </w:p>
    <w:p w14:paraId="2467CC73" w14:textId="75B50FC9"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Assessing the scientific validity of each data set will help the evaluator to determine the likelihood that:</w:t>
      </w:r>
    </w:p>
    <w:p w14:paraId="3D1B246E" w14:textId="0BFA673D"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reported device performance outcomes and effects are reliable for clinical evaluation purposes</w:t>
      </w:r>
    </w:p>
    <w:p w14:paraId="555162D5" w14:textId="26876BAC"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device safety has been adequately assessed and reported</w:t>
      </w:r>
    </w:p>
    <w:p w14:paraId="2E495B2C" w14:textId="77777777" w:rsidR="004171CC" w:rsidRPr="003015CD" w:rsidRDefault="004171CC" w:rsidP="00081885">
      <w:pPr>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the data source is appropriate for clinical evaluation purposes.</w:t>
      </w:r>
    </w:p>
    <w:p w14:paraId="4F3B8000" w14:textId="4E0AD9E3"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Low quality data sources may produce data with inaccuracies, which risk misinterpretation and may lead to erroneous findings and conclusions. However, these clinical data (e.g., data from individual case reports, data sourced from abstracts only, etc.) may play a non-pivotal, supportive role in the analysis for purposes such as:</w:t>
      </w:r>
    </w:p>
    <w:p w14:paraId="38AA51BF" w14:textId="1155C07F" w:rsidR="004171CC" w:rsidRPr="003015CD" w:rsidRDefault="004171CC" w:rsidP="00081885">
      <w:pPr>
        <w:pStyle w:val="Paragraphedeliste"/>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identifying new or emergent hazards or safety issues associated with the device,</w:t>
      </w:r>
    </w:p>
    <w:p w14:paraId="790EECBE" w14:textId="21C67240" w:rsidR="004171CC" w:rsidRPr="003015CD" w:rsidRDefault="004171CC" w:rsidP="00081885">
      <w:pPr>
        <w:pStyle w:val="Paragraphedeliste"/>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justifying the validity of surrogate endpoints (if surrogate endpoints are used), </w:t>
      </w:r>
    </w:p>
    <w:p w14:paraId="4C9D257E" w14:textId="6CAB060B" w:rsidR="004171CC" w:rsidRPr="003015CD" w:rsidRDefault="004171CC" w:rsidP="00081885">
      <w:pPr>
        <w:pStyle w:val="Paragraphedeliste"/>
        <w:numPr>
          <w:ilvl w:val="0"/>
          <w:numId w:val="23"/>
        </w:numPr>
        <w:ind w:left="1058"/>
        <w:jc w:val="both"/>
        <w:rPr>
          <w:rFonts w:asciiTheme="majorHAnsi" w:hAnsiTheme="majorHAnsi" w:cstheme="majorHAnsi"/>
          <w:color w:val="000000" w:themeColor="text1"/>
        </w:rPr>
      </w:pPr>
      <w:r w:rsidRPr="003015CD">
        <w:rPr>
          <w:rFonts w:asciiTheme="majorHAnsi" w:hAnsiTheme="majorHAnsi" w:cstheme="majorHAnsi"/>
          <w:color w:val="000000" w:themeColor="text1"/>
        </w:rPr>
        <w:t>providing input for the planning of generation of additional clinical data.</w:t>
      </w:r>
    </w:p>
    <w:p w14:paraId="43B41EFA" w14:textId="0EBA66BF"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critical appraisal tools and resources discussed in Section 9.2 include detailed guidance on appraising the scientific validity of data from clinical research, and evaluators are encouraged to avail of these resources as appropriate. Examples of aspects that should be taken into consideration for appraising different sources of clinical data are detailed below. Many of the aspects described are relevant to multiple clinical data types and should be considered regardless of the clinical data source. For example, many aspects described under “Data from clinical investigations” are relevant for “Clinical studies reported in scientific literature” and vice versa.</w:t>
      </w:r>
    </w:p>
    <w:p w14:paraId="70152C3E" w14:textId="25499EE9" w:rsidR="004171CC" w:rsidRPr="003015CD" w:rsidRDefault="004171CC" w:rsidP="00081885">
      <w:pPr>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rPr>
        <w:t xml:space="preserve">For examples of studies that lack scientific validity for demonstration of adequate clinical performance and/or clinical safety,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_Ref164159823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A7</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szCs w:val="22"/>
        </w:rPr>
        <w:t>.</w:t>
      </w:r>
    </w:p>
    <w:p w14:paraId="79069478" w14:textId="77777777" w:rsidR="0011405A" w:rsidRPr="003015CD" w:rsidRDefault="0011405A" w:rsidP="00081885">
      <w:pPr>
        <w:jc w:val="both"/>
        <w:rPr>
          <w:rFonts w:asciiTheme="majorHAnsi" w:hAnsiTheme="majorHAnsi" w:cstheme="majorHAnsi"/>
          <w:color w:val="000000" w:themeColor="text1"/>
        </w:rPr>
      </w:pPr>
    </w:p>
    <w:p w14:paraId="774F350A" w14:textId="2C3654E6" w:rsidR="004171CC" w:rsidRPr="003015CD" w:rsidRDefault="004171CC" w:rsidP="00081885">
      <w:pPr>
        <w:pStyle w:val="Titre3"/>
        <w:numPr>
          <w:ilvl w:val="3"/>
          <w:numId w:val="11"/>
        </w:numPr>
        <w:ind w:left="1134"/>
        <w:jc w:val="both"/>
        <w:rPr>
          <w:rFonts w:asciiTheme="majorHAnsi" w:hAnsiTheme="majorHAnsi" w:cstheme="majorHAnsi"/>
          <w:color w:val="000000" w:themeColor="text1"/>
        </w:rPr>
      </w:pPr>
      <w:bookmarkStart w:id="128" w:name="_Ref164531769"/>
      <w:bookmarkStart w:id="129" w:name="_Toc236912902"/>
      <w:r w:rsidRPr="003015CD">
        <w:rPr>
          <w:rFonts w:asciiTheme="majorHAnsi" w:hAnsiTheme="majorHAnsi" w:cstheme="majorHAnsi"/>
          <w:color w:val="000000" w:themeColor="text1"/>
        </w:rPr>
        <w:t>Data sourced from clinical investigations</w:t>
      </w:r>
      <w:bookmarkEnd w:id="128"/>
      <w:bookmarkEnd w:id="129"/>
      <w:r w:rsidRPr="003015CD">
        <w:rPr>
          <w:rFonts w:asciiTheme="majorHAnsi" w:hAnsiTheme="majorHAnsi" w:cstheme="majorHAnsi"/>
          <w:color w:val="000000" w:themeColor="text1"/>
        </w:rPr>
        <w:t xml:space="preserve"> </w:t>
      </w:r>
    </w:p>
    <w:p w14:paraId="0A9011B3" w14:textId="721345EF" w:rsidR="004171CC" w:rsidRPr="003015CD" w:rsidRDefault="004171CC" w:rsidP="00081885">
      <w:pPr>
        <w:pStyle w:val="Sansinterligne"/>
        <w:numPr>
          <w:ilvl w:val="0"/>
          <w:numId w:val="0"/>
        </w:numPr>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t>In addition to established legal requirements</w:t>
      </w:r>
      <w:r w:rsidR="0046716C"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clinical investigations, as described in section 8.1.1, should comply with Good Clinical Practice (GCP) guidance, such as ISO 14155 or equivalent standards which are/were published at the time of study initiation. Failure to comply with GCP guidance may be an indicator of poor study quality and the study findings may not be valid.</w:t>
      </w:r>
    </w:p>
    <w:p w14:paraId="5403C616" w14:textId="034D718E" w:rsidR="004171CC" w:rsidRPr="003015CD" w:rsidRDefault="004171CC" w:rsidP="00081885">
      <w:pPr>
        <w:pStyle w:val="Sansinterligne"/>
        <w:numPr>
          <w:ilvl w:val="0"/>
          <w:numId w:val="0"/>
        </w:numPr>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t>As per art. 61(3) of MDR, it shall be taken duly into consideration whether the clinical investigation has been performed under Articles 62 to 80 of MDR, any acts adopted pursuant to Article 81, and Annex XV. For clinical investigations not performed under these articles or corresponding articles under the Directives, for example clinical investigations conducted outside EU or under Article 82 of MDR, a gap analysis should be performed as part of the appraisal to assess the degree to which the clinical investigation is concordant with the principles laid out in Articles 62 to 80 of MDR and relevant international standards. If gaps exist that may compromise the validity of the clinical investigation, then further studies in keeping with these principles may be needed.</w:t>
      </w:r>
    </w:p>
    <w:p w14:paraId="2FD30D77" w14:textId="129F799D" w:rsidR="004171CC" w:rsidRPr="003015CD" w:rsidRDefault="004171CC" w:rsidP="00081885">
      <w:pPr>
        <w:pStyle w:val="Text-Indent"/>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t>The following should be considered when assessing the scientific validity of clinical investigations:</w:t>
      </w:r>
    </w:p>
    <w:p w14:paraId="4EB84F0B" w14:textId="77777777" w:rsidR="004171CC" w:rsidRPr="003015CD" w:rsidRDefault="004171CC" w:rsidP="00081885">
      <w:pPr>
        <w:pStyle w:val="Sansinterligne"/>
        <w:numPr>
          <w:ilvl w:val="0"/>
          <w:numId w:val="32"/>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Study type and design</w:t>
      </w:r>
    </w:p>
    <w:p w14:paraId="0FBD3769" w14:textId="0B093A8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design of a clinical investigation is dependent on a number of factors such as the nature of the device under investigation, the stage of development of the device, the risks associated with the device, the mechanism of action of the device, the procedures associated with the device and the current standard of care for the condition in question. The random assignment of participants to one or more interventions in a controlled clinical investigation produces the highest quality of evidence. </w:t>
      </w:r>
    </w:p>
    <w:p w14:paraId="69036586" w14:textId="0C06C8DD"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appropriateness of the study design to provide evidence of sufficient quality should be assessed. Please see </w:t>
      </w:r>
      <w:r w:rsidR="007127DF"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ection</w:t>
      </w:r>
      <w:r w:rsidR="007127DF"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 xml:space="preserve"> 11</w:t>
      </w:r>
      <w:r w:rsidR="007127DF" w:rsidRPr="003015CD">
        <w:rPr>
          <w:rFonts w:asciiTheme="majorHAnsi" w:hAnsiTheme="majorHAnsi" w:cstheme="majorHAnsi"/>
          <w:color w:val="000000" w:themeColor="text1"/>
        </w:rPr>
        <w:t xml:space="preserve"> and 13</w:t>
      </w:r>
      <w:r w:rsidRPr="003015CD">
        <w:rPr>
          <w:rFonts w:asciiTheme="majorHAnsi" w:hAnsiTheme="majorHAnsi" w:cstheme="majorHAnsi"/>
          <w:color w:val="000000" w:themeColor="text1"/>
        </w:rPr>
        <w:t xml:space="preserve"> for further details on the evidence which can be provided by pilot, pivotal or PMCF clinical investigations. </w:t>
      </w:r>
    </w:p>
    <w:p w14:paraId="03523AEC" w14:textId="77777777" w:rsidR="004171CC" w:rsidRPr="003015CD" w:rsidRDefault="004171CC" w:rsidP="00081885">
      <w:pPr>
        <w:pStyle w:val="Sansinterligne"/>
        <w:numPr>
          <w:ilvl w:val="0"/>
          <w:numId w:val="0"/>
        </w:numPr>
        <w:ind w:left="1058"/>
        <w:jc w:val="both"/>
        <w:rPr>
          <w:rFonts w:asciiTheme="majorHAnsi" w:hAnsiTheme="majorHAnsi" w:cstheme="majorHAnsi"/>
          <w:color w:val="000000" w:themeColor="text1"/>
        </w:rPr>
      </w:pPr>
    </w:p>
    <w:p w14:paraId="04AB1E6B" w14:textId="5EB91BEA" w:rsidR="004171CC" w:rsidRPr="003015CD" w:rsidRDefault="004171CC" w:rsidP="00081885">
      <w:pPr>
        <w:pStyle w:val="Sansinterligne"/>
        <w:numPr>
          <w:ilvl w:val="0"/>
          <w:numId w:val="0"/>
        </w:numPr>
        <w:ind w:left="698"/>
        <w:jc w:val="both"/>
        <w:rPr>
          <w:rFonts w:asciiTheme="majorHAnsi" w:hAnsiTheme="majorHAnsi" w:cstheme="majorHAnsi"/>
          <w:color w:val="000000" w:themeColor="text1"/>
        </w:rPr>
      </w:pPr>
      <w:r w:rsidRPr="003015CD">
        <w:rPr>
          <w:rFonts w:asciiTheme="majorHAnsi" w:hAnsiTheme="majorHAnsi" w:cstheme="majorHAnsi"/>
          <w:color w:val="000000" w:themeColor="text1"/>
        </w:rPr>
        <w:t>In relation to study conduct and monitoring, the methods used by the clinical investigation to limit the effect of bias (see ‘Limitations’ section) and confounding, and the reliability and effectiveness of these methods, should be assessed if available. Methods employed may include:</w:t>
      </w:r>
    </w:p>
    <w:p w14:paraId="33BAA892" w14:textId="40D5D57C"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randomisation</w:t>
      </w:r>
    </w:p>
    <w:p w14:paraId="1AE1AE44" w14:textId="04246BD2"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blinding of participants, investigators, persons responsible for evaluating the outcome and/or persons responsible for analysing the results to the device, interventions, assessments or results in the clinical investigation</w:t>
      </w:r>
    </w:p>
    <w:p w14:paraId="5EE72B00" w14:textId="5AA9CEE2"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use of placebos, placebo procedures or other comparators as controls in the clinical investigation</w:t>
      </w:r>
    </w:p>
    <w:p w14:paraId="65697B59" w14:textId="4BF23D87"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use of stratification, minimisation or other techniques for preventing a baseline imbalance of prognostic factors</w:t>
      </w:r>
    </w:p>
    <w:p w14:paraId="1AADED7C" w14:textId="7B36E573"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handling of medication or concomitant treatments in the study</w:t>
      </w:r>
    </w:p>
    <w:p w14:paraId="1D7C73F5" w14:textId="0E2B77F2" w:rsidR="004171CC" w:rsidRPr="003015CD" w:rsidRDefault="009A368A"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a</w:t>
      </w:r>
      <w:r w:rsidR="004171CC" w:rsidRPr="003015CD">
        <w:rPr>
          <w:rFonts w:asciiTheme="majorHAnsi" w:hAnsiTheme="majorHAnsi" w:cstheme="majorHAnsi"/>
          <w:color w:val="000000" w:themeColor="text1"/>
        </w:rPr>
        <w:t>dequa</w:t>
      </w:r>
      <w:r w:rsidRPr="003015CD">
        <w:rPr>
          <w:rFonts w:asciiTheme="majorHAnsi" w:hAnsiTheme="majorHAnsi" w:cstheme="majorHAnsi"/>
          <w:color w:val="000000" w:themeColor="text1"/>
        </w:rPr>
        <w:t>te</w:t>
      </w:r>
      <w:r w:rsidR="004171CC" w:rsidRPr="003015CD">
        <w:rPr>
          <w:rFonts w:asciiTheme="majorHAnsi" w:hAnsiTheme="majorHAnsi" w:cstheme="majorHAnsi"/>
          <w:color w:val="000000" w:themeColor="text1"/>
        </w:rPr>
        <w:t xml:space="preserve"> of adverse event and device deficiency report</w:t>
      </w:r>
      <w:r w:rsidR="005F19FF" w:rsidRPr="003015CD">
        <w:rPr>
          <w:rFonts w:asciiTheme="majorHAnsi" w:hAnsiTheme="majorHAnsi" w:cstheme="majorHAnsi"/>
          <w:color w:val="000000" w:themeColor="text1"/>
        </w:rPr>
        <w:t>ing. T</w:t>
      </w:r>
      <w:r w:rsidR="004171CC" w:rsidRPr="003015CD">
        <w:rPr>
          <w:rFonts w:asciiTheme="majorHAnsi" w:hAnsiTheme="majorHAnsi" w:cstheme="majorHAnsi"/>
          <w:color w:val="000000" w:themeColor="text1"/>
        </w:rPr>
        <w:t>he ability of the clinical investigation to sufficiently detect safety signals should be assessed. All clinical investigations should have a monitoring plan that takes into account the characteristics of the clinical investigation, including objective(s) and methodology, and the degree of deviation of the intervention from normal clinical practice. Risk-based monitoring should be carried out on the basis of the risk assessment in the clinical investigation plan.</w:t>
      </w:r>
      <w:r w:rsidR="00FC099E" w:rsidRPr="003015CD">
        <w:rPr>
          <w:rFonts w:asciiTheme="majorHAnsi" w:hAnsiTheme="majorHAnsi" w:cstheme="majorHAnsi"/>
          <w:color w:val="000000" w:themeColor="text1"/>
        </w:rPr>
        <w:t xml:space="preserve"> </w:t>
      </w:r>
      <w:r w:rsidR="00E97B75" w:rsidRPr="003015CD">
        <w:rPr>
          <w:rFonts w:asciiTheme="majorHAnsi" w:hAnsiTheme="majorHAnsi" w:cstheme="majorHAnsi"/>
          <w:color w:val="000000" w:themeColor="text1"/>
        </w:rPr>
        <w:t>Clinical investigations with higher levels of risk to participants should have a data safety and monitoring committee reviewing data as it emerges.</w:t>
      </w:r>
    </w:p>
    <w:p w14:paraId="07015B47" w14:textId="77777777" w:rsidR="00503762" w:rsidRPr="003015CD" w:rsidRDefault="00503762" w:rsidP="00693972">
      <w:pPr>
        <w:pStyle w:val="Sansinterligne"/>
        <w:numPr>
          <w:ilvl w:val="0"/>
          <w:numId w:val="0"/>
        </w:numPr>
        <w:ind w:left="774"/>
        <w:jc w:val="both"/>
        <w:rPr>
          <w:rFonts w:asciiTheme="majorHAnsi" w:hAnsiTheme="majorHAnsi" w:cstheme="majorHAnsi"/>
          <w:color w:val="000000" w:themeColor="text1"/>
        </w:rPr>
      </w:pPr>
    </w:p>
    <w:p w14:paraId="2920CE31" w14:textId="3D8B4EBB" w:rsidR="004171CC" w:rsidRPr="003015CD" w:rsidRDefault="00503762" w:rsidP="00693972">
      <w:pPr>
        <w:pStyle w:val="Sansinterligne"/>
        <w:numPr>
          <w:ilvl w:val="0"/>
          <w:numId w:val="0"/>
        </w:numPr>
        <w:ind w:left="774"/>
        <w:jc w:val="both"/>
        <w:rPr>
          <w:rFonts w:asciiTheme="majorHAnsi" w:hAnsiTheme="majorHAnsi" w:cstheme="majorHAnsi"/>
          <w:color w:val="000000" w:themeColor="text1"/>
        </w:rPr>
      </w:pPr>
      <w:r w:rsidRPr="003015CD">
        <w:rPr>
          <w:rFonts w:asciiTheme="majorHAnsi" w:hAnsiTheme="majorHAnsi" w:cstheme="majorHAnsi"/>
          <w:color w:val="000000" w:themeColor="text1"/>
        </w:rPr>
        <w:t>T</w:t>
      </w:r>
      <w:r w:rsidR="004171CC" w:rsidRPr="003015CD">
        <w:rPr>
          <w:rFonts w:asciiTheme="majorHAnsi" w:hAnsiTheme="majorHAnsi" w:cstheme="majorHAnsi"/>
          <w:color w:val="000000" w:themeColor="text1"/>
        </w:rPr>
        <w:t>he consistency of the study conduct and analysis with the pre-specified design, hypothesis, and analysis plan</w:t>
      </w:r>
      <w:r w:rsidRPr="003015CD">
        <w:rPr>
          <w:rFonts w:asciiTheme="majorHAnsi" w:hAnsiTheme="majorHAnsi" w:cstheme="majorHAnsi"/>
          <w:color w:val="000000" w:themeColor="text1"/>
        </w:rPr>
        <w:t xml:space="preserve"> should also be assessed.</w:t>
      </w:r>
    </w:p>
    <w:p w14:paraId="6A92E518" w14:textId="77777777" w:rsidR="004171CC" w:rsidRPr="003015CD" w:rsidRDefault="004171CC" w:rsidP="00081885">
      <w:pPr>
        <w:pStyle w:val="Sansinterligne"/>
        <w:numPr>
          <w:ilvl w:val="0"/>
          <w:numId w:val="0"/>
        </w:numPr>
        <w:ind w:left="1134"/>
        <w:jc w:val="both"/>
        <w:rPr>
          <w:rFonts w:asciiTheme="majorHAnsi" w:hAnsiTheme="majorHAnsi" w:cstheme="majorHAnsi"/>
          <w:color w:val="000000" w:themeColor="text1"/>
        </w:rPr>
      </w:pPr>
    </w:p>
    <w:p w14:paraId="206BCBDF" w14:textId="77777777" w:rsidR="004171CC" w:rsidRPr="003015CD" w:rsidRDefault="004171CC" w:rsidP="00081885">
      <w:pPr>
        <w:pStyle w:val="Sansinterligne"/>
        <w:numPr>
          <w:ilvl w:val="0"/>
          <w:numId w:val="32"/>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Limitations</w:t>
      </w:r>
    </w:p>
    <w:p w14:paraId="6278F10B" w14:textId="7777777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The study should be assessed for the presence of bias. Bias comes in many forms (e.g., sampling bias, selection bias, response bias, observer bias) and a number of tools exist for assessing bias in a study. One method</w:t>
      </w:r>
      <w:r w:rsidRPr="003015CD">
        <w:rPr>
          <w:rStyle w:val="Appelnotedebasdep"/>
          <w:rFonts w:asciiTheme="majorHAnsi" w:hAnsiTheme="majorHAnsi" w:cstheme="majorHAnsi"/>
          <w:color w:val="000000" w:themeColor="text1"/>
        </w:rPr>
        <w:footnoteReference w:id="51"/>
      </w:r>
      <w:r w:rsidRPr="003015CD">
        <w:rPr>
          <w:rFonts w:asciiTheme="majorHAnsi" w:hAnsiTheme="majorHAnsi" w:cstheme="majorHAnsi"/>
          <w:color w:val="000000" w:themeColor="text1"/>
        </w:rPr>
        <w:t xml:space="preserve"> involves assessing if there is a low, medium or high risk of bias across domains such as:</w:t>
      </w:r>
    </w:p>
    <w:p w14:paraId="54C41454" w14:textId="11145748"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randomisation methods employed, if applicable</w:t>
      </w:r>
    </w:p>
    <w:p w14:paraId="014CB27C" w14:textId="358DBF31"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deviations from intended interventions</w:t>
      </w:r>
    </w:p>
    <w:p w14:paraId="7667FBF6" w14:textId="584BFCFA"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missing outcome data</w:t>
      </w:r>
    </w:p>
    <w:p w14:paraId="0E3A0010" w14:textId="1246253E"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measurement of outcomes</w:t>
      </w:r>
    </w:p>
    <w:p w14:paraId="62210FD8" w14:textId="77777777"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selection of the reported result.</w:t>
      </w:r>
    </w:p>
    <w:p w14:paraId="2969CDDA" w14:textId="487D9751"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Other limitations of the study such as confounding influences, limited disclosure of data, etc. should also be assessed.</w:t>
      </w:r>
    </w:p>
    <w:p w14:paraId="5B0AEBC0" w14:textId="7777777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p>
    <w:p w14:paraId="4D03107F" w14:textId="77777777" w:rsidR="004171CC" w:rsidRPr="003015CD" w:rsidRDefault="004171CC" w:rsidP="00081885">
      <w:pPr>
        <w:pStyle w:val="Sansinterligne"/>
        <w:numPr>
          <w:ilvl w:val="0"/>
          <w:numId w:val="32"/>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Sample size and population</w:t>
      </w:r>
    </w:p>
    <w:p w14:paraId="099CB99F" w14:textId="1522D32C"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The study being appraised should be sufficiently powered to detect the effect(s) related to the outcomes of interest</w:t>
      </w:r>
      <w:r w:rsidRPr="003015CD" w:rsidDel="006B75FA">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and details of the sample size calculation should be considered.</w:t>
      </w:r>
    </w:p>
    <w:p w14:paraId="5C89C84D" w14:textId="7777777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adequacy of the inclusion and exclusion criteria employed by the study, as well as factors used in patient stratification (such as age, indication, severity of the condition, gender, other prognostic factors) should be assessed. </w:t>
      </w:r>
    </w:p>
    <w:p w14:paraId="2CD60D03" w14:textId="7777777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p>
    <w:p w14:paraId="2ABDFA2B" w14:textId="77777777" w:rsidR="004171CC" w:rsidRPr="003015CD" w:rsidRDefault="004171CC" w:rsidP="00081885">
      <w:pPr>
        <w:pStyle w:val="Sansinterligne"/>
        <w:numPr>
          <w:ilvl w:val="0"/>
          <w:numId w:val="32"/>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Outcomes and reporting</w:t>
      </w:r>
    </w:p>
    <w:p w14:paraId="55330170" w14:textId="23B591A4"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Endpoints. The adequacy and relevance of any endpoints used should be assessed. Good quality sources of evidence contribute to the evaluation of clinical benefit by assessing meaningful, measurable, patient-relevant clinical outcome(s)</w:t>
      </w:r>
      <w:r w:rsidRPr="003015CD">
        <w:rPr>
          <w:rFonts w:asciiTheme="majorHAnsi" w:hAnsiTheme="majorHAnsi" w:cstheme="majorHAnsi"/>
          <w:color w:val="000000" w:themeColor="text1"/>
          <w:vertAlign w:val="superscript"/>
        </w:rPr>
        <w:footnoteReference w:id="52"/>
      </w:r>
      <w:r w:rsidRPr="003015CD">
        <w:rPr>
          <w:rFonts w:asciiTheme="majorHAnsi" w:hAnsiTheme="majorHAnsi" w:cstheme="majorHAnsi"/>
          <w:color w:val="000000" w:themeColor="text1"/>
        </w:rPr>
        <w:t>. Studies using endpoints which show direct clinical effects (such as morbidity, mortality or adverse events) are one source of this evidence. Studies using Patient Reported Outcome Measures (PROMs) may also be a source of this evidence, as they can provide qualitative evidence for the overall procedure. Studies using surrogate endpoints should only be considered as a good quality source of evidence following appropriate validation of the association of these endpoints with clinical outcomes.</w:t>
      </w:r>
    </w:p>
    <w:p w14:paraId="20CAF9E9" w14:textId="77777777" w:rsidR="004171CC" w:rsidRPr="003015CD" w:rsidRDefault="004171CC" w:rsidP="00081885">
      <w:pPr>
        <w:pStyle w:val="Sansinterligne"/>
        <w:numPr>
          <w:ilvl w:val="0"/>
          <w:numId w:val="0"/>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reliability and validation of any methods used for quantifying symptoms and outcomes should be assessed.</w:t>
      </w:r>
    </w:p>
    <w:p w14:paraId="25E2196B" w14:textId="235AC8DA"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Follow-up period. The adequacy of the study’s follow-up period to detect the outcomes under investigation should be assessed. Follow-up should also be at an adequate frequency to detect temporary side effects and complications (such as those related to wound healing).</w:t>
      </w:r>
    </w:p>
    <w:p w14:paraId="6DF5D311" w14:textId="77777777"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Statistical techniques employed. The use of statistical techniques such as imputation or extrapolation of data, how multiplicity was dealt with or how regression or sensitivity analyses have been conducted should be assessed. Methods of analysis (such as intention-to-treat or per protocol) should be explained and justified. Any formal hypothesis testing conducted on the clinical investigation data should be justified in their ability to exclude random error.</w:t>
      </w:r>
    </w:p>
    <w:p w14:paraId="0AAF3208" w14:textId="7777777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p>
    <w:p w14:paraId="7E1F244F" w14:textId="6CD81E0C" w:rsidR="004171CC" w:rsidRPr="003015CD" w:rsidRDefault="004171CC" w:rsidP="00081885">
      <w:pPr>
        <w:pStyle w:val="Sansinterligne"/>
        <w:numPr>
          <w:ilvl w:val="0"/>
          <w:numId w:val="32"/>
        </w:numPr>
        <w:ind w:left="709"/>
        <w:jc w:val="both"/>
        <w:rPr>
          <w:rFonts w:asciiTheme="majorHAnsi" w:hAnsiTheme="majorHAnsi" w:cstheme="majorHAnsi"/>
          <w:b/>
          <w:color w:val="000000" w:themeColor="text1"/>
        </w:rPr>
      </w:pPr>
      <w:r w:rsidRPr="003015CD">
        <w:rPr>
          <w:rFonts w:asciiTheme="majorHAnsi" w:hAnsiTheme="majorHAnsi" w:cstheme="majorHAnsi"/>
          <w:b/>
          <w:color w:val="000000" w:themeColor="text1"/>
        </w:rPr>
        <w:t>Clinical investigations carried out by or on behalf of a manufacturer</w:t>
      </w:r>
    </w:p>
    <w:p w14:paraId="0BC0EEE0" w14:textId="77777777" w:rsidR="004171CC" w:rsidRPr="003015CD" w:rsidRDefault="004171CC" w:rsidP="00081885">
      <w:pPr>
        <w:pStyle w:val="Sansinterligne"/>
        <w:numPr>
          <w:ilvl w:val="0"/>
          <w:numId w:val="0"/>
        </w:numPr>
        <w:ind w:left="709"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Where a clinical investigation has been carried out by or on behalf of a manufacturer, it is expected that documentation relating to the design, ethical and regulatory approvals, conduct, results, and conclusions of the investigation needed for the clinical evaluation will be available for consideration, as appropriate. These may include:</w:t>
      </w:r>
    </w:p>
    <w:p w14:paraId="0398CABD" w14:textId="1F6469B1"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investigation plan</w:t>
      </w:r>
    </w:p>
    <w:p w14:paraId="17A67374" w14:textId="76B7931C"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investigation modifications/amendments and the rationale for these changes</w:t>
      </w:r>
    </w:p>
    <w:p w14:paraId="67A7E4DB" w14:textId="4A04AEBC"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case report forms, monitoring and audit records</w:t>
      </w:r>
    </w:p>
    <w:p w14:paraId="2F039CD9" w14:textId="7B6492D7"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relevant ethics committee documentation</w:t>
      </w:r>
    </w:p>
    <w:p w14:paraId="38A4EAE7" w14:textId="05C1CB76"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documentation of relevant regulatory authority approvals</w:t>
      </w:r>
      <w:r w:rsidR="000C7A5B" w:rsidRPr="003015CD">
        <w:rPr>
          <w:rFonts w:asciiTheme="majorHAnsi" w:hAnsiTheme="majorHAnsi" w:cstheme="majorHAnsi"/>
          <w:color w:val="000000" w:themeColor="text1"/>
        </w:rPr>
        <w:t>, as applicable</w:t>
      </w:r>
    </w:p>
    <w:p w14:paraId="29D470FE" w14:textId="247E3098"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signed and dated clinical investigation report and its summary (for investigations that are terminated/ended)</w:t>
      </w:r>
    </w:p>
    <w:p w14:paraId="55FF8847" w14:textId="03342E0A"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for investigations that are ongoing, the latest intermediate report available and the latest collation of serious adverse events, device deficiencies, and protocol </w:t>
      </w:r>
      <w:r w:rsidR="00514649" w:rsidRPr="003015CD">
        <w:rPr>
          <w:rFonts w:asciiTheme="majorHAnsi" w:hAnsiTheme="majorHAnsi" w:cstheme="majorHAnsi"/>
          <w:color w:val="000000" w:themeColor="text1"/>
        </w:rPr>
        <w:t>deviations</w:t>
      </w:r>
    </w:p>
    <w:p w14:paraId="471BFAFD" w14:textId="747524C9"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latest reviews and conclusions from independent monitoring committees, such as data safety monitoring boards (DSMB)</w:t>
      </w:r>
      <w:r w:rsidR="003952D8" w:rsidRPr="003015CD">
        <w:rPr>
          <w:rFonts w:asciiTheme="majorHAnsi" w:hAnsiTheme="majorHAnsi" w:cstheme="majorHAnsi"/>
          <w:color w:val="000000" w:themeColor="text1"/>
        </w:rPr>
        <w:t>, as applicable</w:t>
      </w:r>
    </w:p>
    <w:p w14:paraId="177884AB" w14:textId="26A4CB83"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for clinical investigations conducted outside of the EU, an appraisal of whether the results are transferable to the European population</w:t>
      </w:r>
      <w:r w:rsidR="00DE709C"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w:t>
      </w:r>
    </w:p>
    <w:p w14:paraId="058655E9" w14:textId="200FD229" w:rsidR="004171CC" w:rsidRPr="003015CD" w:rsidRDefault="004171CC" w:rsidP="00081885">
      <w:pPr>
        <w:pStyle w:val="Sansinterligne"/>
        <w:numPr>
          <w:ilvl w:val="0"/>
          <w:numId w:val="0"/>
        </w:numPr>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clinical investigation plan sets out how the study was intended to be conducted. It contains important information about the study design such as the selection and assignment of participants to treatment, blinding (of participants and/or investigators) and measurement of responses to treatment, which may be important sources of bias that can be assessed and possibly discounted when </w:t>
      </w:r>
      <w:r w:rsidR="00A61E84" w:rsidRPr="003015CD">
        <w:rPr>
          <w:rFonts w:asciiTheme="majorHAnsi" w:hAnsiTheme="majorHAnsi" w:cstheme="majorHAnsi"/>
          <w:color w:val="000000" w:themeColor="text1"/>
        </w:rPr>
        <w:t xml:space="preserve">attempting </w:t>
      </w:r>
      <w:r w:rsidRPr="003015CD">
        <w:rPr>
          <w:rFonts w:asciiTheme="majorHAnsi" w:hAnsiTheme="majorHAnsi" w:cstheme="majorHAnsi"/>
          <w:color w:val="000000" w:themeColor="text1"/>
        </w:rPr>
        <w:t>to determine the actual performance of the device. In addition, the clinical investigation plan sets out the intended participant follow-up, approaches to statistical analyses, and methods for recording outcomes, which may impact the quality, completeness and validity of results obtained for performance and safety outcomes.</w:t>
      </w:r>
    </w:p>
    <w:p w14:paraId="0D9A918E" w14:textId="64208239" w:rsidR="004171CC" w:rsidRPr="003015CD" w:rsidRDefault="004171CC" w:rsidP="00081885">
      <w:pPr>
        <w:pStyle w:val="Sansinterligne"/>
        <w:numPr>
          <w:ilvl w:val="0"/>
          <w:numId w:val="0"/>
        </w:numPr>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By including the clinical investigation plan, its amendments/modifications, related approvals of ethics committees/competent authorities and the clinical investigation reports in their review, evaluators will be able to assess the extent to which the investigation was conducted as planned and, where deviations from the original plan have occurred, the impact those deviations had on the robustness and reliability of the data generated and the conclusions that can be drawn from the investigation about the performance and safety of the device.</w:t>
      </w:r>
    </w:p>
    <w:p w14:paraId="7EC70050" w14:textId="77777777" w:rsidR="004171CC" w:rsidRPr="003015CD" w:rsidRDefault="004171CC" w:rsidP="00081885">
      <w:pPr>
        <w:pStyle w:val="Sansinterligne"/>
        <w:numPr>
          <w:ilvl w:val="0"/>
          <w:numId w:val="0"/>
        </w:numPr>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Evaluators should confirm that compliance with applicable ethical standards, medical device standards (for example EN ISO 14155 or comparable standards) and applicable regulatory requirements has been demonstrated. </w:t>
      </w:r>
    </w:p>
    <w:p w14:paraId="3364012A" w14:textId="77777777"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The evaluators should verify whether clinical investigations have been defined in such a way as to confirm or refute the manufacturer's claims for the device; and whether these investigations include an adequate number of observations to guarantee the scientific validity of the conclusions.</w:t>
      </w:r>
    </w:p>
    <w:p w14:paraId="1E8D64BA" w14:textId="77777777" w:rsidR="004171CC" w:rsidRPr="003015CD" w:rsidRDefault="004171CC" w:rsidP="00081885">
      <w:pPr>
        <w:pStyle w:val="Text-Indent"/>
        <w:ind w:left="142" w:hanging="11"/>
        <w:jc w:val="both"/>
        <w:rPr>
          <w:rFonts w:asciiTheme="majorHAnsi" w:hAnsiTheme="majorHAnsi" w:cstheme="majorHAnsi"/>
          <w:color w:val="000000" w:themeColor="text1"/>
        </w:rPr>
      </w:pPr>
    </w:p>
    <w:p w14:paraId="315DFD73" w14:textId="124BDDC4" w:rsidR="004171CC" w:rsidRPr="003015CD" w:rsidRDefault="004171CC" w:rsidP="00081885">
      <w:pPr>
        <w:pStyle w:val="Sansinterligne"/>
        <w:numPr>
          <w:ilvl w:val="0"/>
          <w:numId w:val="32"/>
        </w:numPr>
        <w:ind w:left="709"/>
        <w:jc w:val="both"/>
        <w:rPr>
          <w:rFonts w:asciiTheme="majorHAnsi" w:hAnsiTheme="majorHAnsi" w:cstheme="majorHAnsi"/>
          <w:b/>
          <w:color w:val="000000" w:themeColor="text1"/>
        </w:rPr>
      </w:pPr>
      <w:r w:rsidRPr="003015CD">
        <w:rPr>
          <w:rFonts w:asciiTheme="majorHAnsi" w:hAnsiTheme="majorHAnsi" w:cstheme="majorHAnsi"/>
          <w:b/>
          <w:color w:val="000000" w:themeColor="text1"/>
        </w:rPr>
        <w:t>Clinical investigations sourced from scientific literature</w:t>
      </w:r>
    </w:p>
    <w:p w14:paraId="56547E9A" w14:textId="77777777"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When reviewing data from clinical investigations in scientific literature, many of the aforementioned principles in this section will apply and should be reviewed. Critical appraisal and assessment tools, such as those referenced in section 9.2, are a valuable resource when reviewing scientific literature, and these should be utilised as appropriate when evaluating and appraising scientific literature.</w:t>
      </w:r>
    </w:p>
    <w:p w14:paraId="0289CB77" w14:textId="71E02398"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When reviewing scientific literature, evaluators will typically only have access to the published study report and appendices. As such, in addition</w:t>
      </w:r>
      <w:r w:rsidR="005C245E" w:rsidRPr="003015CD">
        <w:rPr>
          <w:rFonts w:asciiTheme="majorHAnsi" w:hAnsiTheme="majorHAnsi" w:cstheme="majorHAnsi"/>
          <w:color w:val="000000" w:themeColor="text1"/>
        </w:rPr>
        <w:t xml:space="preserve"> to the</w:t>
      </w:r>
      <w:r w:rsidRPr="003015CD">
        <w:rPr>
          <w:rFonts w:asciiTheme="majorHAnsi" w:hAnsiTheme="majorHAnsi" w:cstheme="majorHAnsi"/>
          <w:color w:val="000000" w:themeColor="text1"/>
        </w:rPr>
        <w:t xml:space="preserve"> aforementioned aspects, evaluators should consider the following aspects regarding the report</w:t>
      </w:r>
      <w:r w:rsidRPr="003015CD">
        <w:rPr>
          <w:rStyle w:val="Appelnotedebasdep"/>
          <w:rFonts w:asciiTheme="majorHAnsi" w:hAnsiTheme="majorHAnsi" w:cstheme="majorHAnsi"/>
          <w:color w:val="000000" w:themeColor="text1"/>
        </w:rPr>
        <w:footnoteReference w:id="53"/>
      </w:r>
      <w:r w:rsidRPr="003015CD">
        <w:rPr>
          <w:rFonts w:asciiTheme="majorHAnsi" w:hAnsiTheme="majorHAnsi" w:cstheme="majorHAnsi"/>
          <w:color w:val="000000" w:themeColor="text1"/>
        </w:rPr>
        <w:t>:</w:t>
      </w:r>
    </w:p>
    <w:p w14:paraId="7B4F4ED2" w14:textId="77777777"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ab/>
        <w:t>adequacy of disclosure of methods used,</w:t>
      </w:r>
    </w:p>
    <w:p w14:paraId="2C8FD025" w14:textId="77777777"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ab/>
        <w:t xml:space="preserve">adequacy of disclosure of data generated, where applicable. This includes the: </w:t>
      </w:r>
    </w:p>
    <w:p w14:paraId="2430DD9B" w14:textId="228A3830" w:rsidR="004171CC" w:rsidRPr="003015CD" w:rsidRDefault="004171CC" w:rsidP="00D03F64">
      <w:pPr>
        <w:pStyle w:val="Text-Indent"/>
        <w:ind w:left="142" w:firstLine="567"/>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00F4221E" w:rsidRPr="003015CD">
        <w:rPr>
          <w:rFonts w:asciiTheme="majorHAnsi" w:hAnsiTheme="majorHAnsi" w:cstheme="majorHAnsi"/>
          <w:color w:val="000000" w:themeColor="text1"/>
        </w:rPr>
        <w:tab/>
      </w:r>
      <w:r w:rsidRPr="003015CD">
        <w:rPr>
          <w:rFonts w:asciiTheme="majorHAnsi" w:hAnsiTheme="majorHAnsi" w:cstheme="majorHAnsi"/>
          <w:color w:val="000000" w:themeColor="text1"/>
        </w:rPr>
        <w:t>completeness of the reporting of adverse events, device deficiencies, and outcomes</w:t>
      </w:r>
    </w:p>
    <w:p w14:paraId="01B245B3" w14:textId="405B5997" w:rsidR="004171CC" w:rsidRPr="003015CD" w:rsidRDefault="004171CC" w:rsidP="00D03F64">
      <w:pPr>
        <w:pStyle w:val="Text-Indent"/>
        <w:ind w:left="142" w:firstLine="567"/>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ab/>
        <w:t>disclosure of all the results the study was originally designed to generate</w:t>
      </w:r>
      <w:r w:rsidR="001277C0" w:rsidRPr="003015CD">
        <w:rPr>
          <w:rFonts w:asciiTheme="majorHAnsi" w:hAnsiTheme="majorHAnsi" w:cstheme="majorHAnsi"/>
          <w:color w:val="000000" w:themeColor="text1"/>
        </w:rPr>
        <w:t>.</w:t>
      </w:r>
    </w:p>
    <w:p w14:paraId="2F2894F5" w14:textId="77777777"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ab/>
        <w:t>validity of interpretation of data and conclusions drawn by the authors (i.e., do the conclusions align with the results)</w:t>
      </w:r>
    </w:p>
    <w:p w14:paraId="42E745EF" w14:textId="77777777"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ab/>
        <w:t>adequacy of acknowledgement of limitations by report authors.</w:t>
      </w:r>
    </w:p>
    <w:p w14:paraId="3D72C4E1" w14:textId="77777777" w:rsidR="004171CC" w:rsidRPr="003015CD" w:rsidRDefault="004171CC" w:rsidP="00081885">
      <w:pPr>
        <w:pStyle w:val="Text-Indent"/>
        <w:ind w:left="142" w:hanging="11"/>
        <w:jc w:val="both"/>
        <w:rPr>
          <w:rFonts w:asciiTheme="majorHAnsi" w:hAnsiTheme="majorHAnsi" w:cstheme="majorHAnsi"/>
          <w:color w:val="000000" w:themeColor="text1"/>
        </w:rPr>
      </w:pPr>
    </w:p>
    <w:p w14:paraId="76F7CA85" w14:textId="093F4F57" w:rsidR="004171CC" w:rsidRPr="003015CD" w:rsidRDefault="00AB7139"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Possible conflicts of interest and affiliations,</w:t>
      </w:r>
      <w:r w:rsidR="004171CC" w:rsidRPr="003015CD">
        <w:rPr>
          <w:rFonts w:asciiTheme="majorHAnsi" w:hAnsiTheme="majorHAnsi" w:cstheme="majorHAnsi"/>
          <w:color w:val="000000" w:themeColor="text1"/>
        </w:rPr>
        <w:t xml:space="preserve"> disclosed or otherwise, of the authors, sponsors/research institutions, and study funders should be taken into consideration.</w:t>
      </w:r>
    </w:p>
    <w:p w14:paraId="1B2147E8" w14:textId="3CBB39EB"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It is recognised that, where manufacturers source clinical data from scientific literature, the documentation readily available to the manufacturer for inclusion in the clinical evaluation is likely to be no more than the published paper itself. In cases where substantial amounts of data are not available for evaluation, the validity of the study may be negatively impacted.</w:t>
      </w:r>
    </w:p>
    <w:p w14:paraId="0312AEE2" w14:textId="6887897E" w:rsidR="004171CC" w:rsidRPr="003015CD" w:rsidRDefault="004171CC" w:rsidP="00081885">
      <w:pPr>
        <w:pStyle w:val="Text-Indent"/>
        <w:ind w:left="142"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While a publication in a peer-reviewed scientific journal is generally indicative of a certain level of scientific quality and clinical relevance, such publication is not considered an acceptable reason for bypassing or reducing appraisal activities.</w:t>
      </w:r>
    </w:p>
    <w:p w14:paraId="7ECBCED8" w14:textId="77777777" w:rsidR="004171CC" w:rsidRPr="003015CD" w:rsidRDefault="004171CC" w:rsidP="00081885">
      <w:pPr>
        <w:pStyle w:val="Text-Indent"/>
        <w:ind w:left="142" w:hanging="11"/>
        <w:jc w:val="both"/>
        <w:rPr>
          <w:rFonts w:asciiTheme="majorHAnsi" w:hAnsiTheme="majorHAnsi" w:cstheme="majorHAnsi"/>
          <w:color w:val="000000" w:themeColor="text1"/>
        </w:rPr>
      </w:pPr>
    </w:p>
    <w:p w14:paraId="6BCB1DE5" w14:textId="77777777" w:rsidR="004171CC" w:rsidRPr="003015CD" w:rsidRDefault="004171CC" w:rsidP="00081885">
      <w:pPr>
        <w:pStyle w:val="Sansinterligne"/>
        <w:numPr>
          <w:ilvl w:val="0"/>
          <w:numId w:val="32"/>
        </w:numPr>
        <w:ind w:left="709"/>
        <w:jc w:val="both"/>
        <w:rPr>
          <w:rFonts w:asciiTheme="majorHAnsi" w:hAnsiTheme="majorHAnsi" w:cstheme="majorHAnsi"/>
          <w:color w:val="000000" w:themeColor="text1"/>
        </w:rPr>
      </w:pPr>
      <w:bookmarkStart w:id="130" w:name="_Ref164068470"/>
      <w:bookmarkStart w:id="131" w:name="_Ref164531771"/>
      <w:r w:rsidRPr="003015CD">
        <w:rPr>
          <w:rFonts w:asciiTheme="majorHAnsi" w:hAnsiTheme="majorHAnsi" w:cstheme="majorHAnsi"/>
          <w:b/>
          <w:color w:val="000000" w:themeColor="text1"/>
        </w:rPr>
        <w:t>Clinical investigations based outside of the EU</w:t>
      </w:r>
      <w:bookmarkEnd w:id="130"/>
      <w:bookmarkEnd w:id="131"/>
    </w:p>
    <w:p w14:paraId="6A46BA79" w14:textId="6550B1DD" w:rsidR="004171CC" w:rsidRPr="003015CD" w:rsidRDefault="004171CC" w:rsidP="00081885">
      <w:pPr>
        <w:pStyle w:val="Text-Indent"/>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data collected from a clinical investigation only conducted outside of the EU should be evaluated as clinical data for the purposes of conformity assessment under MDR. When evaluating these data, the following characteristics need to be assessed in addition to those described elsewhere in this stage, to determine the quality, scientific validity, and relevance of the data:</w:t>
      </w:r>
    </w:p>
    <w:p w14:paraId="366C9D88" w14:textId="6FE44F09"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investigation was conducted in line with the legal, ethical, and regulatory requirements applicable to that jurisdiction.</w:t>
      </w:r>
    </w:p>
    <w:p w14:paraId="7FE4419F" w14:textId="24B8FF36"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it has been demonstrated that the clinical investigation has been designed and conducted in conformity with appropriate international good clinical practice standards, such as ISO 14155 or equivalent standards which are/were published at the time of study initiation, and in line with the Declaration of Helsinki.</w:t>
      </w:r>
    </w:p>
    <w:p w14:paraId="72B65B15" w14:textId="2B06CBD4" w:rsidR="004171CC" w:rsidRPr="003015CD" w:rsidRDefault="004171CC" w:rsidP="00081885">
      <w:pPr>
        <w:pStyle w:val="Sansinterligne"/>
        <w:spacing w:line="259" w:lineRule="auto"/>
        <w:ind w:left="1134"/>
        <w:jc w:val="both"/>
        <w:rPr>
          <w:rFonts w:eastAsia="Arial"/>
        </w:rPr>
      </w:pPr>
      <w:r w:rsidRPr="003015CD">
        <w:rPr>
          <w:rFonts w:asciiTheme="majorHAnsi" w:hAnsiTheme="majorHAnsi" w:cstheme="majorBidi"/>
          <w:color w:val="000000" w:themeColor="text1"/>
        </w:rPr>
        <w:t xml:space="preserve">the clinical investigation was conducted in keeping with the principles of Chapter VI and Annex XV of MDR, in </w:t>
      </w:r>
      <w:r w:rsidR="00514649" w:rsidRPr="003015CD">
        <w:rPr>
          <w:rFonts w:asciiTheme="majorHAnsi" w:hAnsiTheme="majorHAnsi" w:cstheme="majorBidi"/>
          <w:color w:val="000000" w:themeColor="text1"/>
        </w:rPr>
        <w:t>particular:</w:t>
      </w:r>
    </w:p>
    <w:p w14:paraId="58D12B3D" w14:textId="056758C1" w:rsidR="004171CC" w:rsidRPr="003015CD" w:rsidRDefault="004171CC" w:rsidP="00081885">
      <w:pPr>
        <w:pStyle w:val="Sansinterligne"/>
        <w:ind w:left="1134" w:hanging="22"/>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rights, safety and well-being of subjects were protected </w:t>
      </w:r>
    </w:p>
    <w:p w14:paraId="7F688460" w14:textId="34A5E3ED" w:rsidR="004171CC" w:rsidRPr="003015CD" w:rsidRDefault="004171CC" w:rsidP="00081885">
      <w:pPr>
        <w:pStyle w:val="Sansinterligne"/>
        <w:numPr>
          <w:ilvl w:val="0"/>
          <w:numId w:val="75"/>
        </w:numPr>
        <w:ind w:left="1134" w:hanging="22"/>
        <w:jc w:val="both"/>
        <w:rPr>
          <w:rFonts w:asciiTheme="majorHAnsi" w:hAnsiTheme="majorHAnsi" w:cstheme="majorHAnsi"/>
          <w:color w:val="000000" w:themeColor="text1"/>
        </w:rPr>
      </w:pPr>
      <w:r w:rsidRPr="003015CD">
        <w:rPr>
          <w:rFonts w:asciiTheme="majorHAnsi" w:hAnsiTheme="majorHAnsi" w:cstheme="majorHAnsi"/>
          <w:color w:val="000000" w:themeColor="text1"/>
        </w:rPr>
        <w:t>appropriate monitoring of the clinical investigation was conducted</w:t>
      </w:r>
    </w:p>
    <w:p w14:paraId="67AB6131" w14:textId="73EE91CB" w:rsidR="004171CC" w:rsidRPr="003015CD" w:rsidRDefault="004171CC" w:rsidP="00081885">
      <w:pPr>
        <w:pStyle w:val="Sansinterligne"/>
        <w:numPr>
          <w:ilvl w:val="0"/>
          <w:numId w:val="75"/>
        </w:numPr>
        <w:ind w:left="1134" w:hanging="22"/>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adverse events were appropriately handled </w:t>
      </w:r>
    </w:p>
    <w:p w14:paraId="34BC7AA1" w14:textId="2F75C383" w:rsidR="004171CC" w:rsidRPr="003015CD" w:rsidRDefault="004171CC" w:rsidP="00081885">
      <w:pPr>
        <w:pStyle w:val="Sansinterligne"/>
        <w:numPr>
          <w:ilvl w:val="0"/>
          <w:numId w:val="75"/>
        </w:numPr>
        <w:ind w:left="1134" w:hanging="22"/>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data was handled in an appropriate manner </w:t>
      </w:r>
    </w:p>
    <w:p w14:paraId="3DB9468F" w14:textId="7D586A0E" w:rsidR="004171CC" w:rsidRPr="003015CD" w:rsidRDefault="004171CC" w:rsidP="00081885">
      <w:pPr>
        <w:pStyle w:val="Sansinterligne"/>
        <w:numPr>
          <w:ilvl w:val="0"/>
          <w:numId w:val="75"/>
        </w:numPr>
        <w:ind w:left="1134" w:hanging="22"/>
        <w:jc w:val="both"/>
        <w:rPr>
          <w:rFonts w:asciiTheme="majorHAnsi" w:hAnsiTheme="majorHAnsi" w:cstheme="majorHAnsi"/>
          <w:color w:val="000000" w:themeColor="text1"/>
        </w:rPr>
      </w:pPr>
      <w:r w:rsidRPr="003015CD">
        <w:rPr>
          <w:rFonts w:asciiTheme="majorHAnsi" w:hAnsiTheme="majorHAnsi" w:cstheme="majorHAnsi"/>
          <w:color w:val="000000" w:themeColor="text1"/>
        </w:rPr>
        <w:t>informed consent was obtained from subjects</w:t>
      </w:r>
    </w:p>
    <w:p w14:paraId="07D4AE26" w14:textId="77777777" w:rsidR="004171CC" w:rsidRPr="003015CD" w:rsidRDefault="004171CC" w:rsidP="00081885">
      <w:pPr>
        <w:pStyle w:val="Sansinterligne"/>
        <w:numPr>
          <w:ilvl w:val="0"/>
          <w:numId w:val="75"/>
        </w:numPr>
        <w:ind w:left="1134" w:hanging="22"/>
        <w:jc w:val="both"/>
        <w:rPr>
          <w:rFonts w:asciiTheme="majorHAnsi" w:hAnsiTheme="majorHAnsi" w:cstheme="majorHAnsi"/>
          <w:color w:val="000000" w:themeColor="text1"/>
        </w:rPr>
      </w:pPr>
      <w:r w:rsidRPr="003015CD">
        <w:rPr>
          <w:rFonts w:asciiTheme="majorHAnsi" w:hAnsiTheme="majorHAnsi" w:cstheme="majorHAnsi"/>
          <w:color w:val="000000" w:themeColor="text1"/>
        </w:rPr>
        <w:t>vulnerable populations were appropriately protected.</w:t>
      </w:r>
    </w:p>
    <w:p w14:paraId="0529A540" w14:textId="77777777"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investigation was conducted in line with applicable device-specific international standards and consensus expert guidance recommendations (if any),</w:t>
      </w:r>
    </w:p>
    <w:p w14:paraId="2870A3DD" w14:textId="77777777" w:rsidR="004171CC" w:rsidRPr="003015CD" w:rsidRDefault="004171CC" w:rsidP="00081885">
      <w:pPr>
        <w:pStyle w:val="Sansinterligne"/>
        <w:numPr>
          <w:ilvl w:val="0"/>
          <w:numId w:val="51"/>
        </w:numPr>
        <w:ind w:left="1134"/>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data can be validated through appropriate means, such as review of the clinical investigation documentation (CIP, IB, CIR, case report forms etc.). </w:t>
      </w:r>
    </w:p>
    <w:p w14:paraId="044B2EFA" w14:textId="09D4EEB9" w:rsidR="004171CC" w:rsidRPr="003015CD" w:rsidRDefault="004171CC"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If clinical data only partially meets the above criteria, the data may be given reduced “weight” as part of the appraisal process (see Section 9.3.3). Clinical data that is appraised to be poor quality will unlikely</w:t>
      </w:r>
      <w:r w:rsidR="00280246" w:rsidRPr="003015CD">
        <w:rPr>
          <w:rFonts w:asciiTheme="majorHAnsi" w:hAnsiTheme="majorHAnsi" w:cstheme="majorHAnsi"/>
          <w:color w:val="000000" w:themeColor="text1"/>
        </w:rPr>
        <w:t>, on its own, to</w:t>
      </w:r>
      <w:r w:rsidRPr="003015CD">
        <w:rPr>
          <w:rFonts w:asciiTheme="majorHAnsi" w:hAnsiTheme="majorHAnsi" w:cstheme="majorHAnsi"/>
          <w:color w:val="000000" w:themeColor="text1"/>
        </w:rPr>
        <w:t xml:space="preserve"> be sufficient to demonstrate conformity with the GSPR</w:t>
      </w:r>
      <w:r w:rsidR="00236DB6"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 xml:space="preserve"> and will need to be supported by additional clinical data.</w:t>
      </w:r>
    </w:p>
    <w:p w14:paraId="7D415A19" w14:textId="77777777" w:rsidR="00F13F05" w:rsidRPr="003015CD" w:rsidRDefault="00F13F05" w:rsidP="00081885">
      <w:pPr>
        <w:pStyle w:val="Text-Indent"/>
        <w:jc w:val="both"/>
        <w:rPr>
          <w:rFonts w:asciiTheme="majorHAnsi" w:hAnsiTheme="majorHAnsi" w:cstheme="majorHAnsi"/>
          <w:color w:val="000000" w:themeColor="text1"/>
        </w:rPr>
      </w:pPr>
    </w:p>
    <w:p w14:paraId="5355F08E" w14:textId="2559A9DE" w:rsidR="004171CC" w:rsidRPr="003015CD" w:rsidRDefault="004171CC" w:rsidP="00081885">
      <w:pPr>
        <w:pStyle w:val="Titre3"/>
        <w:numPr>
          <w:ilvl w:val="3"/>
          <w:numId w:val="11"/>
        </w:numPr>
        <w:ind w:left="1134"/>
        <w:jc w:val="both"/>
        <w:rPr>
          <w:rFonts w:asciiTheme="majorHAnsi" w:hAnsiTheme="majorHAnsi" w:cstheme="majorHAnsi"/>
          <w:color w:val="000000" w:themeColor="text1"/>
        </w:rPr>
      </w:pPr>
      <w:r w:rsidRPr="003015CD">
        <w:rPr>
          <w:rFonts w:asciiTheme="majorHAnsi" w:hAnsiTheme="majorHAnsi" w:cstheme="majorHAnsi"/>
          <w:bCs w:val="0"/>
          <w:color w:val="000000" w:themeColor="text1"/>
          <w:sz w:val="22"/>
        </w:rPr>
        <w:t xml:space="preserve"> </w:t>
      </w:r>
      <w:bookmarkStart w:id="132" w:name="_Toc236912903"/>
      <w:r w:rsidRPr="003015CD">
        <w:rPr>
          <w:rFonts w:asciiTheme="majorHAnsi" w:hAnsiTheme="majorHAnsi" w:cstheme="majorHAnsi"/>
          <w:bCs w:val="0"/>
          <w:color w:val="000000" w:themeColor="text1"/>
          <w:sz w:val="22"/>
        </w:rPr>
        <w:t>Data from studies other than clinical investigations</w:t>
      </w:r>
      <w:bookmarkEnd w:id="132"/>
      <w:r w:rsidRPr="003015CD">
        <w:rPr>
          <w:rFonts w:asciiTheme="majorHAnsi" w:hAnsiTheme="majorHAnsi" w:cstheme="majorHAnsi"/>
          <w:bCs w:val="0"/>
          <w:color w:val="000000" w:themeColor="text1"/>
          <w:sz w:val="22"/>
        </w:rPr>
        <w:t xml:space="preserve"> </w:t>
      </w:r>
    </w:p>
    <w:p w14:paraId="04F59294" w14:textId="57D65D0A"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Studies other than clinical investigations may share many common aspects with clinical investigations, and therefore, many of the aspects outlined in section 9.3.1.1 are relevant when appraising these studies. In particular, attention should be drawn to the following aspects:</w:t>
      </w:r>
    </w:p>
    <w:p w14:paraId="5C04E818"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 xml:space="preserve">what types of biases exist and how are these minimised? </w:t>
      </w:r>
    </w:p>
    <w:p w14:paraId="4348C0A1"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how were confounders identified and controlled?</w:t>
      </w:r>
    </w:p>
    <w:p w14:paraId="5912A725"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were the sourced data obtained from appropriate clinical sites?</w:t>
      </w:r>
    </w:p>
    <w:p w14:paraId="3BA31B4C" w14:textId="4F35192E" w:rsidR="004171CC" w:rsidRPr="003015CD" w:rsidRDefault="004171CC" w:rsidP="00081885">
      <w:pPr>
        <w:pStyle w:val="Text-Indent"/>
        <w:ind w:left="704" w:hanging="420"/>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how representative is the study data with respect to the lifecycle of the device and its use in the clinical setting?</w:t>
      </w:r>
    </w:p>
    <w:p w14:paraId="7B5AF8D0"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is there a clear patient flow presented in the study report?</w:t>
      </w:r>
    </w:p>
    <w:p w14:paraId="6C084B55"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were valid quality control methods used to obtain the reported data?</w:t>
      </w:r>
    </w:p>
    <w:p w14:paraId="153EDAD1"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 xml:space="preserve">are the study results consistent with other scientific studies? </w:t>
      </w:r>
    </w:p>
    <w:p w14:paraId="275D3CCC" w14:textId="77777777" w:rsidR="004171CC" w:rsidRPr="003015CD" w:rsidRDefault="004171CC" w:rsidP="00081885">
      <w:pPr>
        <w:pStyle w:val="Text-Indent"/>
        <w:jc w:val="both"/>
        <w:rPr>
          <w:rFonts w:asciiTheme="majorHAnsi" w:hAnsiTheme="majorHAnsi" w:cstheme="majorBidi"/>
          <w:color w:val="000000" w:themeColor="text1"/>
        </w:rPr>
      </w:pPr>
      <w:r w:rsidRPr="003015CD">
        <w:rPr>
          <w:rFonts w:asciiTheme="majorHAnsi" w:hAnsiTheme="majorHAnsi" w:cstheme="majorBidi"/>
          <w:color w:val="000000" w:themeColor="text1"/>
        </w:rPr>
        <w:t>•</w:t>
      </w:r>
      <w:r w:rsidRPr="003015CD">
        <w:rPr>
          <w:rFonts w:asciiTheme="majorHAnsi" w:hAnsiTheme="majorHAnsi" w:cstheme="majorBidi"/>
          <w:color w:val="000000" w:themeColor="text1"/>
        </w:rPr>
        <w:tab/>
        <w:t>is the study report's conclusion consistent with the data presented in the results?</w:t>
      </w:r>
    </w:p>
    <w:p w14:paraId="3EF232C7" w14:textId="77777777" w:rsidR="004171CC" w:rsidRPr="003015CD" w:rsidRDefault="004171CC" w:rsidP="00081885">
      <w:pPr>
        <w:pStyle w:val="Text-Indent"/>
        <w:ind w:left="0"/>
        <w:jc w:val="both"/>
        <w:rPr>
          <w:rFonts w:asciiTheme="majorHAnsi" w:hAnsiTheme="majorHAnsi" w:cstheme="majorBidi"/>
          <w:color w:val="000000" w:themeColor="text1"/>
        </w:rPr>
      </w:pPr>
    </w:p>
    <w:p w14:paraId="6C92DFDF" w14:textId="4D390F37" w:rsidR="004171CC" w:rsidRPr="003015CD" w:rsidRDefault="004171CC" w:rsidP="00081885">
      <w:pPr>
        <w:pStyle w:val="Titre3"/>
        <w:numPr>
          <w:ilvl w:val="3"/>
          <w:numId w:val="11"/>
        </w:numPr>
        <w:ind w:left="1134"/>
        <w:jc w:val="both"/>
        <w:rPr>
          <w:rFonts w:asciiTheme="majorHAnsi" w:hAnsiTheme="majorHAnsi" w:cstheme="majorHAnsi"/>
          <w:color w:val="000000" w:themeColor="text1"/>
        </w:rPr>
      </w:pPr>
      <w:r w:rsidRPr="003015CD" w:rsidDel="003556C7">
        <w:rPr>
          <w:rFonts w:asciiTheme="majorHAnsi" w:hAnsiTheme="majorHAnsi" w:cstheme="majorHAnsi"/>
          <w:bCs w:val="0"/>
          <w:color w:val="000000" w:themeColor="text1"/>
          <w:sz w:val="22"/>
        </w:rPr>
        <w:t xml:space="preserve"> </w:t>
      </w:r>
      <w:bookmarkStart w:id="133" w:name="_Toc236912904"/>
      <w:r w:rsidRPr="003015CD">
        <w:rPr>
          <w:rFonts w:asciiTheme="majorHAnsi" w:hAnsiTheme="majorHAnsi" w:cstheme="majorHAnsi"/>
          <w:color w:val="000000" w:themeColor="text1"/>
        </w:rPr>
        <w:t>Data from reports on other clinical experience of the device</w:t>
      </w:r>
      <w:bookmarkEnd w:id="133"/>
      <w:r w:rsidRPr="003015CD">
        <w:rPr>
          <w:rFonts w:asciiTheme="majorHAnsi" w:hAnsiTheme="majorHAnsi" w:cstheme="majorHAnsi"/>
          <w:color w:val="000000" w:themeColor="text1"/>
        </w:rPr>
        <w:t xml:space="preserve">   </w:t>
      </w:r>
    </w:p>
    <w:p w14:paraId="5EA0860F" w14:textId="490AE0B9"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As discussed in section 8.1.3, reports published in peer reviewed scientific literature from "other clinical experience" of a device may be collected from a heterogenous range of sources. As a result, the scientific validity of such reports may vary </w:t>
      </w:r>
      <w:r w:rsidR="00E33556" w:rsidRPr="003015CD">
        <w:rPr>
          <w:rFonts w:asciiTheme="majorHAnsi" w:hAnsiTheme="majorHAnsi" w:cstheme="majorBidi"/>
          <w:color w:val="000000" w:themeColor="text1"/>
        </w:rPr>
        <w:t>considerably,</w:t>
      </w:r>
      <w:r w:rsidRPr="003015CD">
        <w:rPr>
          <w:rFonts w:asciiTheme="majorHAnsi" w:hAnsiTheme="majorHAnsi" w:cstheme="majorBidi"/>
          <w:color w:val="000000" w:themeColor="text1"/>
        </w:rPr>
        <w:t xml:space="preserve"> and the peer review process alone may not provide adequate assurances of quality. An assessment of the scientific validity of each report should be undertaken. Many of the aspects discussed in Section 9.2 and Sections 9.3.1.1 and 9.3.1.2 may be relevant to the assessment of these reports and, if relevant, should be considered.</w:t>
      </w:r>
    </w:p>
    <w:p w14:paraId="7A350607" w14:textId="77777777" w:rsidR="004171CC" w:rsidRPr="003015CD" w:rsidRDefault="004171CC" w:rsidP="00081885">
      <w:pPr>
        <w:jc w:val="both"/>
        <w:rPr>
          <w:rFonts w:asciiTheme="majorHAnsi" w:hAnsiTheme="majorHAnsi" w:cstheme="majorBidi"/>
          <w:color w:val="000000" w:themeColor="text1"/>
        </w:rPr>
      </w:pPr>
    </w:p>
    <w:p w14:paraId="5F35417D" w14:textId="2EB05A92" w:rsidR="004171CC" w:rsidRPr="003015CD" w:rsidRDefault="004171CC" w:rsidP="00081885">
      <w:pPr>
        <w:pStyle w:val="Titre3"/>
        <w:numPr>
          <w:ilvl w:val="3"/>
          <w:numId w:val="11"/>
        </w:numPr>
        <w:ind w:left="1134"/>
        <w:jc w:val="both"/>
        <w:rPr>
          <w:rFonts w:asciiTheme="majorHAnsi" w:hAnsiTheme="majorHAnsi" w:cstheme="majorHAnsi"/>
          <w:color w:val="000000" w:themeColor="text1"/>
        </w:rPr>
      </w:pPr>
      <w:bookmarkStart w:id="134" w:name="_Toc236912905"/>
      <w:r w:rsidRPr="003015CD">
        <w:rPr>
          <w:rFonts w:asciiTheme="majorHAnsi" w:hAnsiTheme="majorHAnsi" w:cstheme="majorHAnsi"/>
          <w:color w:val="000000" w:themeColor="text1"/>
        </w:rPr>
        <w:t>Data from clinically relevant information generated from the PMS system</w:t>
      </w:r>
      <w:bookmarkEnd w:id="134"/>
    </w:p>
    <w:p w14:paraId="191E377F" w14:textId="1E56F252" w:rsidR="004171CC" w:rsidRPr="003015CD" w:rsidRDefault="004171CC"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evaluation shall be updated throughout the lifecycle of the device with clinical data obtained from implementation of the manufacturer’s post</w:t>
      </w:r>
      <w:r w:rsidR="00A6495A"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market surveillance (PMS) plan and post</w:t>
      </w:r>
      <w:r w:rsidR="00A6495A"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marketing clinical follow up (PMCF) plan. </w:t>
      </w:r>
    </w:p>
    <w:p w14:paraId="3743C9DF" w14:textId="0780B56F"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PMS and PMCF findings should be assessed with consideration of the following aspects:</w:t>
      </w:r>
    </w:p>
    <w:p w14:paraId="3EA43578" w14:textId="61AD5C6C" w:rsidR="004171CC" w:rsidRPr="003015CD" w:rsidRDefault="004171CC" w:rsidP="00081885">
      <w:pPr>
        <w:pStyle w:val="Text-Indent"/>
        <w:numPr>
          <w:ilvl w:val="0"/>
          <w:numId w:val="80"/>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the time periods considered</w:t>
      </w:r>
    </w:p>
    <w:p w14:paraId="3CA4250B" w14:textId="1276DFED" w:rsidR="004171CC" w:rsidRPr="003015CD" w:rsidRDefault="004171CC" w:rsidP="00081885">
      <w:pPr>
        <w:pStyle w:val="Text-Indent"/>
        <w:numPr>
          <w:ilvl w:val="0"/>
          <w:numId w:val="80"/>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the populations studied, including clinical and demographic features</w:t>
      </w:r>
    </w:p>
    <w:p w14:paraId="002DF8C8" w14:textId="77777777" w:rsidR="004171CC" w:rsidRPr="003015CD" w:rsidRDefault="004171CC" w:rsidP="00081885">
      <w:pPr>
        <w:pStyle w:val="Text-Indent"/>
        <w:numPr>
          <w:ilvl w:val="0"/>
          <w:numId w:val="80"/>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the objectives of the plan.</w:t>
      </w:r>
    </w:p>
    <w:p w14:paraId="7EADC5B4" w14:textId="77777777" w:rsidR="004171CC" w:rsidRPr="003015CD" w:rsidRDefault="004171CC"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Conclusions reached on this data should be assessed with regards to its relevance for the intended target population of the device in question. </w:t>
      </w:r>
    </w:p>
    <w:p w14:paraId="6B867B4F" w14:textId="6FBD2422"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Should the source of the data in the report deviate from the respective plan, this deviation should be explained. Data presented with a significant deviation from the respective plan may need to be treated with caution.</w:t>
      </w:r>
    </w:p>
    <w:p w14:paraId="213563BD" w14:textId="77777777" w:rsidR="004171CC" w:rsidRPr="003015CD" w:rsidRDefault="004171CC" w:rsidP="00081885">
      <w:pPr>
        <w:pStyle w:val="Text-Indent"/>
        <w:ind w:left="0"/>
        <w:jc w:val="both"/>
        <w:rPr>
          <w:rFonts w:asciiTheme="majorHAnsi" w:hAnsiTheme="majorHAnsi" w:cstheme="majorHAnsi"/>
          <w:color w:val="000000" w:themeColor="text1"/>
        </w:rPr>
      </w:pPr>
    </w:p>
    <w:p w14:paraId="183FFBA4" w14:textId="77777777" w:rsidR="004171CC" w:rsidRPr="003015CD" w:rsidRDefault="004171CC" w:rsidP="00081885">
      <w:pPr>
        <w:pStyle w:val="Text-Indent"/>
        <w:ind w:left="0"/>
        <w:jc w:val="both"/>
        <w:rPr>
          <w:rFonts w:asciiTheme="majorHAnsi" w:hAnsiTheme="majorHAnsi" w:cstheme="majorHAnsi"/>
          <w:color w:val="000000" w:themeColor="text1"/>
          <w:u w:val="single"/>
        </w:rPr>
      </w:pPr>
      <w:r w:rsidRPr="003015CD">
        <w:rPr>
          <w:rFonts w:asciiTheme="majorHAnsi" w:hAnsiTheme="majorHAnsi" w:cstheme="majorHAnsi"/>
          <w:color w:val="000000" w:themeColor="text1"/>
          <w:u w:val="single"/>
        </w:rPr>
        <w:t>PMCF studies</w:t>
      </w:r>
    </w:p>
    <w:p w14:paraId="0C91DE8B" w14:textId="4DBBC01B" w:rsidR="004171CC" w:rsidRPr="003015CD" w:rsidRDefault="004171CC"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The following should be considered when appraising the data from PMCF studies (aspects may be relevant to other PMCF):</w:t>
      </w:r>
    </w:p>
    <w:p w14:paraId="5313413A" w14:textId="77777777" w:rsidR="004171CC" w:rsidRPr="003015CD" w:rsidRDefault="004171CC" w:rsidP="00081885">
      <w:pPr>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what were the procedures used for retrieving information about outcomes?</w:t>
      </w:r>
    </w:p>
    <w:p w14:paraId="174BC848" w14:textId="724D546E" w:rsidR="004171CC" w:rsidRPr="003015CD" w:rsidRDefault="004171CC" w:rsidP="00081885">
      <w:pPr>
        <w:pStyle w:val="Text-Indent"/>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what is the population in the study? How representative and complete is the population in the study in relation to the intended target population of the device in question?</w:t>
      </w:r>
    </w:p>
    <w:p w14:paraId="514F2D93" w14:textId="5523117E" w:rsidR="004171CC" w:rsidRPr="003015CD" w:rsidRDefault="004171CC" w:rsidP="00081885">
      <w:pPr>
        <w:pStyle w:val="Text-Indent"/>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how complete is the data collection in the study? Was there active follow-up of participants in the study? How many participants have been lost to follow-up, have these losses been appropriately explained and how are these participants considered in any analysis undertaken?</w:t>
      </w:r>
    </w:p>
    <w:p w14:paraId="65943BD0" w14:textId="77777777" w:rsidR="004171CC" w:rsidRPr="003015CD" w:rsidRDefault="004171CC" w:rsidP="00081885">
      <w:pPr>
        <w:pStyle w:val="Text-Indent"/>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how has data quality in the study been considered?</w:t>
      </w:r>
    </w:p>
    <w:p w14:paraId="02C78B7C" w14:textId="473F15A4" w:rsidR="004171CC" w:rsidRPr="003015CD" w:rsidRDefault="004171CC" w:rsidP="00081885">
      <w:pPr>
        <w:pStyle w:val="Text-Indent"/>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how appropriate is follow-up duration for assessment of potential device issue? Note that PMCF studies with robust follow-up can produce the highest quality post</w:t>
      </w:r>
      <w:r w:rsidR="00A6495A"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market clinically relevant information.</w:t>
      </w:r>
    </w:p>
    <w:p w14:paraId="3C3EBD42" w14:textId="77777777" w:rsidR="004171CC" w:rsidRPr="003015CD" w:rsidRDefault="004171CC" w:rsidP="00081885">
      <w:pPr>
        <w:pStyle w:val="Text-Indent"/>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was the study and any data analysis undertaken based on a pre-specified plan? Was a reasonable justification for the approaches taken in place prior to the study taking place?</w:t>
      </w:r>
    </w:p>
    <w:p w14:paraId="4DEF6312" w14:textId="77777777" w:rsidR="004171CC" w:rsidRPr="003015CD" w:rsidRDefault="004171CC" w:rsidP="00081885">
      <w:pPr>
        <w:pStyle w:val="Text-Indent"/>
        <w:numPr>
          <w:ilvl w:val="0"/>
          <w:numId w:val="81"/>
        </w:numPr>
        <w:ind w:left="709"/>
        <w:jc w:val="both"/>
        <w:rPr>
          <w:rFonts w:asciiTheme="majorHAnsi" w:hAnsiTheme="majorHAnsi" w:cstheme="majorHAnsi"/>
          <w:color w:val="000000" w:themeColor="text1"/>
        </w:rPr>
      </w:pPr>
      <w:r w:rsidRPr="003015CD">
        <w:rPr>
          <w:rFonts w:asciiTheme="majorHAnsi" w:hAnsiTheme="majorHAnsi" w:cstheme="majorHAnsi"/>
          <w:color w:val="000000" w:themeColor="text1"/>
        </w:rPr>
        <w:t>were any legal obligations for the study followed?</w:t>
      </w:r>
    </w:p>
    <w:p w14:paraId="607F60D5" w14:textId="77777777" w:rsidR="00E2474D" w:rsidRPr="003015CD" w:rsidRDefault="00E2474D" w:rsidP="00E2474D">
      <w:pPr>
        <w:pStyle w:val="Text-Indent"/>
        <w:ind w:left="0"/>
        <w:jc w:val="both"/>
        <w:rPr>
          <w:rFonts w:asciiTheme="majorHAnsi" w:hAnsiTheme="majorHAnsi" w:cstheme="majorHAnsi"/>
          <w:color w:val="000000" w:themeColor="text1"/>
        </w:rPr>
      </w:pPr>
    </w:p>
    <w:p w14:paraId="6EF23F4B" w14:textId="1F8DBFE9" w:rsidR="00E2474D" w:rsidRPr="003015CD" w:rsidRDefault="00E2474D" w:rsidP="00B67DA1">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Please see Section 13 </w:t>
      </w:r>
      <w:r w:rsidR="00962016" w:rsidRPr="003015CD">
        <w:rPr>
          <w:rFonts w:asciiTheme="majorHAnsi" w:hAnsiTheme="majorHAnsi" w:cstheme="majorHAnsi"/>
          <w:color w:val="000000" w:themeColor="text1"/>
        </w:rPr>
        <w:t>for further information on PMCF studies.</w:t>
      </w:r>
    </w:p>
    <w:p w14:paraId="73B88F10" w14:textId="77777777" w:rsidR="004171CC" w:rsidRPr="003015CD" w:rsidRDefault="004171CC" w:rsidP="00081885">
      <w:pPr>
        <w:pStyle w:val="Text-Indent"/>
        <w:ind w:left="0"/>
        <w:jc w:val="both"/>
        <w:rPr>
          <w:rFonts w:asciiTheme="majorHAnsi" w:hAnsiTheme="majorHAnsi" w:cstheme="majorHAnsi"/>
          <w:color w:val="000000" w:themeColor="text1"/>
        </w:rPr>
      </w:pPr>
    </w:p>
    <w:p w14:paraId="0A555DBD" w14:textId="77777777" w:rsidR="004171CC" w:rsidRPr="003015CD" w:rsidRDefault="004171CC" w:rsidP="00081885">
      <w:pPr>
        <w:pStyle w:val="Text-Indent"/>
        <w:ind w:left="0"/>
        <w:jc w:val="both"/>
        <w:rPr>
          <w:rFonts w:asciiTheme="majorHAnsi" w:hAnsiTheme="majorHAnsi" w:cstheme="majorHAnsi"/>
          <w:color w:val="000000" w:themeColor="text1"/>
          <w:u w:val="single"/>
        </w:rPr>
      </w:pPr>
      <w:r w:rsidRPr="003015CD">
        <w:rPr>
          <w:rFonts w:asciiTheme="majorHAnsi" w:hAnsiTheme="majorHAnsi" w:cstheme="majorHAnsi"/>
          <w:color w:val="000000" w:themeColor="text1"/>
          <w:u w:val="single"/>
        </w:rPr>
        <w:t>Registries</w:t>
      </w:r>
    </w:p>
    <w:p w14:paraId="16E533DF" w14:textId="40A2840B"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For registries, the activity, coverage, completeness and accuracy of the data should be assessed. To do this, the structures and methods used by the registry and the suitability of the data source should be considered. An important consideration is if the source of the information is a registry-based study, a device registry, or a patient registry. A registry-based study is an investigation of a research question or hypothesis using data from an existing registry.  Registry-based studies may have a more restricted scope of data collection (which will be defined by the research question and objective) than the available data set in a device registry, and the ability of the registry-based study to collect all relevant data should be carefully considered. Data from device registries, case series, retrospective analyses of patient dossiers, and other use data can be useful sources of information when conducting an evaluation of the real-world use of a device. However, care is needed when using these sources, as the retrieval of information about outcomes may be incomplete and unreliable. </w:t>
      </w:r>
    </w:p>
    <w:p w14:paraId="54C42670" w14:textId="77777777" w:rsidR="002A1CC3" w:rsidRPr="003015CD" w:rsidRDefault="002A1CC3" w:rsidP="002A1CC3">
      <w:pPr>
        <w:pStyle w:val="Text-Indent"/>
        <w:suppressLineNumbers/>
        <w:ind w:left="0"/>
        <w:jc w:val="both"/>
        <w:rPr>
          <w:rFonts w:asciiTheme="majorHAnsi" w:hAnsiTheme="majorHAnsi" w:cstheme="majorBidi"/>
          <w:u w:val="single"/>
        </w:rPr>
      </w:pPr>
      <w:r w:rsidRPr="003015CD">
        <w:rPr>
          <w:rFonts w:asciiTheme="majorHAnsi" w:hAnsiTheme="majorHAnsi" w:cstheme="majorBidi"/>
          <w:u w:val="single"/>
        </w:rPr>
        <w:t>Surveys</w:t>
      </w:r>
    </w:p>
    <w:p w14:paraId="5A4B6C2B" w14:textId="73BCC39D" w:rsidR="002A1CC3" w:rsidRPr="003015CD" w:rsidRDefault="002A1CC3" w:rsidP="002A1CC3">
      <w:pPr>
        <w:pStyle w:val="Text-Indent"/>
        <w:ind w:left="0"/>
        <w:jc w:val="both"/>
        <w:rPr>
          <w:rFonts w:asciiTheme="majorHAnsi" w:hAnsiTheme="majorHAnsi" w:cstheme="majorHAnsi"/>
          <w:u w:val="single"/>
        </w:rPr>
      </w:pPr>
      <w:r w:rsidRPr="003015CD">
        <w:rPr>
          <w:rFonts w:asciiTheme="majorHAnsi" w:hAnsiTheme="majorHAnsi" w:cstheme="majorBidi"/>
        </w:rPr>
        <w:t xml:space="preserve">The design of surveys should be assessed with well executed, statistically valid surveys that have clear and focused objectives and endpoints considered to produce the most robust evidence. High quality surveys should collect information at a case specific level (as opposed to general use of a device) and provide specific information on the safety and performance of the device, rather than </w:t>
      </w:r>
      <w:r w:rsidR="005D2F03" w:rsidRPr="003015CD">
        <w:rPr>
          <w:rFonts w:asciiTheme="majorHAnsi" w:hAnsiTheme="majorHAnsi" w:cstheme="majorBidi"/>
        </w:rPr>
        <w:t>on</w:t>
      </w:r>
      <w:r w:rsidRPr="003015CD">
        <w:rPr>
          <w:rFonts w:asciiTheme="majorHAnsi" w:hAnsiTheme="majorHAnsi" w:cstheme="majorBidi"/>
        </w:rPr>
        <w:t xml:space="preserve"> general usability</w:t>
      </w:r>
      <w:r w:rsidRPr="003015CD">
        <w:rPr>
          <w:rStyle w:val="Appelnotedebasdep"/>
          <w:rFonts w:asciiTheme="majorHAnsi" w:hAnsiTheme="majorHAnsi" w:cstheme="majorBidi"/>
        </w:rPr>
        <w:footnoteReference w:id="54"/>
      </w:r>
      <w:r w:rsidRPr="003015CD">
        <w:rPr>
          <w:rFonts w:asciiTheme="majorHAnsi" w:hAnsiTheme="majorHAnsi" w:cstheme="majorBidi"/>
        </w:rPr>
        <w:t>.</w:t>
      </w:r>
    </w:p>
    <w:p w14:paraId="2F3AFAE8" w14:textId="77777777" w:rsidR="002A1CC3" w:rsidRPr="003015CD" w:rsidRDefault="002A1CC3" w:rsidP="00081885">
      <w:pPr>
        <w:pStyle w:val="Text-Indent"/>
        <w:ind w:left="0"/>
        <w:jc w:val="both"/>
        <w:rPr>
          <w:rFonts w:asciiTheme="majorHAnsi" w:hAnsiTheme="majorHAnsi" w:cstheme="majorHAnsi"/>
          <w:color w:val="000000" w:themeColor="text1"/>
          <w:u w:val="single"/>
        </w:rPr>
      </w:pPr>
    </w:p>
    <w:p w14:paraId="7203A93B" w14:textId="08FCD4B1" w:rsidR="004171CC" w:rsidRPr="003015CD" w:rsidRDefault="004171CC" w:rsidP="00081885">
      <w:pPr>
        <w:pStyle w:val="Text-Indent"/>
        <w:ind w:left="0"/>
        <w:jc w:val="both"/>
        <w:rPr>
          <w:rFonts w:asciiTheme="majorHAnsi" w:hAnsiTheme="majorHAnsi" w:cstheme="majorHAnsi"/>
          <w:color w:val="000000" w:themeColor="text1"/>
          <w:u w:val="single"/>
        </w:rPr>
      </w:pPr>
      <w:r w:rsidRPr="003015CD">
        <w:rPr>
          <w:rFonts w:asciiTheme="majorHAnsi" w:hAnsiTheme="majorHAnsi" w:cstheme="majorHAnsi"/>
          <w:color w:val="000000" w:themeColor="text1"/>
          <w:u w:val="single"/>
        </w:rPr>
        <w:t>Reactive PMS, vigilance, and other post</w:t>
      </w:r>
      <w:r w:rsidR="00A6495A" w:rsidRPr="003015CD">
        <w:rPr>
          <w:rFonts w:asciiTheme="majorHAnsi" w:hAnsiTheme="majorHAnsi" w:cstheme="majorHAnsi"/>
          <w:color w:val="000000" w:themeColor="text1"/>
          <w:u w:val="single"/>
        </w:rPr>
        <w:t>-</w:t>
      </w:r>
      <w:r w:rsidRPr="003015CD">
        <w:rPr>
          <w:rFonts w:asciiTheme="majorHAnsi" w:hAnsiTheme="majorHAnsi" w:cstheme="majorHAnsi"/>
          <w:color w:val="000000" w:themeColor="text1"/>
          <w:u w:val="single"/>
        </w:rPr>
        <w:t>market data</w:t>
      </w:r>
    </w:p>
    <w:p w14:paraId="1180379E" w14:textId="4103A04B" w:rsidR="004171CC" w:rsidRPr="003015CD" w:rsidRDefault="004171CC" w:rsidP="00081885">
      <w:pPr>
        <w:pStyle w:val="Text-Indent"/>
        <w:ind w:left="0"/>
        <w:jc w:val="both"/>
        <w:rPr>
          <w:rFonts w:asciiTheme="majorHAnsi" w:hAnsiTheme="majorHAnsi" w:cstheme="majorHAnsi"/>
          <w:color w:val="000000" w:themeColor="text1"/>
          <w:lang w:eastAsia="de-CH"/>
        </w:rPr>
      </w:pPr>
      <w:r w:rsidRPr="003015CD">
        <w:rPr>
          <w:rFonts w:asciiTheme="majorHAnsi" w:hAnsiTheme="majorHAnsi" w:cstheme="majorHAnsi"/>
          <w:color w:val="000000" w:themeColor="text1"/>
        </w:rPr>
        <w:t>Evaluation of reactive PMS, vigilance, and other post</w:t>
      </w:r>
      <w:r w:rsidR="00A6495A"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market data should consider that under-reporting or lack of reporting of side-effects or complications by users is common. Therefore, PMS and vigilance systems do not typically deliver adequate information about the true frequency of expected undesirable side-effects and complications</w:t>
      </w:r>
      <w:r w:rsidRPr="003015CD">
        <w:rPr>
          <w:rStyle w:val="Appelnotedebasdep"/>
          <w:rFonts w:asciiTheme="majorHAnsi" w:hAnsiTheme="majorHAnsi" w:cstheme="majorHAnsi"/>
          <w:color w:val="000000" w:themeColor="text1"/>
        </w:rPr>
        <w:footnoteReference w:id="55"/>
      </w:r>
      <w:r w:rsidRPr="003015CD">
        <w:rPr>
          <w:rFonts w:asciiTheme="majorHAnsi" w:hAnsiTheme="majorHAnsi" w:cstheme="majorHAnsi"/>
          <w:color w:val="000000" w:themeColor="text1"/>
        </w:rPr>
        <w:t xml:space="preserve">. Such systems are most useful for identification of unexpected risks. </w:t>
      </w:r>
      <w:r w:rsidRPr="003015CD">
        <w:rPr>
          <w:rFonts w:asciiTheme="majorHAnsi" w:hAnsiTheme="majorHAnsi" w:cstheme="majorHAnsi"/>
          <w:color w:val="000000" w:themeColor="text1"/>
          <w:lang w:eastAsia="de-CH"/>
        </w:rPr>
        <w:t>Reports of clinical experience that are not adequately supported by data, such as anecdotal accounts of experiences or opinions, may contribute to the evaluation (e.g. for the identification of unexpected risks) but should not be used as proof of adequate clinical performance and clinical safety of the device.</w:t>
      </w:r>
    </w:p>
    <w:p w14:paraId="7EE2738C" w14:textId="77777777" w:rsidR="004171CC" w:rsidRPr="003015CD" w:rsidRDefault="004171CC" w:rsidP="00081885">
      <w:pPr>
        <w:pStyle w:val="Text-Indent"/>
        <w:jc w:val="both"/>
        <w:rPr>
          <w:rFonts w:asciiTheme="majorHAnsi" w:hAnsiTheme="majorHAnsi" w:cstheme="majorHAnsi"/>
          <w:color w:val="000000" w:themeColor="text1"/>
          <w:lang w:eastAsia="de-CH"/>
        </w:rPr>
      </w:pPr>
    </w:p>
    <w:p w14:paraId="5077C92E" w14:textId="0BC8D3CB"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135" w:name="_Toc446499043"/>
      <w:bookmarkStart w:id="136" w:name="_Toc236912906"/>
      <w:r w:rsidRPr="003015CD">
        <w:rPr>
          <w:rFonts w:asciiTheme="majorHAnsi" w:hAnsiTheme="majorHAnsi" w:cstheme="majorHAnsi"/>
          <w:color w:val="000000" w:themeColor="text1"/>
        </w:rPr>
        <w:t>Assessment of the relevance of a data set for the clinical evaluation</w:t>
      </w:r>
      <w:bookmarkEnd w:id="135"/>
      <w:bookmarkEnd w:id="136"/>
      <w:r w:rsidRPr="003015CD">
        <w:rPr>
          <w:rFonts w:asciiTheme="majorHAnsi" w:hAnsiTheme="majorHAnsi" w:cstheme="majorHAnsi"/>
          <w:color w:val="000000" w:themeColor="text1"/>
        </w:rPr>
        <w:t xml:space="preserve"> </w:t>
      </w:r>
    </w:p>
    <w:p w14:paraId="1E6DC55A" w14:textId="45D5DF5B"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Assessing the relevance of a data set helps the evaluator to determine whether the findings and conclusions in the data set are: </w:t>
      </w:r>
    </w:p>
    <w:p w14:paraId="7438C6CA" w14:textId="77777777" w:rsidR="004171CC" w:rsidRPr="003015CD" w:rsidRDefault="004171CC"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relevant and applicable to the device and its indications, </w:t>
      </w:r>
    </w:p>
    <w:p w14:paraId="412F1CF5" w14:textId="77777777" w:rsidR="004171CC" w:rsidRPr="003015CD" w:rsidRDefault="004171CC"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representative of the intended population per the device’s intended use, and</w:t>
      </w:r>
    </w:p>
    <w:p w14:paraId="4776BA4C" w14:textId="77777777" w:rsidR="004171CC" w:rsidRPr="003015CD" w:rsidRDefault="004171CC"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representative of the ‘real-world’ / expected use of the device in standard clinical practice, per the device’s intended use.  </w:t>
      </w:r>
    </w:p>
    <w:p w14:paraId="13483A30" w14:textId="31884D9E"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bCs/>
          <w:color w:val="000000" w:themeColor="text1"/>
        </w:rPr>
        <w:t xml:space="preserve">Evaluators may </w:t>
      </w:r>
      <w:r w:rsidR="005D2F03" w:rsidRPr="003015CD">
        <w:rPr>
          <w:rFonts w:asciiTheme="majorHAnsi" w:hAnsiTheme="majorHAnsi" w:cstheme="majorHAnsi"/>
          <w:bCs/>
          <w:color w:val="000000" w:themeColor="text1"/>
        </w:rPr>
        <w:t>use</w:t>
      </w:r>
      <w:r w:rsidRPr="003015CD">
        <w:rPr>
          <w:rFonts w:asciiTheme="majorHAnsi" w:hAnsiTheme="majorHAnsi" w:cstheme="majorHAnsi"/>
          <w:bCs/>
          <w:color w:val="000000" w:themeColor="text1"/>
        </w:rPr>
        <w:t xml:space="preserve"> validated critical appraisal tools and resources appropriate to the data set under appraisal, as described in section 9.2, which should aid in determining relevance. Table 1 shows aspects that should be included when determining if, and in what respect, data are relevant to the clinical evaluation of the device in question. For data originating outside the EU, evaluators should ensure it has been justified that the data is relevant and applicable to the EU population and EU standard clinical practice and is representative of the intended normal conditions of use of the device in the target patient population.</w:t>
      </w:r>
    </w:p>
    <w:p w14:paraId="54ED04ED" w14:textId="77777777" w:rsidR="004171CC" w:rsidRPr="003015CD" w:rsidRDefault="004171CC" w:rsidP="00081885">
      <w:pPr>
        <w:jc w:val="both"/>
        <w:rPr>
          <w:rFonts w:asciiTheme="majorHAnsi" w:hAnsiTheme="majorHAnsi" w:cstheme="majorHAnsi"/>
          <w:color w:val="000000" w:themeColor="text1"/>
        </w:rPr>
      </w:pPr>
    </w:p>
    <w:p w14:paraId="23E2C87F" w14:textId="2EE0F8CD" w:rsidR="004171CC" w:rsidRPr="003015CD" w:rsidRDefault="004171CC" w:rsidP="00081885">
      <w:pPr>
        <w:pStyle w:val="Lgende"/>
        <w:keepNext/>
        <w:jc w:val="both"/>
      </w:pPr>
      <w:r w:rsidRPr="003015CD">
        <w:t xml:space="preserve">Table </w:t>
      </w:r>
      <w:r w:rsidRPr="003015CD">
        <w:fldChar w:fldCharType="begin"/>
      </w:r>
      <w:r w:rsidRPr="003015CD">
        <w:instrText xml:space="preserve"> SEQ Table \* ARABIC </w:instrText>
      </w:r>
      <w:r w:rsidRPr="003015CD">
        <w:fldChar w:fldCharType="separate"/>
      </w:r>
      <w:r w:rsidR="001D11FB" w:rsidRPr="003015CD">
        <w:t>1</w:t>
      </w:r>
      <w:r w:rsidRPr="003015CD">
        <w:fldChar w:fldCharType="end"/>
      </w:r>
      <w:r w:rsidRPr="003015CD">
        <w:t>. Aspects to Determine the Relevance of a Data Set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20"/>
      </w:tblGrid>
      <w:tr w:rsidR="004171CC" w:rsidRPr="003015CD" w14:paraId="66DF5BBD" w14:textId="77777777" w:rsidTr="00B30DA4">
        <w:tc>
          <w:tcPr>
            <w:tcW w:w="3114" w:type="dxa"/>
            <w:shd w:val="clear" w:color="auto" w:fill="D9D9D9"/>
          </w:tcPr>
          <w:p w14:paraId="4E328627" w14:textId="77777777" w:rsidR="004171CC" w:rsidRPr="003015CD" w:rsidRDefault="004171CC" w:rsidP="00081885">
            <w:pPr>
              <w:keepNext/>
              <w:keepLines/>
              <w:jc w:val="both"/>
              <w:rPr>
                <w:rFonts w:asciiTheme="majorHAnsi" w:hAnsiTheme="majorHAnsi" w:cstheme="majorHAnsi"/>
                <w:b/>
                <w:color w:val="000000" w:themeColor="text1"/>
                <w:sz w:val="20"/>
              </w:rPr>
            </w:pPr>
            <w:r w:rsidRPr="003015CD">
              <w:rPr>
                <w:rFonts w:asciiTheme="majorHAnsi" w:hAnsiTheme="majorHAnsi" w:cstheme="majorHAnsi"/>
                <w:b/>
                <w:color w:val="000000" w:themeColor="text1"/>
                <w:sz w:val="20"/>
              </w:rPr>
              <w:t xml:space="preserve">Description </w:t>
            </w:r>
          </w:p>
        </w:tc>
        <w:tc>
          <w:tcPr>
            <w:tcW w:w="6520" w:type="dxa"/>
            <w:shd w:val="clear" w:color="auto" w:fill="D9D9D9"/>
          </w:tcPr>
          <w:p w14:paraId="03517418" w14:textId="77777777" w:rsidR="004171CC" w:rsidRPr="003015CD" w:rsidRDefault="004171CC" w:rsidP="00081885">
            <w:pPr>
              <w:keepNext/>
              <w:keepLines/>
              <w:jc w:val="both"/>
              <w:rPr>
                <w:rFonts w:asciiTheme="majorHAnsi" w:hAnsiTheme="majorHAnsi" w:cstheme="majorHAnsi"/>
                <w:b/>
                <w:bCs/>
                <w:color w:val="000000" w:themeColor="text1"/>
                <w:sz w:val="20"/>
              </w:rPr>
            </w:pPr>
            <w:r w:rsidRPr="003015CD">
              <w:rPr>
                <w:rFonts w:asciiTheme="majorHAnsi" w:hAnsiTheme="majorHAnsi" w:cstheme="majorHAnsi"/>
                <w:b/>
                <w:color w:val="000000" w:themeColor="text1"/>
                <w:sz w:val="20"/>
              </w:rPr>
              <w:t>Examples</w:t>
            </w:r>
          </w:p>
        </w:tc>
      </w:tr>
      <w:tr w:rsidR="004171CC" w:rsidRPr="003015CD" w14:paraId="1688F93F" w14:textId="77777777" w:rsidTr="00B30DA4">
        <w:tc>
          <w:tcPr>
            <w:tcW w:w="3114" w:type="dxa"/>
          </w:tcPr>
          <w:p w14:paraId="21CF4325" w14:textId="77777777" w:rsidR="004171CC" w:rsidRPr="003015CD" w:rsidRDefault="004171CC" w:rsidP="00081885">
            <w:pPr>
              <w:keepNext/>
              <w:keepLines/>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To what extent are the data generated representative of the device under evaluation?</w:t>
            </w:r>
          </w:p>
        </w:tc>
        <w:tc>
          <w:tcPr>
            <w:tcW w:w="6520" w:type="dxa"/>
          </w:tcPr>
          <w:p w14:paraId="274FB8FC" w14:textId="77777777" w:rsidR="004171CC" w:rsidRPr="003015CD" w:rsidRDefault="004171CC" w:rsidP="00081885">
            <w:pPr>
              <w:keepNext/>
              <w:keepLines/>
              <w:numPr>
                <w:ilvl w:val="0"/>
                <w:numId w:val="12"/>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device under evaluation</w:t>
            </w:r>
          </w:p>
          <w:p w14:paraId="38786D85" w14:textId="77777777" w:rsidR="004171CC" w:rsidRPr="003015CD" w:rsidRDefault="004171CC" w:rsidP="00081885">
            <w:pPr>
              <w:keepNext/>
              <w:keepLines/>
              <w:numPr>
                <w:ilvl w:val="0"/>
                <w:numId w:val="12"/>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equivalent device (per MDR, see MDCG 2020-5)</w:t>
            </w:r>
          </w:p>
          <w:p w14:paraId="7F0E5636" w14:textId="77777777" w:rsidR="004171CC" w:rsidRPr="003015CD" w:rsidRDefault="004171CC" w:rsidP="00081885">
            <w:pPr>
              <w:keepNext/>
              <w:keepLines/>
              <w:numPr>
                <w:ilvl w:val="0"/>
                <w:numId w:val="12"/>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other devices and therapeutic alternatives</w:t>
            </w:r>
          </w:p>
          <w:p w14:paraId="640E6015" w14:textId="77777777" w:rsidR="004171CC" w:rsidRPr="003015CD" w:rsidRDefault="004171CC" w:rsidP="00081885">
            <w:pPr>
              <w:keepNext/>
              <w:keepLines/>
              <w:numPr>
                <w:ilvl w:val="0"/>
                <w:numId w:val="12"/>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data concerning the medical conditions that are managed with the device</w:t>
            </w:r>
          </w:p>
        </w:tc>
      </w:tr>
      <w:tr w:rsidR="004171CC" w:rsidRPr="003015CD" w14:paraId="673F691E" w14:textId="77777777" w:rsidTr="00B30DA4">
        <w:tc>
          <w:tcPr>
            <w:tcW w:w="3114" w:type="dxa"/>
          </w:tcPr>
          <w:p w14:paraId="1FCEA3C8" w14:textId="77777777" w:rsidR="004171CC" w:rsidRPr="003015CD" w:rsidRDefault="004171CC" w:rsidP="00081885">
            <w:p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What aspects relating to the device’s safety and performance are covered?</w:t>
            </w:r>
          </w:p>
        </w:tc>
        <w:tc>
          <w:tcPr>
            <w:tcW w:w="6520" w:type="dxa"/>
          </w:tcPr>
          <w:p w14:paraId="556DE47B" w14:textId="2CC4C9D7" w:rsidR="004171CC" w:rsidRPr="003015CD" w:rsidRDefault="004171CC" w:rsidP="00081885">
            <w:pPr>
              <w:numPr>
                <w:ilvl w:val="0"/>
                <w:numId w:val="15"/>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performance data</w:t>
            </w:r>
          </w:p>
          <w:p w14:paraId="73E31EB1" w14:textId="147FFD79" w:rsidR="004171CC" w:rsidRPr="003015CD" w:rsidRDefault="004171CC" w:rsidP="00081885">
            <w:pPr>
              <w:numPr>
                <w:ilvl w:val="0"/>
                <w:numId w:val="12"/>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safety data</w:t>
            </w:r>
          </w:p>
          <w:p w14:paraId="6B1D6E99" w14:textId="77777777" w:rsidR="004171CC" w:rsidRPr="003015CD" w:rsidRDefault="004171CC" w:rsidP="00081885">
            <w:pPr>
              <w:numPr>
                <w:ilvl w:val="0"/>
                <w:numId w:val="12"/>
              </w:numPr>
              <w:jc w:val="both"/>
              <w:rPr>
                <w:rFonts w:asciiTheme="majorHAnsi" w:hAnsiTheme="majorHAnsi" w:cstheme="majorHAnsi"/>
                <w:bCs/>
                <w:color w:val="000000" w:themeColor="text1"/>
                <w:sz w:val="20"/>
              </w:rPr>
            </w:pPr>
            <w:r w:rsidRPr="003015CD">
              <w:rPr>
                <w:rFonts w:asciiTheme="majorHAnsi" w:hAnsiTheme="majorHAnsi" w:cstheme="majorHAnsi"/>
                <w:color w:val="000000" w:themeColor="text1"/>
                <w:sz w:val="20"/>
              </w:rPr>
              <w:t>claims</w:t>
            </w:r>
          </w:p>
          <w:p w14:paraId="6328DEFD" w14:textId="77777777" w:rsidR="004171CC" w:rsidRPr="003015CD" w:rsidRDefault="004171CC" w:rsidP="00081885">
            <w:pPr>
              <w:numPr>
                <w:ilvl w:val="0"/>
                <w:numId w:val="15"/>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 xml:space="preserve">identification of hazards </w:t>
            </w:r>
          </w:p>
          <w:p w14:paraId="31FF700B" w14:textId="77777777" w:rsidR="004171CC" w:rsidRPr="003015CD" w:rsidRDefault="004171CC" w:rsidP="00081885">
            <w:pPr>
              <w:numPr>
                <w:ilvl w:val="0"/>
                <w:numId w:val="15"/>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estimation and management of risks</w:t>
            </w:r>
          </w:p>
          <w:p w14:paraId="7DCC1370" w14:textId="0EE5C189" w:rsidR="004171CC" w:rsidRPr="003015CD" w:rsidRDefault="004171CC" w:rsidP="00081885">
            <w:pPr>
              <w:numPr>
                <w:ilvl w:val="0"/>
                <w:numId w:val="12"/>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determination and justification of criteria for the evaluation of the risk</w:t>
            </w:r>
            <w:r w:rsidR="00BD650A" w:rsidRPr="003015CD">
              <w:rPr>
                <w:rFonts w:asciiTheme="majorHAnsi" w:hAnsiTheme="majorHAnsi" w:cstheme="majorHAnsi"/>
                <w:color w:val="000000" w:themeColor="text1"/>
                <w:sz w:val="20"/>
              </w:rPr>
              <w:t>-</w:t>
            </w:r>
            <w:r w:rsidRPr="003015CD">
              <w:rPr>
                <w:rFonts w:asciiTheme="majorHAnsi" w:hAnsiTheme="majorHAnsi" w:cstheme="majorHAnsi"/>
                <w:color w:val="000000" w:themeColor="text1"/>
                <w:sz w:val="20"/>
              </w:rPr>
              <w:t xml:space="preserve">benefit relationship </w:t>
            </w:r>
          </w:p>
          <w:p w14:paraId="19129D63" w14:textId="77777777" w:rsidR="004171CC" w:rsidRPr="003015CD" w:rsidRDefault="004171CC" w:rsidP="00081885">
            <w:pPr>
              <w:numPr>
                <w:ilvl w:val="0"/>
                <w:numId w:val="12"/>
              </w:numPr>
              <w:jc w:val="both"/>
              <w:rPr>
                <w:rFonts w:asciiTheme="majorHAnsi" w:hAnsiTheme="majorHAnsi" w:cstheme="majorHAnsi"/>
                <w:bCs/>
                <w:color w:val="000000" w:themeColor="text1"/>
                <w:sz w:val="20"/>
              </w:rPr>
            </w:pPr>
            <w:r w:rsidRPr="003015CD">
              <w:rPr>
                <w:rFonts w:asciiTheme="majorHAnsi" w:hAnsiTheme="majorHAnsi" w:cstheme="majorHAnsi"/>
                <w:color w:val="000000" w:themeColor="text1"/>
                <w:sz w:val="20"/>
              </w:rPr>
              <w:t>determination and justification of criteria for the evaluation of acceptability of undesirable side-effects</w:t>
            </w:r>
          </w:p>
          <w:p w14:paraId="1A87CFE6" w14:textId="77777777" w:rsidR="004171CC" w:rsidRPr="003015CD" w:rsidRDefault="004171CC" w:rsidP="00081885">
            <w:pPr>
              <w:numPr>
                <w:ilvl w:val="0"/>
                <w:numId w:val="12"/>
              </w:numPr>
              <w:jc w:val="both"/>
              <w:rPr>
                <w:rFonts w:asciiTheme="majorHAnsi" w:hAnsiTheme="majorHAnsi" w:cstheme="majorHAnsi"/>
                <w:b/>
                <w:color w:val="000000" w:themeColor="text1"/>
                <w:sz w:val="20"/>
              </w:rPr>
            </w:pPr>
            <w:r w:rsidRPr="003015CD">
              <w:rPr>
                <w:rFonts w:asciiTheme="majorHAnsi" w:hAnsiTheme="majorHAnsi" w:cstheme="majorHAnsi"/>
                <w:color w:val="000000" w:themeColor="text1"/>
                <w:sz w:val="20"/>
              </w:rPr>
              <w:t>justification of the validity of surrogate endpoints</w:t>
            </w:r>
          </w:p>
        </w:tc>
      </w:tr>
      <w:tr w:rsidR="004171CC" w:rsidRPr="003015CD" w14:paraId="48A29090" w14:textId="77777777" w:rsidTr="00B30DA4">
        <w:tc>
          <w:tcPr>
            <w:tcW w:w="3114" w:type="dxa"/>
            <w:tcBorders>
              <w:bottom w:val="single" w:sz="4" w:space="0" w:color="auto"/>
            </w:tcBorders>
          </w:tcPr>
          <w:p w14:paraId="06B09771" w14:textId="77777777" w:rsidR="004171CC" w:rsidRPr="003015CD" w:rsidRDefault="004171CC" w:rsidP="00081885">
            <w:p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Are the data relevant to the intended purpose of the device or to claims about the device?</w:t>
            </w:r>
          </w:p>
        </w:tc>
        <w:tc>
          <w:tcPr>
            <w:tcW w:w="6520" w:type="dxa"/>
            <w:tcBorders>
              <w:bottom w:val="single" w:sz="4" w:space="0" w:color="auto"/>
            </w:tcBorders>
          </w:tcPr>
          <w:p w14:paraId="3FAE80F9" w14:textId="77777777" w:rsidR="004171CC" w:rsidRPr="003015CD" w:rsidRDefault="004171CC" w:rsidP="00081885">
            <w:pPr>
              <w:numPr>
                <w:ilvl w:val="0"/>
                <w:numId w:val="13"/>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 xml:space="preserve">representative of the entire intended purpose with all patient populations and all claims foreseen for the device under evaluation </w:t>
            </w:r>
          </w:p>
          <w:p w14:paraId="2496AFC5" w14:textId="77777777" w:rsidR="004171CC" w:rsidRPr="003015CD" w:rsidRDefault="004171CC" w:rsidP="00081885">
            <w:pPr>
              <w:numPr>
                <w:ilvl w:val="0"/>
                <w:numId w:val="13"/>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concerns specific models/ sizes/ settings, or concerns specific aspects of the intended purpose or of claims</w:t>
            </w:r>
          </w:p>
          <w:p w14:paraId="43E1CDD7" w14:textId="77777777" w:rsidR="004171CC" w:rsidRPr="003015CD" w:rsidRDefault="004171CC" w:rsidP="00081885">
            <w:pPr>
              <w:numPr>
                <w:ilvl w:val="0"/>
                <w:numId w:val="13"/>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does not concern the intended purpose or claims</w:t>
            </w:r>
          </w:p>
        </w:tc>
      </w:tr>
      <w:tr w:rsidR="004171CC" w:rsidRPr="003015CD" w14:paraId="12B8818A" w14:textId="77777777" w:rsidTr="00B30DA4">
        <w:tc>
          <w:tcPr>
            <w:tcW w:w="3114" w:type="dxa"/>
            <w:tcBorders>
              <w:bottom w:val="single" w:sz="4" w:space="0" w:color="auto"/>
            </w:tcBorders>
          </w:tcPr>
          <w:p w14:paraId="1F90CDE4" w14:textId="77777777" w:rsidR="004171CC" w:rsidRPr="003015CD" w:rsidRDefault="004171CC" w:rsidP="00081885">
            <w:p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Are the data relevant to a specific:</w:t>
            </w:r>
          </w:p>
        </w:tc>
        <w:tc>
          <w:tcPr>
            <w:tcW w:w="6520" w:type="dxa"/>
            <w:tcBorders>
              <w:bottom w:val="single" w:sz="4" w:space="0" w:color="auto"/>
            </w:tcBorders>
          </w:tcPr>
          <w:p w14:paraId="113754AF" w14:textId="77777777" w:rsidR="004171CC" w:rsidRPr="003015CD" w:rsidRDefault="004171CC" w:rsidP="00081885">
            <w:pPr>
              <w:jc w:val="both"/>
              <w:rPr>
                <w:rFonts w:asciiTheme="majorHAnsi" w:hAnsiTheme="majorHAnsi" w:cstheme="majorHAnsi"/>
                <w:color w:val="000000" w:themeColor="text1"/>
                <w:sz w:val="20"/>
              </w:rPr>
            </w:pPr>
          </w:p>
        </w:tc>
      </w:tr>
      <w:tr w:rsidR="004171CC" w:rsidRPr="003015CD" w14:paraId="00D9A989" w14:textId="77777777" w:rsidTr="00B30DA4">
        <w:tc>
          <w:tcPr>
            <w:tcW w:w="3114" w:type="dxa"/>
            <w:tcBorders>
              <w:top w:val="single" w:sz="4" w:space="0" w:color="auto"/>
              <w:bottom w:val="single" w:sz="4" w:space="0" w:color="A6A6A6"/>
            </w:tcBorders>
          </w:tcPr>
          <w:p w14:paraId="4B4E34F1" w14:textId="77777777" w:rsidR="004171CC" w:rsidRPr="003015CD" w:rsidRDefault="004171CC" w:rsidP="00081885">
            <w:pPr>
              <w:numPr>
                <w:ilvl w:val="0"/>
                <w:numId w:val="14"/>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model, size, or setting of the device?</w:t>
            </w:r>
          </w:p>
        </w:tc>
        <w:tc>
          <w:tcPr>
            <w:tcW w:w="6520" w:type="dxa"/>
            <w:tcBorders>
              <w:top w:val="single" w:sz="4" w:space="0" w:color="auto"/>
              <w:bottom w:val="single" w:sz="4" w:space="0" w:color="A6A6A6"/>
            </w:tcBorders>
          </w:tcPr>
          <w:p w14:paraId="1251E908" w14:textId="77777777" w:rsidR="004171CC" w:rsidRPr="003015CD" w:rsidRDefault="004171CC" w:rsidP="00081885">
            <w:pPr>
              <w:numPr>
                <w:ilvl w:val="0"/>
                <w:numId w:val="15"/>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smallest / intermediate / largest size</w:t>
            </w:r>
          </w:p>
          <w:p w14:paraId="6B658576" w14:textId="77777777" w:rsidR="004171CC" w:rsidRPr="003015CD" w:rsidRDefault="004171CC" w:rsidP="00081885">
            <w:pPr>
              <w:numPr>
                <w:ilvl w:val="0"/>
                <w:numId w:val="15"/>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lowest / intermediate / highest dose</w:t>
            </w:r>
          </w:p>
          <w:p w14:paraId="30BDEA7E" w14:textId="77777777" w:rsidR="004171CC" w:rsidRPr="003015CD" w:rsidRDefault="004171CC" w:rsidP="00081885">
            <w:pPr>
              <w:numPr>
                <w:ilvl w:val="0"/>
                <w:numId w:val="15"/>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etc.</w:t>
            </w:r>
          </w:p>
        </w:tc>
      </w:tr>
      <w:tr w:rsidR="004171CC" w:rsidRPr="003015CD" w14:paraId="36D0EA8F" w14:textId="77777777" w:rsidTr="00B30DA4">
        <w:tc>
          <w:tcPr>
            <w:tcW w:w="3114" w:type="dxa"/>
            <w:tcBorders>
              <w:top w:val="single" w:sz="4" w:space="0" w:color="A6A6A6"/>
              <w:bottom w:val="single" w:sz="4" w:space="0" w:color="A6A6A6"/>
            </w:tcBorders>
          </w:tcPr>
          <w:p w14:paraId="3949A45E"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user group?</w:t>
            </w:r>
          </w:p>
        </w:tc>
        <w:tc>
          <w:tcPr>
            <w:tcW w:w="6520" w:type="dxa"/>
            <w:tcBorders>
              <w:top w:val="single" w:sz="4" w:space="0" w:color="A6A6A6"/>
              <w:bottom w:val="single" w:sz="4" w:space="0" w:color="A6A6A6"/>
            </w:tcBorders>
          </w:tcPr>
          <w:p w14:paraId="59337B72"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specialists</w:t>
            </w:r>
          </w:p>
          <w:p w14:paraId="2713ACCB"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general practitioners</w:t>
            </w:r>
          </w:p>
          <w:p w14:paraId="38D89C32"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nurses</w:t>
            </w:r>
          </w:p>
          <w:p w14:paraId="68ED09B2"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adult healthy lay persons</w:t>
            </w:r>
          </w:p>
          <w:p w14:paraId="6899E234"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disabled persons</w:t>
            </w:r>
          </w:p>
          <w:p w14:paraId="7287DE59"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children</w:t>
            </w:r>
          </w:p>
          <w:p w14:paraId="6169E707"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etc.</w:t>
            </w:r>
          </w:p>
        </w:tc>
      </w:tr>
      <w:tr w:rsidR="004171CC" w:rsidRPr="003015CD" w14:paraId="1B7D4EB7" w14:textId="77777777" w:rsidTr="00B30DA4">
        <w:tc>
          <w:tcPr>
            <w:tcW w:w="3114" w:type="dxa"/>
            <w:tcBorders>
              <w:top w:val="single" w:sz="4" w:space="0" w:color="A6A6A6"/>
              <w:bottom w:val="single" w:sz="4" w:space="0" w:color="A6A6A6"/>
            </w:tcBorders>
          </w:tcPr>
          <w:p w14:paraId="07C342D3"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indication (if applicable)?</w:t>
            </w:r>
          </w:p>
        </w:tc>
        <w:tc>
          <w:tcPr>
            <w:tcW w:w="6520" w:type="dxa"/>
            <w:tcBorders>
              <w:top w:val="single" w:sz="4" w:space="0" w:color="A6A6A6"/>
              <w:bottom w:val="single" w:sz="4" w:space="0" w:color="A6A6A6"/>
            </w:tcBorders>
          </w:tcPr>
          <w:p w14:paraId="68E74814"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migraine prophylaxis</w:t>
            </w:r>
          </w:p>
          <w:p w14:paraId="0BC526A6"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treatment of acute migraine</w:t>
            </w:r>
          </w:p>
          <w:p w14:paraId="256859B1"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rehabilitation after stroke</w:t>
            </w:r>
          </w:p>
          <w:p w14:paraId="2F45954C"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etc.</w:t>
            </w:r>
          </w:p>
        </w:tc>
      </w:tr>
      <w:tr w:rsidR="004171CC" w:rsidRPr="003015CD" w14:paraId="59992144" w14:textId="77777777" w:rsidTr="00B30DA4">
        <w:tc>
          <w:tcPr>
            <w:tcW w:w="3114" w:type="dxa"/>
            <w:tcBorders>
              <w:top w:val="single" w:sz="4" w:space="0" w:color="A6A6A6"/>
              <w:bottom w:val="single" w:sz="4" w:space="0" w:color="A6A6A6"/>
            </w:tcBorders>
          </w:tcPr>
          <w:p w14:paraId="31418E9C"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age group?</w:t>
            </w:r>
          </w:p>
        </w:tc>
        <w:tc>
          <w:tcPr>
            <w:tcW w:w="6520" w:type="dxa"/>
            <w:tcBorders>
              <w:top w:val="single" w:sz="4" w:space="0" w:color="A6A6A6"/>
              <w:bottom w:val="single" w:sz="4" w:space="0" w:color="A6A6A6"/>
            </w:tcBorders>
          </w:tcPr>
          <w:p w14:paraId="3B08BF21"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pre-term infants / neonates / children / adolescents / adults / old age</w:t>
            </w:r>
          </w:p>
        </w:tc>
      </w:tr>
      <w:tr w:rsidR="004171CC" w:rsidRPr="003015CD" w14:paraId="76881109" w14:textId="77777777" w:rsidTr="00B30DA4">
        <w:tc>
          <w:tcPr>
            <w:tcW w:w="3114" w:type="dxa"/>
            <w:tcBorders>
              <w:top w:val="single" w:sz="4" w:space="0" w:color="A6A6A6"/>
              <w:bottom w:val="single" w:sz="4" w:space="0" w:color="A6A6A6"/>
            </w:tcBorders>
          </w:tcPr>
          <w:p w14:paraId="629E0418"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sex?</w:t>
            </w:r>
          </w:p>
        </w:tc>
        <w:tc>
          <w:tcPr>
            <w:tcW w:w="6520" w:type="dxa"/>
            <w:tcBorders>
              <w:top w:val="single" w:sz="4" w:space="0" w:color="A6A6A6"/>
              <w:bottom w:val="single" w:sz="4" w:space="0" w:color="A6A6A6"/>
            </w:tcBorders>
          </w:tcPr>
          <w:p w14:paraId="630FF71D"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female/ male</w:t>
            </w:r>
          </w:p>
        </w:tc>
      </w:tr>
      <w:tr w:rsidR="004171CC" w:rsidRPr="003015CD" w14:paraId="6AAE2EE1" w14:textId="77777777" w:rsidTr="00B30DA4">
        <w:tc>
          <w:tcPr>
            <w:tcW w:w="3114" w:type="dxa"/>
            <w:tcBorders>
              <w:top w:val="single" w:sz="4" w:space="0" w:color="A6A6A6"/>
              <w:bottom w:val="single" w:sz="4" w:space="0" w:color="A6A6A6"/>
            </w:tcBorders>
          </w:tcPr>
          <w:p w14:paraId="5D028FFC"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type and severity of the medical condition?</w:t>
            </w:r>
          </w:p>
        </w:tc>
        <w:tc>
          <w:tcPr>
            <w:tcW w:w="6520" w:type="dxa"/>
            <w:tcBorders>
              <w:top w:val="single" w:sz="4" w:space="0" w:color="A6A6A6"/>
              <w:bottom w:val="single" w:sz="4" w:space="0" w:color="A6A6A6"/>
            </w:tcBorders>
          </w:tcPr>
          <w:p w14:paraId="465AB15B"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early / late stage</w:t>
            </w:r>
          </w:p>
          <w:p w14:paraId="2052BEBC"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mild / intermediate / serious form</w:t>
            </w:r>
          </w:p>
          <w:p w14:paraId="216C0180"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acute / chronic phase</w:t>
            </w:r>
          </w:p>
          <w:p w14:paraId="47823EC0"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etc.</w:t>
            </w:r>
          </w:p>
        </w:tc>
      </w:tr>
      <w:tr w:rsidR="004171CC" w:rsidRPr="003015CD" w14:paraId="795A0E31" w14:textId="77777777" w:rsidTr="00B30DA4">
        <w:tc>
          <w:tcPr>
            <w:tcW w:w="3114" w:type="dxa"/>
            <w:tcBorders>
              <w:top w:val="single" w:sz="4" w:space="0" w:color="A6A6A6"/>
            </w:tcBorders>
          </w:tcPr>
          <w:p w14:paraId="3749537E" w14:textId="77777777" w:rsidR="004171CC" w:rsidRPr="003015CD" w:rsidRDefault="004171CC" w:rsidP="00081885">
            <w:pPr>
              <w:numPr>
                <w:ilvl w:val="0"/>
                <w:numId w:val="16"/>
              </w:numPr>
              <w:jc w:val="both"/>
              <w:rPr>
                <w:rFonts w:asciiTheme="majorHAnsi" w:hAnsiTheme="majorHAnsi" w:cstheme="majorHAnsi"/>
                <w:b/>
                <w:bCs/>
                <w:color w:val="000000" w:themeColor="text1"/>
                <w:sz w:val="20"/>
              </w:rPr>
            </w:pPr>
            <w:r w:rsidRPr="003015CD">
              <w:rPr>
                <w:rFonts w:asciiTheme="majorHAnsi" w:hAnsiTheme="majorHAnsi" w:cstheme="majorHAnsi"/>
                <w:color w:val="000000" w:themeColor="text1"/>
                <w:sz w:val="20"/>
              </w:rPr>
              <w:t>duration?</w:t>
            </w:r>
          </w:p>
        </w:tc>
        <w:tc>
          <w:tcPr>
            <w:tcW w:w="6520" w:type="dxa"/>
            <w:tcBorders>
              <w:top w:val="single" w:sz="4" w:space="0" w:color="A6A6A6"/>
            </w:tcBorders>
          </w:tcPr>
          <w:p w14:paraId="1314D5E1" w14:textId="77777777" w:rsidR="004171CC" w:rsidRPr="003015CD" w:rsidRDefault="004171CC" w:rsidP="00081885">
            <w:pPr>
              <w:numPr>
                <w:ilvl w:val="0"/>
                <w:numId w:val="16"/>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duration of application or use</w:t>
            </w:r>
          </w:p>
          <w:p w14:paraId="215DC8B2" w14:textId="77777777" w:rsidR="004171CC" w:rsidRPr="003015CD" w:rsidRDefault="004171CC" w:rsidP="00081885">
            <w:pPr>
              <w:numPr>
                <w:ilvl w:val="0"/>
                <w:numId w:val="16"/>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number of repeat exposures</w:t>
            </w:r>
          </w:p>
          <w:p w14:paraId="25E911BC" w14:textId="77777777" w:rsidR="004171CC" w:rsidRPr="003015CD" w:rsidRDefault="004171CC" w:rsidP="00081885">
            <w:pPr>
              <w:numPr>
                <w:ilvl w:val="0"/>
                <w:numId w:val="16"/>
              </w:numPr>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duration of follow-up</w:t>
            </w:r>
          </w:p>
        </w:tc>
      </w:tr>
    </w:tbl>
    <w:p w14:paraId="2DEA9E55" w14:textId="0041FA76" w:rsidR="004171CC" w:rsidRPr="003015CD" w:rsidRDefault="004171CC" w:rsidP="00081885">
      <w:bookmarkStart w:id="137" w:name="_Toc446499044"/>
      <w:r w:rsidRPr="003015CD">
        <w:tab/>
      </w:r>
    </w:p>
    <w:p w14:paraId="1CC8FF31" w14:textId="77777777" w:rsidR="004171CC" w:rsidRPr="003015CD" w:rsidRDefault="004171CC" w:rsidP="00081885">
      <w:pPr>
        <w:pStyle w:val="Titre3"/>
        <w:spacing w:line="259" w:lineRule="auto"/>
        <w:ind w:left="993" w:hanging="993"/>
        <w:jc w:val="both"/>
        <w:rPr>
          <w:rFonts w:asciiTheme="majorHAnsi" w:hAnsiTheme="majorHAnsi" w:cstheme="majorHAnsi"/>
          <w:color w:val="000000" w:themeColor="text1"/>
        </w:rPr>
      </w:pPr>
      <w:bookmarkStart w:id="138" w:name="_Toc236912907"/>
      <w:r w:rsidRPr="003015CD">
        <w:rPr>
          <w:rFonts w:asciiTheme="majorHAnsi" w:hAnsiTheme="majorHAnsi" w:cstheme="majorHAnsi"/>
          <w:color w:val="000000" w:themeColor="text1"/>
        </w:rPr>
        <w:t>How to weight the contribution of each data set</w:t>
      </w:r>
      <w:bookmarkEnd w:id="137"/>
      <w:bookmarkEnd w:id="138"/>
    </w:p>
    <w:p w14:paraId="65F2CC3F" w14:textId="22B5B15F"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weighting of data </w:t>
      </w:r>
      <w:r w:rsidR="005D2F03" w:rsidRPr="003015CD">
        <w:rPr>
          <w:rFonts w:asciiTheme="majorHAnsi" w:hAnsiTheme="majorHAnsi" w:cstheme="majorHAnsi"/>
          <w:color w:val="000000" w:themeColor="text1"/>
        </w:rPr>
        <w:t xml:space="preserve">is </w:t>
      </w:r>
      <w:r w:rsidRPr="003015CD">
        <w:rPr>
          <w:rFonts w:asciiTheme="majorHAnsi" w:hAnsiTheme="majorHAnsi" w:cstheme="majorHAnsi"/>
          <w:color w:val="000000" w:themeColor="text1"/>
        </w:rPr>
        <w:t xml:space="preserve">necessary to ensure that high-quality and relevant data is prioritised and given greater weight compared to data sources of lower quality or relevance. </w:t>
      </w:r>
    </w:p>
    <w:p w14:paraId="2E9277BC"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Typically, clinical data generated through a well-designed and monitored randomized controlled clinical investigation (also called randomised controlled trial), conducted with the device under evaluation in its intended purpose, with patients and users that are representative of the target population should receive the highest weighting. It is acknowledged that randomized clinical investigations may not always be feasible and/or appropriate and the use of alternative study designs may provide relevant clinical information of adequate weighting, provided that studies are otherwise well-designed, well-conducted, and relevant to the device and its target population. </w:t>
      </w:r>
    </w:p>
    <w:p w14:paraId="440841E3"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evaluators should strictly follow pre-defined criteria when weighting the data set. Due to the diversity of medical devices, there is no single method for weighting clinical data. A suggested method would be to identify criteria which would adequately allow appraisal of each data set’s scientific validity (as outlined in section 9.3.1) and relevance (as outlined in section 9.3.2). Each data set should then be graded based on these criteria, preferably in an outcome-specific manner by using well-established criteria to assess the quality of evidence (for example, by using the GRADE framework</w:t>
      </w:r>
      <w:r w:rsidRPr="003015CD">
        <w:rPr>
          <w:rStyle w:val="Appelnotedebasdep"/>
          <w:rFonts w:asciiTheme="majorHAnsi" w:hAnsiTheme="majorHAnsi" w:cstheme="majorHAnsi"/>
          <w:color w:val="000000" w:themeColor="text1"/>
        </w:rPr>
        <w:footnoteReference w:id="56"/>
      </w:r>
      <w:r w:rsidRPr="003015CD">
        <w:rPr>
          <w:rFonts w:asciiTheme="majorHAnsi" w:hAnsiTheme="majorHAnsi" w:cstheme="majorHAnsi"/>
          <w:color w:val="000000" w:themeColor="text1"/>
        </w:rPr>
        <w:t>). Then, each data set should be weighted reflecting its appraisal grade.</w:t>
      </w:r>
    </w:p>
    <w:p w14:paraId="16C5B288" w14:textId="77777777" w:rsidR="003B5A66" w:rsidRPr="003015CD" w:rsidRDefault="003B5A66" w:rsidP="003B5A66">
      <w:r w:rsidRPr="003015CD">
        <w:t xml:space="preserve">The following is an example of a weighting system which may be employed to assess clinical data sourced from clinical investigations. Where clinical data come from other sources, alternative criteria may be used. Manufacturers may employ a quantitative approach (i.e. 1=not sufficient, 2=partially sufficient, 3=sufficient) or qualitative approach (i.e. acceptable/not acceptable) to grade the components of each criterion. </w:t>
      </w:r>
    </w:p>
    <w:p w14:paraId="0731A336" w14:textId="346663FC" w:rsidR="003B5A66" w:rsidRPr="003015CD" w:rsidRDefault="003B5A66" w:rsidP="009C0DE4">
      <w:pPr>
        <w:spacing w:line="259" w:lineRule="auto"/>
      </w:pPr>
      <w:r w:rsidRPr="003015CD">
        <w:t xml:space="preserve">For quantitative approaches, grading will result in an overall score and thresholds should be defined for the evaluation of the quality of the data source. Care should be taken to prevent less significant aspects of a clinical investigation given equal weight to more significant aspects. For qualitative approaches, a summary of the acceptability of the considered aspects of a clinical investigation will be provided. </w:t>
      </w:r>
    </w:p>
    <w:p w14:paraId="164F0192" w14:textId="77777777" w:rsidR="003B5A66" w:rsidRPr="003015CD" w:rsidRDefault="003B5A66" w:rsidP="003B5A66">
      <w:r w:rsidRPr="003015CD">
        <w:rPr>
          <w:b/>
          <w:bCs/>
        </w:rPr>
        <w:t>Scientific validity criteria</w:t>
      </w: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51"/>
        <w:gridCol w:w="5043"/>
        <w:gridCol w:w="2410"/>
      </w:tblGrid>
      <w:tr w:rsidR="003B5A66" w:rsidRPr="003015CD" w14:paraId="701B84A8" w14:textId="77777777">
        <w:tc>
          <w:tcPr>
            <w:tcW w:w="17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FC054B" w14:textId="77777777" w:rsidR="003B5A66" w:rsidRPr="003015CD" w:rsidRDefault="003B5A66">
            <w:r w:rsidRPr="003015CD">
              <w:rPr>
                <w:b/>
                <w:bCs/>
              </w:rPr>
              <w:t>Criteria</w:t>
            </w:r>
          </w:p>
        </w:tc>
        <w:tc>
          <w:tcPr>
            <w:tcW w:w="50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64047C" w14:textId="77777777" w:rsidR="003B5A66" w:rsidRPr="003015CD" w:rsidRDefault="003B5A66">
            <w:r w:rsidRPr="003015CD">
              <w:rPr>
                <w:b/>
                <w:bCs/>
              </w:rPr>
              <w:t>Description</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0CD4CD" w14:textId="77777777" w:rsidR="003B5A66" w:rsidRPr="003015CD" w:rsidRDefault="003B5A66">
            <w:pPr>
              <w:rPr>
                <w:b/>
                <w:bCs/>
              </w:rPr>
            </w:pPr>
            <w:r w:rsidRPr="003015CD">
              <w:rPr>
                <w:b/>
                <w:bCs/>
              </w:rPr>
              <w:t>Grade</w:t>
            </w:r>
          </w:p>
          <w:p w14:paraId="014C8874" w14:textId="77777777" w:rsidR="003B5A66" w:rsidRPr="003015CD" w:rsidRDefault="003B5A66">
            <w:pPr>
              <w:rPr>
                <w:i/>
                <w:iCs/>
              </w:rPr>
            </w:pPr>
            <w:r w:rsidRPr="003015CD">
              <w:rPr>
                <w:i/>
                <w:iCs/>
              </w:rPr>
              <w:t>System be decided by manufacturer (either quantitative or qualitative)</w:t>
            </w:r>
          </w:p>
        </w:tc>
      </w:tr>
      <w:tr w:rsidR="003B5A66" w:rsidRPr="003015CD" w14:paraId="6BD80D92" w14:textId="77777777">
        <w:trPr>
          <w:trHeight w:val="2460"/>
        </w:trPr>
        <w:tc>
          <w:tcPr>
            <w:tcW w:w="1751"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6ABD1BEA" w14:textId="77777777" w:rsidR="003B5A66" w:rsidRPr="003015CD" w:rsidRDefault="003B5A66">
            <w:pPr>
              <w:spacing w:after="0"/>
            </w:pPr>
            <w:r w:rsidRPr="003015CD">
              <w:t>Study design and conduct</w:t>
            </w:r>
          </w:p>
          <w:p w14:paraId="73E4C130" w14:textId="3B97015C" w:rsidR="003B5A66" w:rsidRPr="003015CD" w:rsidRDefault="003B5A66">
            <w:pPr>
              <w:spacing w:after="0"/>
            </w:pPr>
          </w:p>
        </w:tc>
        <w:tc>
          <w:tcPr>
            <w:tcW w:w="5043" w:type="dxa"/>
            <w:tcBorders>
              <w:top w:val="single" w:sz="8" w:space="0" w:color="A3A3A3"/>
              <w:left w:val="single" w:sz="8" w:space="0" w:color="A3A3A3"/>
              <w:bottom w:val="nil"/>
              <w:right w:val="single" w:sz="8" w:space="0" w:color="A3A3A3"/>
            </w:tcBorders>
            <w:tcMar>
              <w:top w:w="80" w:type="dxa"/>
              <w:left w:w="80" w:type="dxa"/>
              <w:bottom w:w="80" w:type="dxa"/>
              <w:right w:w="80" w:type="dxa"/>
            </w:tcMar>
            <w:hideMark/>
          </w:tcPr>
          <w:p w14:paraId="29D43ED5" w14:textId="77777777" w:rsidR="003B5A66" w:rsidRPr="003015CD" w:rsidRDefault="003B5A66">
            <w:pPr>
              <w:spacing w:after="0"/>
            </w:pPr>
            <w:r w:rsidRPr="003015CD">
              <w:t>Adequacy of study design</w:t>
            </w:r>
          </w:p>
          <w:p w14:paraId="4E7B368A" w14:textId="77777777" w:rsidR="003B5A66" w:rsidRPr="003015CD" w:rsidRDefault="003B5A66">
            <w:pPr>
              <w:spacing w:after="0"/>
            </w:pPr>
            <w:r w:rsidRPr="003015CD">
              <w:t>Adequacy of study endpoints</w:t>
            </w:r>
          </w:p>
          <w:p w14:paraId="67E818B5" w14:textId="77777777" w:rsidR="003B5A66" w:rsidRPr="003015CD" w:rsidRDefault="003B5A66">
            <w:pPr>
              <w:spacing w:after="0"/>
            </w:pPr>
            <w:r w:rsidRPr="003015CD">
              <w:t>Adequacy of the assessment of adverse events</w:t>
            </w:r>
          </w:p>
          <w:p w14:paraId="4E08CA05" w14:textId="77777777" w:rsidR="003B5A66" w:rsidRPr="003015CD" w:rsidRDefault="003B5A66">
            <w:pPr>
              <w:spacing w:after="0"/>
            </w:pPr>
            <w:r w:rsidRPr="003015CD">
              <w:t>Adequacy of study follow up periods</w:t>
            </w:r>
          </w:p>
        </w:tc>
        <w:tc>
          <w:tcPr>
            <w:tcW w:w="2410" w:type="dxa"/>
            <w:tcBorders>
              <w:top w:val="single" w:sz="8" w:space="0" w:color="A3A3A3"/>
              <w:left w:val="single" w:sz="8" w:space="0" w:color="A3A3A3"/>
              <w:bottom w:val="nil"/>
              <w:right w:val="single" w:sz="8" w:space="0" w:color="A3A3A3"/>
            </w:tcBorders>
            <w:tcMar>
              <w:top w:w="80" w:type="dxa"/>
              <w:left w:w="80" w:type="dxa"/>
              <w:bottom w:w="80" w:type="dxa"/>
              <w:right w:w="80" w:type="dxa"/>
            </w:tcMar>
            <w:hideMark/>
          </w:tcPr>
          <w:p w14:paraId="423AFBBB" w14:textId="77777777" w:rsidR="003B5A66" w:rsidRPr="003015CD" w:rsidRDefault="003B5A66">
            <w:pPr>
              <w:spacing w:after="0"/>
            </w:pPr>
          </w:p>
        </w:tc>
      </w:tr>
      <w:tr w:rsidR="003B5A66" w:rsidRPr="003015CD" w14:paraId="57E96639" w14:textId="77777777">
        <w:trPr>
          <w:trHeight w:val="1412"/>
        </w:trPr>
        <w:tc>
          <w:tcPr>
            <w:tcW w:w="1751"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5A8D95AB" w14:textId="77777777" w:rsidR="003B5A66" w:rsidRPr="003015CD" w:rsidRDefault="003B5A66">
            <w:pPr>
              <w:spacing w:after="0"/>
            </w:pPr>
            <w:r w:rsidRPr="003015CD">
              <w:t>Limitations</w:t>
            </w:r>
          </w:p>
        </w:tc>
        <w:tc>
          <w:tcPr>
            <w:tcW w:w="5043"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04B3B63D" w14:textId="77777777" w:rsidR="003B5A66" w:rsidRPr="003015CD" w:rsidRDefault="003B5A66">
            <w:pPr>
              <w:spacing w:after="0" w:line="259" w:lineRule="auto"/>
            </w:pPr>
            <w:r w:rsidRPr="003015CD">
              <w:t xml:space="preserve">Sufficiency of measures taken to limit the risk of bias (or other limitations unrelated to bias)  </w:t>
            </w:r>
          </w:p>
        </w:tc>
        <w:tc>
          <w:tcPr>
            <w:tcW w:w="2410"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7D62F1F6" w14:textId="77777777" w:rsidR="003B5A66" w:rsidRPr="003015CD" w:rsidRDefault="003B5A66">
            <w:pPr>
              <w:spacing w:after="0"/>
            </w:pPr>
          </w:p>
        </w:tc>
      </w:tr>
      <w:tr w:rsidR="003B5A66" w:rsidRPr="003015CD" w14:paraId="3C808BFF" w14:textId="77777777">
        <w:tc>
          <w:tcPr>
            <w:tcW w:w="17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037C4A" w14:textId="77777777" w:rsidR="003B5A66" w:rsidRPr="003015CD" w:rsidRDefault="003B5A66">
            <w:pPr>
              <w:spacing w:after="0"/>
            </w:pPr>
            <w:r w:rsidRPr="003015CD">
              <w:t>Study size</w:t>
            </w:r>
          </w:p>
        </w:tc>
        <w:tc>
          <w:tcPr>
            <w:tcW w:w="50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C3E5B9" w14:textId="77777777" w:rsidR="003B5A66" w:rsidRPr="003015CD" w:rsidRDefault="003B5A66">
            <w:pPr>
              <w:spacing w:after="0" w:line="259" w:lineRule="auto"/>
            </w:pPr>
            <w:r w:rsidRPr="003015CD">
              <w:t>Power of the study to detect the relevant outcomes under consideration</w:t>
            </w:r>
          </w:p>
          <w:p w14:paraId="46509E95" w14:textId="77777777" w:rsidR="003B5A66" w:rsidRPr="003015CD" w:rsidRDefault="003B5A66">
            <w:pPr>
              <w:spacing w:after="0"/>
            </w:pP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E092B2" w14:textId="77777777" w:rsidR="003B5A66" w:rsidRPr="003015CD" w:rsidRDefault="003B5A66">
            <w:pPr>
              <w:spacing w:after="0"/>
            </w:pPr>
          </w:p>
          <w:p w14:paraId="4B6884F7" w14:textId="77777777" w:rsidR="003B5A66" w:rsidRPr="003015CD" w:rsidRDefault="003B5A66">
            <w:pPr>
              <w:spacing w:after="0"/>
            </w:pPr>
          </w:p>
          <w:p w14:paraId="03C1CA75" w14:textId="77777777" w:rsidR="003B5A66" w:rsidRPr="003015CD" w:rsidRDefault="003B5A66">
            <w:pPr>
              <w:spacing w:after="0"/>
            </w:pPr>
          </w:p>
        </w:tc>
      </w:tr>
      <w:tr w:rsidR="003B5A66" w:rsidRPr="003015CD" w14:paraId="21B1CE23" w14:textId="77777777">
        <w:tc>
          <w:tcPr>
            <w:tcW w:w="17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8796E5" w14:textId="77777777" w:rsidR="003B5A66" w:rsidRPr="003015CD" w:rsidRDefault="003B5A66">
            <w:pPr>
              <w:spacing w:after="0"/>
            </w:pPr>
            <w:r w:rsidRPr="003015CD">
              <w:t>Outcomes and reporting</w:t>
            </w:r>
          </w:p>
        </w:tc>
        <w:tc>
          <w:tcPr>
            <w:tcW w:w="50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B4A031" w14:textId="77777777" w:rsidR="003B5A66" w:rsidRPr="003015CD" w:rsidRDefault="003B5A66">
            <w:pPr>
              <w:spacing w:after="0" w:line="259" w:lineRule="auto"/>
            </w:pPr>
            <w:r w:rsidRPr="003015CD">
              <w:t> Adequacy and relevance of:</w:t>
            </w:r>
          </w:p>
          <w:p w14:paraId="627238D6" w14:textId="77777777" w:rsidR="003B5A66" w:rsidRPr="003015CD" w:rsidRDefault="003B5A66" w:rsidP="003B5A66">
            <w:pPr>
              <w:pStyle w:val="Paragraphedeliste"/>
              <w:numPr>
                <w:ilvl w:val="0"/>
                <w:numId w:val="327"/>
              </w:numPr>
              <w:spacing w:before="0" w:after="0" w:line="278" w:lineRule="auto"/>
            </w:pPr>
            <w:r w:rsidRPr="003015CD">
              <w:t>Methods used to quantify outcomes</w:t>
            </w:r>
          </w:p>
          <w:p w14:paraId="52FB5D0E" w14:textId="77777777" w:rsidR="003B5A66" w:rsidRPr="003015CD" w:rsidRDefault="003B5A66" w:rsidP="003B5A66">
            <w:pPr>
              <w:pStyle w:val="Paragraphedeliste"/>
              <w:numPr>
                <w:ilvl w:val="0"/>
                <w:numId w:val="327"/>
              </w:numPr>
              <w:spacing w:before="0" w:after="0" w:line="278" w:lineRule="auto"/>
            </w:pPr>
            <w:r w:rsidRPr="003015CD">
              <w:t>Methods for data collection, transfer, and processing</w:t>
            </w:r>
          </w:p>
          <w:p w14:paraId="102DD0D5" w14:textId="77777777" w:rsidR="003B5A66" w:rsidRPr="003015CD" w:rsidRDefault="003B5A66" w:rsidP="003B5A66">
            <w:pPr>
              <w:pStyle w:val="Paragraphedeliste"/>
              <w:numPr>
                <w:ilvl w:val="0"/>
                <w:numId w:val="327"/>
              </w:numPr>
              <w:spacing w:before="0" w:after="0" w:line="278" w:lineRule="auto"/>
            </w:pPr>
            <w:r w:rsidRPr="003015CD">
              <w:t>Statistical techniques employed</w:t>
            </w:r>
          </w:p>
          <w:p w14:paraId="48B140B0" w14:textId="77777777" w:rsidR="003B5A66" w:rsidRPr="003015CD" w:rsidRDefault="003B5A66" w:rsidP="003B5A66">
            <w:pPr>
              <w:pStyle w:val="Paragraphedeliste"/>
              <w:numPr>
                <w:ilvl w:val="0"/>
                <w:numId w:val="327"/>
              </w:numPr>
              <w:spacing w:before="0" w:after="0" w:line="278" w:lineRule="auto"/>
            </w:pPr>
            <w:r w:rsidRPr="003015CD">
              <w:t>Disclosure of data</w:t>
            </w:r>
          </w:p>
          <w:p w14:paraId="530B7A73" w14:textId="77777777" w:rsidR="003B5A66" w:rsidRPr="003015CD" w:rsidRDefault="003B5A66" w:rsidP="003B5A66">
            <w:pPr>
              <w:pStyle w:val="Paragraphedeliste"/>
              <w:numPr>
                <w:ilvl w:val="0"/>
                <w:numId w:val="327"/>
              </w:numPr>
              <w:spacing w:before="0" w:after="0" w:line="278" w:lineRule="auto"/>
            </w:pPr>
            <w:r w:rsidRPr="003015CD">
              <w:t>Justification of the validity of conclusions drawn</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6577CC" w14:textId="77777777" w:rsidR="003B5A66" w:rsidRPr="003015CD" w:rsidRDefault="003B5A66">
            <w:pPr>
              <w:spacing w:after="0"/>
            </w:pPr>
          </w:p>
        </w:tc>
      </w:tr>
      <w:tr w:rsidR="003B5A66" w:rsidRPr="003015CD" w14:paraId="27C456C7" w14:textId="77777777">
        <w:tc>
          <w:tcPr>
            <w:tcW w:w="17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3DE676" w14:textId="77777777" w:rsidR="003B5A66" w:rsidRPr="003015CD" w:rsidRDefault="003B5A66">
            <w:pPr>
              <w:spacing w:after="0"/>
            </w:pPr>
            <w:r w:rsidRPr="003015CD">
              <w:t>Quality Assurance</w:t>
            </w:r>
          </w:p>
        </w:tc>
        <w:tc>
          <w:tcPr>
            <w:tcW w:w="50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BF1D3B" w14:textId="77777777" w:rsidR="003B5A66" w:rsidRPr="003015CD" w:rsidRDefault="003B5A66">
            <w:pPr>
              <w:spacing w:after="0" w:line="259" w:lineRule="auto"/>
            </w:pPr>
            <w:r w:rsidRPr="003015CD">
              <w:t>Conduct in keeping with Good Clinical Practice guidance</w:t>
            </w:r>
          </w:p>
          <w:p w14:paraId="60D1042C" w14:textId="77777777" w:rsidR="003B5A66" w:rsidRPr="003015CD" w:rsidRDefault="003B5A66">
            <w:pPr>
              <w:spacing w:after="0" w:line="259" w:lineRule="auto"/>
            </w:pPr>
            <w:r w:rsidRPr="003015CD">
              <w:t>Appropriateness of monitoring undertaken by the study</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99FE79" w14:textId="77777777" w:rsidR="003B5A66" w:rsidRPr="003015CD" w:rsidRDefault="003B5A66">
            <w:pPr>
              <w:spacing w:after="0"/>
            </w:pPr>
          </w:p>
        </w:tc>
      </w:tr>
      <w:tr w:rsidR="003B5A66" w:rsidRPr="003015CD" w14:paraId="0D72A991" w14:textId="77777777">
        <w:tc>
          <w:tcPr>
            <w:tcW w:w="17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41DC92" w14:textId="77777777" w:rsidR="003B5A66" w:rsidRPr="003015CD" w:rsidRDefault="003B5A66">
            <w:pPr>
              <w:spacing w:after="0"/>
            </w:pPr>
            <w:r w:rsidRPr="003015CD">
              <w:t>Study documentation</w:t>
            </w:r>
          </w:p>
        </w:tc>
        <w:tc>
          <w:tcPr>
            <w:tcW w:w="50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B7A36F" w14:textId="77777777" w:rsidR="003B5A66" w:rsidRPr="003015CD" w:rsidRDefault="003B5A66">
            <w:pPr>
              <w:spacing w:after="0" w:line="259" w:lineRule="auto"/>
            </w:pPr>
            <w:r w:rsidRPr="003015CD">
              <w:t> Availability and completeness of study documentation</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059D5C" w14:textId="77777777" w:rsidR="003B5A66" w:rsidRPr="003015CD" w:rsidRDefault="003B5A66">
            <w:pPr>
              <w:spacing w:after="0"/>
            </w:pPr>
          </w:p>
        </w:tc>
      </w:tr>
    </w:tbl>
    <w:p w14:paraId="02DFDCAC" w14:textId="77777777" w:rsidR="003B5A66" w:rsidRPr="003015CD" w:rsidRDefault="003B5A66" w:rsidP="003B5A66">
      <w:pPr>
        <w:spacing w:after="0"/>
      </w:pPr>
      <w:r w:rsidRPr="003015CD">
        <w:t> </w:t>
      </w:r>
    </w:p>
    <w:p w14:paraId="6121606A" w14:textId="77777777" w:rsidR="003B5A66" w:rsidRPr="003015CD" w:rsidRDefault="003B5A66" w:rsidP="003B5A66">
      <w:pPr>
        <w:spacing w:after="0"/>
      </w:pPr>
    </w:p>
    <w:p w14:paraId="587CA99C" w14:textId="77777777" w:rsidR="003B5A66" w:rsidRPr="003015CD" w:rsidRDefault="003B5A66" w:rsidP="003B5A66">
      <w:pPr>
        <w:spacing w:after="0"/>
      </w:pPr>
      <w:r w:rsidRPr="003015CD">
        <w:rPr>
          <w:b/>
          <w:bCs/>
        </w:rPr>
        <w:t>Relevance criteria</w:t>
      </w:r>
    </w:p>
    <w:tbl>
      <w:tblPr>
        <w:tblW w:w="90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274"/>
        <w:gridCol w:w="3812"/>
        <w:gridCol w:w="2976"/>
      </w:tblGrid>
      <w:tr w:rsidR="003B5A66" w:rsidRPr="003015CD" w14:paraId="1A50D8EC" w14:textId="77777777">
        <w:tc>
          <w:tcPr>
            <w:tcW w:w="2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83B41E" w14:textId="77777777" w:rsidR="003B5A66" w:rsidRPr="003015CD" w:rsidRDefault="003B5A66">
            <w:pPr>
              <w:spacing w:after="0"/>
            </w:pPr>
            <w:r w:rsidRPr="003015CD">
              <w:rPr>
                <w:b/>
                <w:bCs/>
              </w:rPr>
              <w:t>Criteria</w:t>
            </w:r>
          </w:p>
        </w:tc>
        <w:tc>
          <w:tcPr>
            <w:tcW w:w="38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A1B2B2" w14:textId="77777777" w:rsidR="003B5A66" w:rsidRPr="003015CD" w:rsidRDefault="003B5A66">
            <w:pPr>
              <w:spacing w:after="0"/>
            </w:pPr>
            <w:r w:rsidRPr="003015CD">
              <w:rPr>
                <w:b/>
                <w:bCs/>
              </w:rPr>
              <w:t>Description</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5141A9" w14:textId="77777777" w:rsidR="003B5A66" w:rsidRPr="003015CD" w:rsidRDefault="003B5A66">
            <w:pPr>
              <w:spacing w:after="0"/>
            </w:pPr>
            <w:r w:rsidRPr="003015CD">
              <w:rPr>
                <w:b/>
                <w:bCs/>
              </w:rPr>
              <w:t>Grade</w:t>
            </w:r>
          </w:p>
        </w:tc>
      </w:tr>
      <w:tr w:rsidR="003B5A66" w:rsidRPr="003015CD" w14:paraId="3998C235" w14:textId="77777777">
        <w:tc>
          <w:tcPr>
            <w:tcW w:w="2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9E9833" w14:textId="77777777" w:rsidR="003B5A66" w:rsidRPr="003015CD" w:rsidRDefault="003B5A66">
            <w:pPr>
              <w:spacing w:after="0"/>
            </w:pPr>
            <w:r w:rsidRPr="003015CD">
              <w:t>Device</w:t>
            </w:r>
          </w:p>
        </w:tc>
        <w:tc>
          <w:tcPr>
            <w:tcW w:w="38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41946D" w14:textId="77777777" w:rsidR="003B5A66" w:rsidRPr="003015CD" w:rsidRDefault="003B5A66">
            <w:pPr>
              <w:spacing w:after="0"/>
            </w:pPr>
            <w:r w:rsidRPr="003015CD">
              <w:t>Were the data generated from the device under evaluation?</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E7E067" w14:textId="77777777" w:rsidR="003B5A66" w:rsidRPr="003015CD" w:rsidRDefault="003B5A66">
            <w:pPr>
              <w:spacing w:after="0"/>
            </w:pPr>
          </w:p>
        </w:tc>
      </w:tr>
      <w:tr w:rsidR="003B5A66" w:rsidRPr="003015CD" w14:paraId="2A883175" w14:textId="77777777">
        <w:tc>
          <w:tcPr>
            <w:tcW w:w="2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5F4F95" w14:textId="77777777" w:rsidR="003B5A66" w:rsidRPr="003015CD" w:rsidRDefault="003B5A66">
            <w:pPr>
              <w:spacing w:after="0" w:line="259" w:lineRule="auto"/>
            </w:pPr>
            <w:r w:rsidRPr="003015CD">
              <w:t>Appropriate Device Use</w:t>
            </w:r>
          </w:p>
        </w:tc>
        <w:tc>
          <w:tcPr>
            <w:tcW w:w="38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7CE949" w14:textId="77777777" w:rsidR="003B5A66" w:rsidRPr="003015CD" w:rsidRDefault="003B5A66">
            <w:pPr>
              <w:spacing w:after="0"/>
            </w:pPr>
            <w:r w:rsidRPr="003015CD">
              <w:t>Was the device used (e.g., methods of deployment, application, etc.) according to the manufacturer’s IFU?</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0E6D6A" w14:textId="77777777" w:rsidR="003B5A66" w:rsidRPr="003015CD" w:rsidRDefault="003B5A66">
            <w:pPr>
              <w:spacing w:after="0"/>
            </w:pPr>
          </w:p>
        </w:tc>
      </w:tr>
      <w:tr w:rsidR="003B5A66" w:rsidRPr="003015CD" w14:paraId="7CA5D1AE" w14:textId="77777777">
        <w:tc>
          <w:tcPr>
            <w:tcW w:w="2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DE26F3" w14:textId="77777777" w:rsidR="003B5A66" w:rsidRPr="003015CD" w:rsidRDefault="003B5A66">
            <w:pPr>
              <w:spacing w:after="0"/>
            </w:pPr>
            <w:r w:rsidRPr="003015CD">
              <w:t>Intended population</w:t>
            </w:r>
          </w:p>
        </w:tc>
        <w:tc>
          <w:tcPr>
            <w:tcW w:w="38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89231F" w14:textId="77777777" w:rsidR="003B5A66" w:rsidRPr="003015CD" w:rsidRDefault="003B5A66">
            <w:pPr>
              <w:spacing w:after="0"/>
            </w:pPr>
            <w:r w:rsidRPr="003015CD">
              <w:t>Were the data generated from the intended population of the device/representative of the expected use of the device in clinical practice?</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155D38" w14:textId="77777777" w:rsidR="003B5A66" w:rsidRPr="003015CD" w:rsidRDefault="003B5A66">
            <w:pPr>
              <w:spacing w:after="0"/>
            </w:pPr>
          </w:p>
        </w:tc>
      </w:tr>
    </w:tbl>
    <w:p w14:paraId="006A0417" w14:textId="3CA3B1C7" w:rsidR="003B5A66" w:rsidRPr="003015CD" w:rsidRDefault="003B5A66" w:rsidP="003B5A66"/>
    <w:p w14:paraId="7E2B8DD7" w14:textId="77777777" w:rsidR="003B5A66" w:rsidRPr="003015CD" w:rsidRDefault="003B5A66" w:rsidP="003B5A66">
      <w:r w:rsidRPr="003015CD">
        <w:t>It should be noted that the above is presented as an example of a weighting system which may be used. Different approaches to weighting clinical data exist (such as the GRADE framework, which uses well-established criteria to assess the quality of evidence) and alternative approaches are acceptable.</w:t>
      </w:r>
    </w:p>
    <w:p w14:paraId="4DD55BFF" w14:textId="77777777" w:rsidR="003B5A66" w:rsidRPr="003015CD" w:rsidRDefault="003B5A66" w:rsidP="00081885">
      <w:pPr>
        <w:jc w:val="both"/>
        <w:rPr>
          <w:rFonts w:asciiTheme="majorHAnsi" w:hAnsiTheme="majorHAnsi" w:cstheme="majorHAnsi"/>
          <w:color w:val="000000" w:themeColor="text1"/>
        </w:rPr>
      </w:pPr>
    </w:p>
    <w:p w14:paraId="0BD46C19" w14:textId="1A1DFA4B"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Principles on when the evaluator should consider rejecting individual data sets should be created. When rejecting data sets, the evaluators should document the reasons (both for studies and reports that have been generated and are held by the manufacturer, and for other documents identified during Stage 1). </w:t>
      </w:r>
    </w:p>
    <w:p w14:paraId="6F43AB42" w14:textId="77777777" w:rsidR="004171CC" w:rsidRPr="003015CD" w:rsidRDefault="004171CC" w:rsidP="00081885">
      <w:pPr>
        <w:jc w:val="both"/>
        <w:rPr>
          <w:rFonts w:asciiTheme="majorHAnsi" w:hAnsiTheme="majorHAnsi" w:cstheme="majorHAnsi"/>
          <w:color w:val="000000" w:themeColor="text1"/>
        </w:rPr>
      </w:pPr>
    </w:p>
    <w:p w14:paraId="7C947230" w14:textId="77777777" w:rsidR="00D561E3" w:rsidRPr="003015CD" w:rsidRDefault="00D561E3" w:rsidP="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Following the weighting process for each individual data source, the clinical data sources for the device under evaluation may be ranked in relation to the contribution of each data set to the assessment of the device's safety and performance. The following is a suggested hierarchy of clinical data sources resulting from the appraisal process, ranked from strongest to weakest (some variations may apply to this depending on the device in question and the nature of individual data sources):</w:t>
      </w:r>
    </w:p>
    <w:p w14:paraId="1D340B6C" w14:textId="77777777" w:rsidR="00B509E7" w:rsidRPr="003015CD" w:rsidRDefault="00B509E7" w:rsidP="00D561E3">
      <w:pPr>
        <w:jc w:val="both"/>
        <w:rPr>
          <w:rFonts w:asciiTheme="majorHAnsi" w:hAnsiTheme="majorHAnsi" w:cstheme="majorHAnsi"/>
          <w:color w:val="000000" w:themeColor="text1"/>
        </w:rPr>
      </w:pPr>
    </w:p>
    <w:tbl>
      <w:tblPr>
        <w:tblStyle w:val="Grilledutableau"/>
        <w:tblW w:w="0" w:type="auto"/>
        <w:tblLook w:val="04A0" w:firstRow="1" w:lastRow="0" w:firstColumn="1" w:lastColumn="0" w:noHBand="0" w:noVBand="1"/>
      </w:tblPr>
      <w:tblGrid>
        <w:gridCol w:w="1413"/>
        <w:gridCol w:w="8214"/>
      </w:tblGrid>
      <w:tr w:rsidR="00D561E3" w:rsidRPr="003015CD" w14:paraId="7F84E625" w14:textId="77777777">
        <w:tc>
          <w:tcPr>
            <w:tcW w:w="1413" w:type="dxa"/>
            <w:shd w:val="clear" w:color="auto" w:fill="C6D9F1" w:themeFill="text2" w:themeFillTint="33"/>
          </w:tcPr>
          <w:p w14:paraId="65ED8B87"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Rank</w:t>
            </w:r>
          </w:p>
        </w:tc>
        <w:tc>
          <w:tcPr>
            <w:tcW w:w="8214" w:type="dxa"/>
            <w:shd w:val="clear" w:color="auto" w:fill="C6D9F1" w:themeFill="text2" w:themeFillTint="33"/>
          </w:tcPr>
          <w:p w14:paraId="650EB00E"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data source</w:t>
            </w:r>
          </w:p>
        </w:tc>
      </w:tr>
      <w:tr w:rsidR="00D561E3" w:rsidRPr="003015CD" w14:paraId="583A2AD1" w14:textId="77777777">
        <w:tc>
          <w:tcPr>
            <w:tcW w:w="1413" w:type="dxa"/>
          </w:tcPr>
          <w:p w14:paraId="287E0A36"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1</w:t>
            </w:r>
          </w:p>
        </w:tc>
        <w:tc>
          <w:tcPr>
            <w:tcW w:w="8214" w:type="dxa"/>
          </w:tcPr>
          <w:p w14:paraId="065A7B55" w14:textId="6B5186E0"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Results of </w:t>
            </w:r>
            <w:r w:rsidR="00A052C3" w:rsidRPr="003015CD">
              <w:rPr>
                <w:rFonts w:asciiTheme="majorHAnsi" w:hAnsiTheme="majorHAnsi" w:cstheme="majorHAnsi"/>
                <w:color w:val="000000" w:themeColor="text1"/>
              </w:rPr>
              <w:t>high-quality</w:t>
            </w:r>
            <w:r w:rsidRPr="003015CD">
              <w:rPr>
                <w:rFonts w:asciiTheme="majorHAnsi" w:hAnsiTheme="majorHAnsi" w:cstheme="majorHAnsi"/>
                <w:color w:val="000000" w:themeColor="text1"/>
              </w:rPr>
              <w:t xml:space="preserve"> clinical investigations covering all device variations, indications, patient populations, duration of treatment effects, etc.</w:t>
            </w:r>
          </w:p>
        </w:tc>
      </w:tr>
      <w:tr w:rsidR="00D561E3" w:rsidRPr="003015CD" w14:paraId="0C6BDF67" w14:textId="77777777">
        <w:tc>
          <w:tcPr>
            <w:tcW w:w="1413" w:type="dxa"/>
          </w:tcPr>
          <w:p w14:paraId="4A8983F1"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2</w:t>
            </w:r>
          </w:p>
        </w:tc>
        <w:tc>
          <w:tcPr>
            <w:tcW w:w="8214" w:type="dxa"/>
          </w:tcPr>
          <w:p w14:paraId="1897A399" w14:textId="798216EC"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Results of </w:t>
            </w:r>
            <w:r w:rsidR="00A052C3" w:rsidRPr="003015CD">
              <w:rPr>
                <w:rFonts w:asciiTheme="majorHAnsi" w:hAnsiTheme="majorHAnsi" w:cstheme="majorHAnsi"/>
                <w:color w:val="000000" w:themeColor="text1"/>
              </w:rPr>
              <w:t>high-quality</w:t>
            </w:r>
            <w:r w:rsidRPr="003015CD">
              <w:rPr>
                <w:rFonts w:asciiTheme="majorHAnsi" w:hAnsiTheme="majorHAnsi" w:cstheme="majorHAnsi"/>
                <w:color w:val="000000" w:themeColor="text1"/>
              </w:rPr>
              <w:t xml:space="preserve"> clinical investigations with some gaps</w:t>
            </w:r>
          </w:p>
        </w:tc>
      </w:tr>
      <w:tr w:rsidR="00D561E3" w:rsidRPr="003015CD" w14:paraId="60A7DFC3" w14:textId="77777777">
        <w:tc>
          <w:tcPr>
            <w:tcW w:w="1413" w:type="dxa"/>
          </w:tcPr>
          <w:p w14:paraId="21663C73"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3</w:t>
            </w:r>
          </w:p>
        </w:tc>
        <w:tc>
          <w:tcPr>
            <w:tcW w:w="8214" w:type="dxa"/>
          </w:tcPr>
          <w:p w14:paraId="6A29CCEF"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Outcomes from high quality clinical data collection systems such as registries</w:t>
            </w:r>
          </w:p>
        </w:tc>
      </w:tr>
      <w:tr w:rsidR="00D561E3" w:rsidRPr="003015CD" w14:paraId="53A3E0D9" w14:textId="77777777">
        <w:tc>
          <w:tcPr>
            <w:tcW w:w="1413" w:type="dxa"/>
          </w:tcPr>
          <w:p w14:paraId="23402E1C"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4</w:t>
            </w:r>
          </w:p>
        </w:tc>
        <w:tc>
          <w:tcPr>
            <w:tcW w:w="8214" w:type="dxa"/>
          </w:tcPr>
          <w:p w14:paraId="70359BB8"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Outcomes from studies with methodological flaws but where data can still be quantified and acceptability justified</w:t>
            </w:r>
          </w:p>
        </w:tc>
      </w:tr>
      <w:tr w:rsidR="00D561E3" w:rsidRPr="003015CD" w14:paraId="1A5F6C7C" w14:textId="77777777">
        <w:tc>
          <w:tcPr>
            <w:tcW w:w="1413" w:type="dxa"/>
          </w:tcPr>
          <w:p w14:paraId="50F5BA2D"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5</w:t>
            </w:r>
          </w:p>
        </w:tc>
        <w:tc>
          <w:tcPr>
            <w:tcW w:w="8214" w:type="dxa"/>
          </w:tcPr>
          <w:p w14:paraId="7DF425EA"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Equivalence data</w:t>
            </w:r>
          </w:p>
        </w:tc>
      </w:tr>
      <w:tr w:rsidR="00D561E3" w:rsidRPr="003015CD" w14:paraId="041A85BF" w14:textId="77777777">
        <w:tc>
          <w:tcPr>
            <w:tcW w:w="1413" w:type="dxa"/>
          </w:tcPr>
          <w:p w14:paraId="59D188DE"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6</w:t>
            </w:r>
          </w:p>
        </w:tc>
        <w:tc>
          <w:tcPr>
            <w:tcW w:w="8214" w:type="dxa"/>
          </w:tcPr>
          <w:p w14:paraId="567C92D9"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Curated complaints and vigilance data</w:t>
            </w:r>
          </w:p>
        </w:tc>
      </w:tr>
      <w:tr w:rsidR="00D561E3" w:rsidRPr="003015CD" w14:paraId="61E535A2" w14:textId="77777777">
        <w:tc>
          <w:tcPr>
            <w:tcW w:w="1413" w:type="dxa"/>
          </w:tcPr>
          <w:p w14:paraId="0889ADFB"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7</w:t>
            </w:r>
          </w:p>
        </w:tc>
        <w:tc>
          <w:tcPr>
            <w:tcW w:w="8214" w:type="dxa"/>
          </w:tcPr>
          <w:p w14:paraId="24E43580"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Proactive PMS data, such as that derived from surveys</w:t>
            </w:r>
          </w:p>
        </w:tc>
      </w:tr>
      <w:tr w:rsidR="00D561E3" w:rsidRPr="003015CD" w14:paraId="04423CFA" w14:textId="77777777">
        <w:tc>
          <w:tcPr>
            <w:tcW w:w="1413" w:type="dxa"/>
          </w:tcPr>
          <w:p w14:paraId="3147624B"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8</w:t>
            </w:r>
          </w:p>
        </w:tc>
        <w:tc>
          <w:tcPr>
            <w:tcW w:w="8214" w:type="dxa"/>
          </w:tcPr>
          <w:p w14:paraId="1A9293F1" w14:textId="77777777" w:rsidR="00D561E3" w:rsidRPr="003015CD" w:rsidRDefault="00D561E3">
            <w:pPr>
              <w:jc w:val="both"/>
              <w:rPr>
                <w:rFonts w:asciiTheme="majorHAnsi" w:hAnsiTheme="majorHAnsi" w:cstheme="majorHAnsi"/>
                <w:color w:val="000000" w:themeColor="text1"/>
              </w:rPr>
            </w:pPr>
            <w:r w:rsidRPr="003015CD">
              <w:rPr>
                <w:rFonts w:asciiTheme="majorHAnsi" w:hAnsiTheme="majorHAnsi" w:cstheme="majorHAnsi"/>
                <w:color w:val="000000" w:themeColor="text1"/>
              </w:rPr>
              <w:t>Individual case reports on the subject device</w:t>
            </w:r>
          </w:p>
        </w:tc>
      </w:tr>
    </w:tbl>
    <w:p w14:paraId="7C29EDAD" w14:textId="77777777" w:rsidR="00D561E3" w:rsidRPr="003015CD" w:rsidRDefault="00D561E3" w:rsidP="00D561E3">
      <w:pPr>
        <w:suppressLineNumbers/>
        <w:jc w:val="both"/>
        <w:rPr>
          <w:rFonts w:asciiTheme="majorHAnsi" w:hAnsiTheme="majorHAnsi" w:cstheme="majorHAnsi"/>
          <w:color w:val="000000" w:themeColor="text1"/>
        </w:rPr>
      </w:pPr>
    </w:p>
    <w:p w14:paraId="51DC93E8" w14:textId="77777777" w:rsidR="00A052C3" w:rsidRPr="003015CD" w:rsidRDefault="00A052C3">
      <w:pPr>
        <w:spacing w:before="0" w:after="0"/>
        <w:rPr>
          <w:rFonts w:asciiTheme="majorHAnsi" w:hAnsiTheme="majorHAnsi" w:cstheme="majorHAnsi"/>
          <w:b/>
          <w:bCs/>
          <w:color w:val="000000" w:themeColor="text1"/>
          <w:sz w:val="32"/>
          <w:szCs w:val="28"/>
        </w:rPr>
      </w:pPr>
      <w:bookmarkStart w:id="139" w:name="_Toc446499045"/>
      <w:bookmarkStart w:id="140" w:name="_Ref163813563"/>
      <w:bookmarkStart w:id="141" w:name="_Ref164155845"/>
      <w:bookmarkStart w:id="142" w:name="_Ref164263164"/>
      <w:bookmarkStart w:id="143" w:name="_Ref165303113"/>
      <w:bookmarkStart w:id="144" w:name="_Toc172294355"/>
      <w:bookmarkStart w:id="145" w:name="_Ref233292132"/>
      <w:r w:rsidRPr="003015CD">
        <w:rPr>
          <w:rFonts w:asciiTheme="majorHAnsi" w:hAnsiTheme="majorHAnsi" w:cstheme="majorHAnsi"/>
          <w:color w:val="000000" w:themeColor="text1"/>
        </w:rPr>
        <w:br w:type="page"/>
      </w:r>
    </w:p>
    <w:p w14:paraId="6B9622BE" w14:textId="7D2364BD" w:rsidR="004171CC" w:rsidRPr="003015CD" w:rsidRDefault="004171CC" w:rsidP="0052434F">
      <w:pPr>
        <w:pStyle w:val="Titre1"/>
        <w:ind w:left="426"/>
        <w:jc w:val="both"/>
        <w:rPr>
          <w:rFonts w:asciiTheme="majorHAnsi" w:hAnsiTheme="majorHAnsi" w:cstheme="majorHAnsi"/>
          <w:color w:val="000000" w:themeColor="text1"/>
        </w:rPr>
      </w:pPr>
      <w:bookmarkStart w:id="146" w:name="_Toc236912908"/>
      <w:r w:rsidRPr="003015CD">
        <w:rPr>
          <w:rFonts w:asciiTheme="majorHAnsi" w:hAnsiTheme="majorHAnsi" w:cstheme="majorHAnsi"/>
          <w:color w:val="000000" w:themeColor="text1"/>
        </w:rPr>
        <w:t>Analysis of relevant clinical data (Stage 3)</w:t>
      </w:r>
      <w:bookmarkEnd w:id="139"/>
      <w:bookmarkEnd w:id="140"/>
      <w:bookmarkEnd w:id="141"/>
      <w:bookmarkEnd w:id="142"/>
      <w:bookmarkEnd w:id="143"/>
      <w:bookmarkEnd w:id="144"/>
      <w:bookmarkEnd w:id="145"/>
      <w:bookmarkEnd w:id="146"/>
    </w:p>
    <w:p w14:paraId="79BFBE8B" w14:textId="7BEDA59F"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olor w:val="000000" w:themeColor="text1"/>
        </w:rPr>
        <w:t xml:space="preserve">The goal of </w:t>
      </w:r>
      <w:r w:rsidRPr="003015CD">
        <w:rPr>
          <w:rFonts w:asciiTheme="majorHAnsi" w:hAnsiTheme="majorHAnsi" w:cstheme="majorBidi"/>
          <w:color w:val="000000" w:themeColor="text1"/>
        </w:rPr>
        <w:t>this</w:t>
      </w:r>
      <w:r w:rsidRPr="003015CD">
        <w:rPr>
          <w:rFonts w:asciiTheme="majorHAnsi" w:hAnsiTheme="majorHAnsi"/>
          <w:color w:val="000000" w:themeColor="text1"/>
        </w:rPr>
        <w:t xml:space="preserve"> stage is to </w:t>
      </w:r>
      <w:r w:rsidRPr="003015CD">
        <w:rPr>
          <w:rFonts w:asciiTheme="majorHAnsi" w:hAnsiTheme="majorHAnsi" w:cstheme="majorBidi"/>
          <w:color w:val="000000" w:themeColor="text1"/>
        </w:rPr>
        <w:t>analyse</w:t>
      </w:r>
      <w:r w:rsidRPr="003015CD">
        <w:rPr>
          <w:rFonts w:asciiTheme="majorHAnsi" w:hAnsiTheme="majorHAnsi"/>
          <w:color w:val="000000" w:themeColor="text1"/>
        </w:rPr>
        <w:t xml:space="preserve"> </w:t>
      </w:r>
      <w:r w:rsidRPr="003015CD">
        <w:rPr>
          <w:rFonts w:asciiTheme="majorHAnsi" w:hAnsiTheme="majorHAnsi" w:cstheme="majorBidi"/>
          <w:color w:val="000000" w:themeColor="text1"/>
        </w:rPr>
        <w:t>all relevant</w:t>
      </w:r>
      <w:r w:rsidRPr="003015CD">
        <w:rPr>
          <w:rFonts w:asciiTheme="majorHAnsi" w:hAnsiTheme="majorHAnsi"/>
          <w:color w:val="000000" w:themeColor="text1"/>
        </w:rPr>
        <w:t xml:space="preserve"> clinical data </w:t>
      </w:r>
      <w:r w:rsidRPr="003015CD">
        <w:rPr>
          <w:rFonts w:asciiTheme="majorHAnsi" w:hAnsiTheme="majorHAnsi" w:cstheme="majorBidi"/>
          <w:color w:val="000000" w:themeColor="text1"/>
        </w:rPr>
        <w:t>to reach conclusions about</w:t>
      </w:r>
      <w:r w:rsidRPr="003015CD">
        <w:rPr>
          <w:rFonts w:asciiTheme="majorHAnsi" w:hAnsiTheme="majorHAnsi"/>
          <w:color w:val="000000" w:themeColor="text1"/>
        </w:rPr>
        <w:t xml:space="preserve"> the overall </w:t>
      </w:r>
      <w:r w:rsidRPr="003015CD">
        <w:rPr>
          <w:rFonts w:asciiTheme="majorHAnsi" w:hAnsiTheme="majorHAnsi" w:cstheme="majorBidi"/>
          <w:color w:val="000000" w:themeColor="text1"/>
        </w:rPr>
        <w:t>safety</w:t>
      </w:r>
      <w:r w:rsidRPr="003015CD">
        <w:rPr>
          <w:rFonts w:asciiTheme="majorHAnsi" w:hAnsiTheme="majorHAnsi"/>
          <w:color w:val="000000" w:themeColor="text1"/>
        </w:rPr>
        <w:t xml:space="preserve"> and clinical </w:t>
      </w:r>
      <w:r w:rsidRPr="003015CD">
        <w:rPr>
          <w:rFonts w:asciiTheme="majorHAnsi" w:hAnsiTheme="majorHAnsi" w:cstheme="majorBidi"/>
          <w:color w:val="000000" w:themeColor="text1"/>
        </w:rPr>
        <w:t>performance</w:t>
      </w:r>
      <w:r w:rsidRPr="003015CD">
        <w:rPr>
          <w:rFonts w:asciiTheme="majorHAnsi" w:hAnsiTheme="majorHAnsi"/>
          <w:color w:val="000000" w:themeColor="text1"/>
        </w:rPr>
        <w:t xml:space="preserve"> of the device including its clinical benefits</w:t>
      </w:r>
      <w:r w:rsidRPr="003015CD">
        <w:rPr>
          <w:rStyle w:val="Appelnotedebasdep"/>
          <w:rFonts w:asciiTheme="majorHAnsi" w:hAnsiTheme="majorHAnsi" w:cstheme="majorBidi"/>
          <w:color w:val="000000" w:themeColor="text1"/>
        </w:rPr>
        <w:footnoteReference w:id="57"/>
      </w:r>
      <w:r w:rsidRPr="003015CD">
        <w:rPr>
          <w:rFonts w:asciiTheme="majorHAnsi" w:hAnsiTheme="majorHAnsi" w:cstheme="majorBidi"/>
          <w:color w:val="000000" w:themeColor="text1"/>
        </w:rPr>
        <w:t>. This enables evaluators to determine if</w:t>
      </w:r>
      <w:r w:rsidRPr="003015CD">
        <w:rPr>
          <w:rFonts w:asciiTheme="majorHAnsi" w:hAnsiTheme="majorHAnsi"/>
          <w:color w:val="000000" w:themeColor="text1"/>
        </w:rPr>
        <w:t xml:space="preserve"> the </w:t>
      </w:r>
      <w:r w:rsidRPr="003015CD">
        <w:rPr>
          <w:rFonts w:asciiTheme="majorHAnsi" w:hAnsiTheme="majorHAnsi" w:cstheme="majorBidi"/>
          <w:color w:val="000000" w:themeColor="text1"/>
        </w:rPr>
        <w:t>clinical data provide sufficient clinical evidence to confirm conformity with each of the relevant GSPR</w:t>
      </w:r>
      <w:r w:rsidR="00BF0D80" w:rsidRPr="003015CD">
        <w:rPr>
          <w:rFonts w:asciiTheme="majorHAnsi" w:hAnsiTheme="majorHAnsi" w:cstheme="majorBidi"/>
          <w:color w:val="000000" w:themeColor="text1"/>
        </w:rPr>
        <w:t>s</w:t>
      </w:r>
      <w:r w:rsidRPr="003015CD">
        <w:rPr>
          <w:rStyle w:val="Appelnotedebasdep"/>
          <w:rFonts w:asciiTheme="majorHAnsi" w:hAnsiTheme="majorHAnsi" w:cstheme="majorBidi"/>
          <w:color w:val="000000" w:themeColor="text1"/>
        </w:rPr>
        <w:footnoteReference w:id="58"/>
      </w:r>
      <w:r w:rsidRPr="003015CD">
        <w:rPr>
          <w:rFonts w:asciiTheme="majorHAnsi" w:hAnsiTheme="majorHAnsi" w:cstheme="majorBidi"/>
          <w:color w:val="000000" w:themeColor="text1"/>
        </w:rPr>
        <w:t xml:space="preserve"> outlined in the CEP, </w:t>
      </w:r>
      <w:r w:rsidRPr="003015CD">
        <w:rPr>
          <w:rFonts w:asciiTheme="majorHAnsi" w:hAnsiTheme="majorHAnsi"/>
          <w:color w:val="000000" w:themeColor="text1"/>
        </w:rPr>
        <w:t>taking into account the generally acknowledged</w:t>
      </w:r>
      <w:r w:rsidR="006D182F" w:rsidRPr="003015CD">
        <w:rPr>
          <w:rFonts w:asciiTheme="majorHAnsi" w:hAnsiTheme="majorHAnsi"/>
          <w:color w:val="000000" w:themeColor="text1"/>
        </w:rPr>
        <w:t xml:space="preserve"> SOTA</w:t>
      </w:r>
      <w:r w:rsidRPr="003015CD">
        <w:rPr>
          <w:rFonts w:asciiTheme="majorHAnsi" w:hAnsiTheme="majorHAnsi"/>
          <w:color w:val="000000" w:themeColor="text1"/>
        </w:rPr>
        <w:t xml:space="preserve"> </w:t>
      </w:r>
      <w:r w:rsidRPr="003015CD">
        <w:rPr>
          <w:rFonts w:asciiTheme="majorHAnsi" w:hAnsiTheme="majorHAnsi" w:cstheme="majorBidi"/>
          <w:color w:val="000000" w:themeColor="text1"/>
        </w:rPr>
        <w:t xml:space="preserve">(see Stage 0). </w:t>
      </w:r>
    </w:p>
    <w:p w14:paraId="4BFDCD83" w14:textId="77777777" w:rsidR="004171CC" w:rsidRPr="003015CD" w:rsidRDefault="004171CC" w:rsidP="00081885">
      <w:pPr>
        <w:jc w:val="both"/>
        <w:rPr>
          <w:rFonts w:asciiTheme="majorHAnsi" w:hAnsiTheme="majorHAnsi"/>
          <w:color w:val="000000" w:themeColor="text1"/>
        </w:rPr>
      </w:pPr>
      <w:r w:rsidRPr="003015CD">
        <w:rPr>
          <w:rFonts w:asciiTheme="majorHAnsi" w:hAnsiTheme="majorHAnsi" w:cstheme="majorBidi"/>
          <w:color w:val="000000" w:themeColor="text1"/>
        </w:rPr>
        <w:t xml:space="preserve">In this stage, </w:t>
      </w:r>
      <w:r w:rsidRPr="003015CD">
        <w:rPr>
          <w:rFonts w:asciiTheme="majorHAnsi" w:hAnsiTheme="majorHAnsi"/>
          <w:color w:val="000000" w:themeColor="text1"/>
        </w:rPr>
        <w:t>the evaluators should:</w:t>
      </w:r>
    </w:p>
    <w:p w14:paraId="62C1ED89" w14:textId="77777777" w:rsidR="004171CC" w:rsidRPr="003015CD" w:rsidRDefault="004171CC" w:rsidP="00081885">
      <w:pPr>
        <w:numPr>
          <w:ilvl w:val="0"/>
          <w:numId w:val="6"/>
        </w:numPr>
        <w:jc w:val="both"/>
        <w:rPr>
          <w:rFonts w:asciiTheme="majorHAnsi" w:hAnsiTheme="majorHAnsi"/>
          <w:color w:val="000000" w:themeColor="text1"/>
        </w:rPr>
      </w:pPr>
      <w:r w:rsidRPr="003015CD">
        <w:rPr>
          <w:rFonts w:asciiTheme="majorHAnsi" w:hAnsiTheme="majorHAnsi"/>
          <w:color w:val="000000" w:themeColor="text1"/>
        </w:rPr>
        <w:t xml:space="preserve">comprehensively analyse </w:t>
      </w:r>
      <w:r w:rsidRPr="003015CD">
        <w:rPr>
          <w:rFonts w:asciiTheme="majorHAnsi" w:hAnsiTheme="majorHAnsi" w:cstheme="majorBidi"/>
          <w:color w:val="000000" w:themeColor="text1"/>
        </w:rPr>
        <w:t>all relevant</w:t>
      </w:r>
      <w:r w:rsidRPr="003015CD">
        <w:rPr>
          <w:rFonts w:asciiTheme="majorHAnsi" w:hAnsiTheme="majorHAnsi"/>
          <w:color w:val="000000" w:themeColor="text1"/>
        </w:rPr>
        <w:t xml:space="preserve"> clinical data (see 10.1 for further guidance)</w:t>
      </w:r>
      <w:r w:rsidRPr="003015CD">
        <w:rPr>
          <w:rFonts w:asciiTheme="majorHAnsi" w:hAnsiTheme="majorHAnsi" w:cstheme="majorBidi"/>
          <w:color w:val="000000" w:themeColor="text1"/>
        </w:rPr>
        <w:t xml:space="preserve">, </w:t>
      </w:r>
    </w:p>
    <w:p w14:paraId="44C27D88" w14:textId="1BC1E20E" w:rsidR="004171CC" w:rsidRPr="003015CD" w:rsidRDefault="004171CC" w:rsidP="00081885">
      <w:pPr>
        <w:numPr>
          <w:ilvl w:val="0"/>
          <w:numId w:val="6"/>
        </w:numPr>
        <w:jc w:val="both"/>
        <w:rPr>
          <w:rFonts w:asciiTheme="majorHAnsi" w:hAnsiTheme="majorHAnsi" w:cstheme="majorBidi"/>
          <w:color w:val="000000" w:themeColor="text1"/>
        </w:rPr>
      </w:pPr>
      <w:r w:rsidRPr="003015CD">
        <w:t>assess</w:t>
      </w:r>
      <w:r w:rsidRPr="003015CD">
        <w:rPr>
          <w:rFonts w:asciiTheme="majorHAnsi" w:hAnsiTheme="majorHAnsi" w:cstheme="majorBidi"/>
          <w:color w:val="000000" w:themeColor="text1"/>
        </w:rPr>
        <w:t xml:space="preserve"> whether the clinical data provide sufficient clinical evidence to confirm conformity with relevant GSPR</w:t>
      </w:r>
      <w:r w:rsidR="00BF0D80" w:rsidRPr="003015CD">
        <w:rPr>
          <w:rFonts w:asciiTheme="majorHAnsi" w:hAnsiTheme="majorHAnsi" w:cstheme="majorBidi"/>
          <w:color w:val="000000" w:themeColor="text1"/>
        </w:rPr>
        <w:t>s</w:t>
      </w:r>
      <w:r w:rsidRPr="003015CD">
        <w:rPr>
          <w:rStyle w:val="Appelnotedebasdep"/>
          <w:rFonts w:asciiTheme="majorHAnsi" w:hAnsiTheme="majorHAnsi" w:cstheme="majorBidi"/>
          <w:color w:val="000000" w:themeColor="text1"/>
        </w:rPr>
        <w:footnoteReference w:id="59"/>
      </w:r>
      <w:r w:rsidRPr="003015CD">
        <w:rPr>
          <w:rFonts w:asciiTheme="majorHAnsi" w:hAnsiTheme="majorHAnsi" w:cstheme="majorBidi"/>
          <w:color w:val="000000" w:themeColor="text1"/>
        </w:rPr>
        <w:t xml:space="preserve"> </w:t>
      </w:r>
      <w:r w:rsidRPr="003015CD">
        <w:rPr>
          <w:rFonts w:asciiTheme="majorHAnsi" w:hAnsiTheme="majorHAnsi"/>
          <w:color w:val="000000" w:themeColor="text1"/>
        </w:rPr>
        <w:t>(see 10.2)</w:t>
      </w:r>
      <w:r w:rsidRPr="003015CD">
        <w:rPr>
          <w:rFonts w:asciiTheme="majorHAnsi" w:hAnsiTheme="majorHAnsi" w:cstheme="majorBidi"/>
          <w:color w:val="000000" w:themeColor="text1"/>
        </w:rPr>
        <w:t>,</w:t>
      </w:r>
    </w:p>
    <w:p w14:paraId="74569F4C" w14:textId="77777777" w:rsidR="004171CC" w:rsidRPr="003015CD" w:rsidRDefault="004171CC"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Bidi"/>
          <w:color w:val="000000" w:themeColor="text1"/>
        </w:rPr>
        <w:t xml:space="preserve">determine if the generation of new or additional clinical data is needed </w:t>
      </w:r>
      <w:r w:rsidRPr="003015CD">
        <w:rPr>
          <w:rFonts w:asciiTheme="majorHAnsi" w:hAnsiTheme="majorHAnsi"/>
          <w:color w:val="000000" w:themeColor="text1"/>
        </w:rPr>
        <w:t>(see 10.3)</w:t>
      </w:r>
      <w:r w:rsidRPr="003015CD">
        <w:rPr>
          <w:rFonts w:asciiTheme="majorHAnsi" w:hAnsiTheme="majorHAnsi" w:cstheme="majorBidi"/>
          <w:color w:val="000000" w:themeColor="text1"/>
        </w:rPr>
        <w:t xml:space="preserve">. </w:t>
      </w:r>
    </w:p>
    <w:p w14:paraId="3A2A1F18" w14:textId="77777777"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conclusions of the analysis should be documented in the CER (Stage 5). </w:t>
      </w:r>
    </w:p>
    <w:p w14:paraId="7CF7B88D" w14:textId="77777777" w:rsidR="004171CC" w:rsidRPr="003015CD" w:rsidRDefault="004171CC"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All clinical data included for analysis should first be appraised in accordance with Stage 2. The analysis should give due consideration to this appraisal when considering the value of each dataset in terms of its contribution to the clinical evidence of the device. This is true for both favourable and unfavourable data. The appraisal assesses the suitability of the clinical data for providing clinical evidence with respect to the device’s safety and clinical performance; however, determining whether the clinical data confirm conformity with the relevant GSPR</w:t>
      </w:r>
      <w:r w:rsidRPr="003015CD">
        <w:rPr>
          <w:rStyle w:val="Appelnotedebasdep"/>
          <w:rFonts w:asciiTheme="majorHAnsi" w:hAnsiTheme="majorHAnsi" w:cstheme="majorHAnsi"/>
          <w:color w:val="000000" w:themeColor="text1"/>
        </w:rPr>
        <w:footnoteReference w:id="60"/>
      </w:r>
      <w:r w:rsidRPr="003015CD">
        <w:rPr>
          <w:rFonts w:asciiTheme="majorHAnsi" w:hAnsiTheme="majorHAnsi" w:cstheme="majorHAnsi"/>
          <w:color w:val="000000" w:themeColor="text1"/>
        </w:rPr>
        <w:t xml:space="preserve"> will depend on the analysis of the data. </w:t>
      </w:r>
    </w:p>
    <w:p w14:paraId="466FFB73" w14:textId="2680D192"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Note: </w:t>
      </w:r>
      <w:r w:rsidR="001A61E0" w:rsidRPr="003015CD">
        <w:rPr>
          <w:rFonts w:asciiTheme="majorHAnsi" w:hAnsiTheme="majorHAnsi" w:cstheme="majorBidi"/>
          <w:color w:val="000000" w:themeColor="text1"/>
        </w:rPr>
        <w:t>w</w:t>
      </w:r>
      <w:r w:rsidRPr="003015CD">
        <w:rPr>
          <w:rFonts w:asciiTheme="majorHAnsi" w:hAnsiTheme="majorHAnsi" w:cstheme="majorBidi"/>
          <w:color w:val="000000" w:themeColor="text1"/>
        </w:rPr>
        <w:t>here analysis of the clinical data has identified new undesirable side effects or risks that may affect the acceptability of the benefit-risk ratio, the manufacturer should take appropriate actions to address these, including appropriate risk control measures to reduce risks as far as possible within the manufacturer’s risk management system. A summary of these actions should be included in the clinical evaluation where relevant.</w:t>
      </w:r>
    </w:p>
    <w:p w14:paraId="2CB4E2B0" w14:textId="77777777" w:rsidR="0096475B" w:rsidRPr="003015CD" w:rsidRDefault="0096475B" w:rsidP="00081885">
      <w:pPr>
        <w:pStyle w:val="Text-Indent"/>
        <w:ind w:left="0"/>
        <w:jc w:val="both"/>
        <w:rPr>
          <w:rFonts w:asciiTheme="majorHAnsi" w:hAnsiTheme="majorHAnsi" w:cstheme="majorBidi"/>
          <w:color w:val="000000" w:themeColor="text1"/>
        </w:rPr>
      </w:pPr>
    </w:p>
    <w:p w14:paraId="510E38ED" w14:textId="77777777" w:rsidR="004171CC" w:rsidRPr="003015CD" w:rsidRDefault="004171CC" w:rsidP="00EA6292">
      <w:pPr>
        <w:pStyle w:val="Titre2"/>
        <w:ind w:left="0" w:firstLine="0"/>
        <w:jc w:val="both"/>
        <w:rPr>
          <w:rFonts w:asciiTheme="majorHAnsi" w:hAnsiTheme="majorHAnsi" w:cstheme="majorHAnsi"/>
          <w:color w:val="000000" w:themeColor="text1"/>
        </w:rPr>
      </w:pPr>
      <w:bookmarkStart w:id="147" w:name="_Toc236912909"/>
      <w:r w:rsidRPr="003015CD">
        <w:rPr>
          <w:rFonts w:asciiTheme="majorHAnsi" w:hAnsiTheme="majorHAnsi" w:cstheme="majorHAnsi"/>
          <w:color w:val="000000" w:themeColor="text1"/>
        </w:rPr>
        <w:t>Comprehensive analysis of all relevant clinical data</w:t>
      </w:r>
      <w:bookmarkEnd w:id="147"/>
    </w:p>
    <w:p w14:paraId="29AAC73F" w14:textId="77777777" w:rsidR="004171CC" w:rsidRPr="003015CD" w:rsidRDefault="004171CC" w:rsidP="00081885">
      <w:pPr>
        <w:jc w:val="both"/>
      </w:pPr>
      <w:r w:rsidRPr="003015CD">
        <w:t>The analysis must be thorough and objective and must take into account both favourable and unfavourable data. Its depth and extent must be proportionate and appropriate to relevant device characteristics including the nature,</w:t>
      </w:r>
      <w:r w:rsidRPr="003015CD" w:rsidDel="00472471">
        <w:t xml:space="preserve"> </w:t>
      </w:r>
      <w:r w:rsidRPr="003015CD">
        <w:t>classification, intended purpose, and risks of the device in question, as well as to the manufacturer's claims in respect of the device</w:t>
      </w:r>
      <w:r w:rsidRPr="003015CD">
        <w:rPr>
          <w:rStyle w:val="Appelnotedebasdep"/>
        </w:rPr>
        <w:footnoteReference w:id="61"/>
      </w:r>
      <w:r w:rsidRPr="003015CD">
        <w:t>.</w:t>
      </w:r>
    </w:p>
    <w:p w14:paraId="17AA8BFD" w14:textId="77777777" w:rsidR="004171CC" w:rsidRPr="003015CD" w:rsidRDefault="004171CC"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The analysis should use</w:t>
      </w:r>
      <w:r w:rsidRPr="003015CD">
        <w:rPr>
          <w:rFonts w:asciiTheme="majorHAnsi" w:hAnsiTheme="majorHAnsi" w:cstheme="majorHAnsi"/>
          <w:color w:val="000000" w:themeColor="text1"/>
        </w:rPr>
        <w:t xml:space="preserve"> justified, methodologically sound methods to reach conclusions on the safety and clinical performance of the device, including its clinical benefits.</w:t>
      </w:r>
    </w:p>
    <w:p w14:paraId="04C9230F" w14:textId="77777777" w:rsidR="004171CC" w:rsidRPr="003015CD" w:rsidRDefault="004171CC"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Clinical data can be quantitative and/or qualitative, and appropriate analysis methods should be used depending on the type of data. In general, it is anticipated that most clinical data will be quantitative; however, it is acknowledged that qualitative data may be analysed in some scenarios. Sole or predominant reliance on qualitative data should be scientifically justified. </w:t>
      </w:r>
    </w:p>
    <w:p w14:paraId="3352A821" w14:textId="19532F77" w:rsidR="004171CC" w:rsidRPr="003015CD" w:rsidRDefault="004171CC" w:rsidP="36DE8064">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Pivotal data may not necessarily come from a single source and may result from an aggregate of clinical data. When analysing multiple sources of clinical data, evaluators should look for consistency of findings across the clinical datasets. If multiple data sources</w:t>
      </w:r>
      <w:r w:rsidRPr="003015CD">
        <w:rPr>
          <w:rFonts w:asciiTheme="majorHAnsi" w:hAnsiTheme="majorHAnsi"/>
          <w:color w:val="000000" w:themeColor="text1"/>
        </w:rPr>
        <w:t xml:space="preserve"> report similar clinical outcomes, confidence in conclusions from the data increases. If different results </w:t>
      </w:r>
      <w:r w:rsidRPr="003015CD">
        <w:rPr>
          <w:rFonts w:asciiTheme="majorHAnsi" w:hAnsiTheme="majorHAnsi" w:cstheme="majorBidi"/>
          <w:color w:val="000000" w:themeColor="text1"/>
        </w:rPr>
        <w:t xml:space="preserve">or discrepancies </w:t>
      </w:r>
      <w:r w:rsidRPr="003015CD">
        <w:rPr>
          <w:rFonts w:asciiTheme="majorHAnsi" w:hAnsiTheme="majorHAnsi"/>
          <w:color w:val="000000" w:themeColor="text1"/>
        </w:rPr>
        <w:t xml:space="preserve">are observed across the </w:t>
      </w:r>
      <w:r w:rsidRPr="003015CD">
        <w:rPr>
          <w:rFonts w:asciiTheme="majorHAnsi" w:hAnsiTheme="majorHAnsi" w:cstheme="majorBidi"/>
          <w:color w:val="000000" w:themeColor="text1"/>
        </w:rPr>
        <w:t>data or between data sets, further analysis should</w:t>
      </w:r>
      <w:r w:rsidRPr="003015CD">
        <w:rPr>
          <w:rFonts w:asciiTheme="majorHAnsi" w:hAnsiTheme="majorHAnsi"/>
          <w:color w:val="000000" w:themeColor="text1"/>
        </w:rPr>
        <w:t xml:space="preserve"> be </w:t>
      </w:r>
      <w:r w:rsidRPr="003015CD">
        <w:rPr>
          <w:rFonts w:asciiTheme="majorHAnsi" w:hAnsiTheme="majorHAnsi" w:cstheme="majorBidi"/>
          <w:color w:val="000000" w:themeColor="text1"/>
        </w:rPr>
        <w:t>made</w:t>
      </w:r>
      <w:r w:rsidRPr="003015CD">
        <w:rPr>
          <w:rFonts w:asciiTheme="majorHAnsi" w:hAnsiTheme="majorHAnsi"/>
          <w:color w:val="000000" w:themeColor="text1"/>
        </w:rPr>
        <w:t xml:space="preserve"> to determine the reason for such differences. </w:t>
      </w:r>
      <w:r w:rsidR="00C54998" w:rsidRPr="003015CD">
        <w:rPr>
          <w:rFonts w:asciiTheme="majorHAnsi" w:hAnsiTheme="majorHAnsi" w:cstheme="majorBidi"/>
          <w:color w:val="000000" w:themeColor="text1"/>
        </w:rPr>
        <w:t>All identified</w:t>
      </w:r>
      <w:r w:rsidR="002D13E1"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available clinical data</w:t>
      </w:r>
      <w:r w:rsidRPr="003015CD">
        <w:rPr>
          <w:rFonts w:asciiTheme="majorHAnsi" w:hAnsiTheme="majorHAnsi"/>
          <w:color w:val="000000" w:themeColor="text1"/>
        </w:rPr>
        <w:t xml:space="preserve"> should be considered and included</w:t>
      </w:r>
      <w:r w:rsidRPr="003015CD">
        <w:rPr>
          <w:rFonts w:asciiTheme="majorHAnsi" w:hAnsiTheme="majorHAnsi" w:cstheme="majorBidi"/>
          <w:color w:val="000000" w:themeColor="text1"/>
        </w:rPr>
        <w:t>, taking</w:t>
      </w:r>
      <w:r w:rsidRPr="003015CD">
        <w:rPr>
          <w:rFonts w:asciiTheme="majorHAnsi" w:hAnsiTheme="majorHAnsi"/>
          <w:color w:val="000000" w:themeColor="text1"/>
        </w:rPr>
        <w:t xml:space="preserve"> into account the quality and relevance of the data, as appraised during Stage 2</w:t>
      </w:r>
      <w:r w:rsidRPr="003015CD">
        <w:rPr>
          <w:rFonts w:asciiTheme="majorHAnsi" w:hAnsiTheme="majorHAnsi" w:cstheme="majorBidi"/>
          <w:color w:val="000000" w:themeColor="text1"/>
        </w:rPr>
        <w:t>.</w:t>
      </w:r>
      <w:r w:rsidRPr="003015CD">
        <w:rPr>
          <w:rFonts w:asciiTheme="majorHAnsi" w:hAnsiTheme="majorHAnsi"/>
          <w:color w:val="000000" w:themeColor="text1"/>
        </w:rPr>
        <w:t xml:space="preserve"> Where relevant, a rationale should be given for the exclusion of </w:t>
      </w:r>
      <w:r w:rsidRPr="003015CD">
        <w:rPr>
          <w:rFonts w:asciiTheme="majorHAnsi" w:hAnsiTheme="majorHAnsi" w:cstheme="majorBidi"/>
          <w:color w:val="000000" w:themeColor="text1"/>
        </w:rPr>
        <w:t xml:space="preserve">clinical data from its analysis in the clinical evaluation. </w:t>
      </w:r>
    </w:p>
    <w:p w14:paraId="0508BDE1" w14:textId="77777777"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HAnsi"/>
          <w:color w:val="000000" w:themeColor="text1"/>
        </w:rPr>
        <w:t xml:space="preserve">The </w:t>
      </w:r>
      <w:r w:rsidRPr="003015CD">
        <w:rPr>
          <w:rFonts w:asciiTheme="majorHAnsi" w:hAnsiTheme="majorHAnsi"/>
          <w:color w:val="000000" w:themeColor="text1"/>
        </w:rPr>
        <w:t>analysis should</w:t>
      </w:r>
      <w:r w:rsidRPr="003015CD">
        <w:rPr>
          <w:rFonts w:asciiTheme="majorHAnsi" w:hAnsiTheme="majorHAnsi" w:cstheme="majorHAnsi"/>
          <w:color w:val="000000" w:themeColor="text1"/>
        </w:rPr>
        <w:t xml:space="preserve"> </w:t>
      </w:r>
      <w:r w:rsidRPr="003015CD">
        <w:rPr>
          <w:rFonts w:asciiTheme="majorHAnsi" w:hAnsiTheme="majorHAnsi"/>
          <w:color w:val="000000" w:themeColor="text1"/>
        </w:rPr>
        <w:t xml:space="preserve">take into </w:t>
      </w:r>
      <w:r w:rsidRPr="003015CD">
        <w:rPr>
          <w:rFonts w:asciiTheme="majorHAnsi" w:hAnsiTheme="majorHAnsi" w:cstheme="majorBidi"/>
          <w:color w:val="000000" w:themeColor="text1"/>
        </w:rPr>
        <w:t xml:space="preserve">account at least </w:t>
      </w:r>
      <w:r w:rsidRPr="003015CD">
        <w:rPr>
          <w:rFonts w:asciiTheme="majorHAnsi" w:hAnsiTheme="majorHAnsi" w:cstheme="majorHAnsi"/>
          <w:color w:val="000000" w:themeColor="text1"/>
        </w:rPr>
        <w:t>the following:</w:t>
      </w:r>
      <w:r w:rsidRPr="003015CD" w:rsidDel="00F30466">
        <w:rPr>
          <w:rFonts w:asciiTheme="majorHAnsi" w:hAnsiTheme="majorHAnsi" w:cstheme="majorHAnsi"/>
          <w:color w:val="000000" w:themeColor="text1"/>
        </w:rPr>
        <w:t xml:space="preserve"> </w:t>
      </w:r>
    </w:p>
    <w:p w14:paraId="3B690395" w14:textId="77777777" w:rsidR="004171CC" w:rsidRPr="003015CD" w:rsidRDefault="004171CC" w:rsidP="00081885">
      <w:pPr>
        <w:pStyle w:val="Text-Indent"/>
        <w:numPr>
          <w:ilvl w:val="0"/>
          <w:numId w:val="133"/>
        </w:numPr>
        <w:jc w:val="both"/>
        <w:rPr>
          <w:rFonts w:asciiTheme="majorHAnsi" w:hAnsiTheme="majorHAnsi"/>
          <w:color w:val="000000" w:themeColor="text1"/>
        </w:rPr>
      </w:pPr>
      <w:r w:rsidRPr="003015CD">
        <w:rPr>
          <w:rFonts w:asciiTheme="majorHAnsi" w:hAnsiTheme="majorHAnsi"/>
          <w:color w:val="000000" w:themeColor="text1"/>
        </w:rPr>
        <w:t>all devices covered by the clinical evaluation</w:t>
      </w:r>
      <w:r w:rsidRPr="003015CD">
        <w:rPr>
          <w:rFonts w:asciiTheme="majorHAnsi" w:hAnsiTheme="majorHAnsi" w:cstheme="majorHAnsi"/>
          <w:color w:val="000000" w:themeColor="text1"/>
        </w:rPr>
        <w:t>, including models, sizes, variants, accessories, and configurations as appropriate,</w:t>
      </w:r>
      <w:r w:rsidRPr="003015CD">
        <w:rPr>
          <w:rFonts w:asciiTheme="majorHAnsi" w:hAnsiTheme="majorHAnsi"/>
          <w:color w:val="000000" w:themeColor="text1"/>
        </w:rPr>
        <w:t xml:space="preserve"> and all aspects of their intended purpose.</w:t>
      </w:r>
    </w:p>
    <w:p w14:paraId="46BB305D" w14:textId="54ABC2FD" w:rsidR="004171CC" w:rsidRPr="003015CD" w:rsidRDefault="006D182F" w:rsidP="36DE8064">
      <w:pPr>
        <w:pStyle w:val="Sansinterligne"/>
        <w:jc w:val="both"/>
        <w:rPr>
          <w:rFonts w:asciiTheme="majorHAnsi" w:hAnsiTheme="majorHAnsi"/>
          <w:color w:val="000000" w:themeColor="text1"/>
        </w:rPr>
      </w:pPr>
      <w:r w:rsidRPr="003015CD">
        <w:rPr>
          <w:rFonts w:asciiTheme="majorHAnsi" w:hAnsiTheme="majorHAnsi"/>
          <w:color w:val="000000" w:themeColor="text1"/>
        </w:rPr>
        <w:t>T</w:t>
      </w:r>
      <w:r w:rsidR="004171CC" w:rsidRPr="003015CD">
        <w:rPr>
          <w:rFonts w:asciiTheme="majorHAnsi" w:hAnsiTheme="majorHAnsi"/>
          <w:color w:val="000000" w:themeColor="text1"/>
        </w:rPr>
        <w:t>he</w:t>
      </w:r>
      <w:r w:rsidRPr="003015CD">
        <w:rPr>
          <w:rFonts w:asciiTheme="majorHAnsi" w:hAnsiTheme="majorHAnsi"/>
          <w:color w:val="000000" w:themeColor="text1"/>
        </w:rPr>
        <w:t xml:space="preserve"> </w:t>
      </w:r>
      <w:r w:rsidRPr="003015CD">
        <w:rPr>
          <w:rFonts w:asciiTheme="majorHAnsi" w:hAnsiTheme="majorHAnsi" w:cstheme="majorBidi"/>
          <w:color w:val="000000" w:themeColor="text1"/>
        </w:rPr>
        <w:t>SOTA</w:t>
      </w:r>
      <w:r w:rsidR="004171CC" w:rsidRPr="003015CD">
        <w:rPr>
          <w:rFonts w:asciiTheme="majorHAnsi" w:hAnsiTheme="majorHAnsi"/>
          <w:color w:val="000000" w:themeColor="text1"/>
        </w:rPr>
        <w:t xml:space="preserve"> and the </w:t>
      </w:r>
      <w:r w:rsidR="004171CC" w:rsidRPr="003015CD">
        <w:rPr>
          <w:rFonts w:asciiTheme="majorHAnsi" w:hAnsiTheme="majorHAnsi" w:cstheme="majorBidi"/>
          <w:color w:val="000000" w:themeColor="text1"/>
        </w:rPr>
        <w:t xml:space="preserve">level of clinical evidence necessary, per </w:t>
      </w:r>
      <w:r w:rsidR="004077F1" w:rsidRPr="003015CD">
        <w:rPr>
          <w:rFonts w:asciiTheme="majorHAnsi" w:hAnsiTheme="majorHAnsi" w:cstheme="majorBidi"/>
          <w:color w:val="000000" w:themeColor="text1"/>
        </w:rPr>
        <w:t>Appendix A10</w:t>
      </w:r>
      <w:r w:rsidR="004171CC" w:rsidRPr="003015CD">
        <w:rPr>
          <w:rFonts w:asciiTheme="majorHAnsi" w:hAnsiTheme="majorHAnsi" w:cstheme="majorBidi"/>
          <w:color w:val="000000" w:themeColor="text1"/>
        </w:rPr>
        <w:t>, including</w:t>
      </w:r>
    </w:p>
    <w:p w14:paraId="163B3355" w14:textId="77777777" w:rsidR="004171CC" w:rsidRPr="003015CD" w:rsidRDefault="004171CC" w:rsidP="00081885">
      <w:pPr>
        <w:pStyle w:val="Sansinterligne"/>
        <w:numPr>
          <w:ilvl w:val="1"/>
          <w:numId w:val="133"/>
        </w:numPr>
        <w:jc w:val="both"/>
        <w:rPr>
          <w:rFonts w:asciiTheme="majorHAnsi" w:hAnsiTheme="majorHAnsi"/>
          <w:color w:val="000000" w:themeColor="text1"/>
        </w:rPr>
      </w:pPr>
      <w:r w:rsidRPr="003015CD">
        <w:rPr>
          <w:rFonts w:asciiTheme="majorHAnsi" w:hAnsiTheme="majorHAnsi"/>
          <w:color w:val="000000" w:themeColor="text1"/>
        </w:rPr>
        <w:t>clinical outcome parameters as per CEP</w:t>
      </w:r>
    </w:p>
    <w:p w14:paraId="782D0BA8" w14:textId="7A0A2C0D" w:rsidR="004171CC" w:rsidRPr="003015CD" w:rsidRDefault="004171CC" w:rsidP="00081885">
      <w:pPr>
        <w:pStyle w:val="Sansinterligne"/>
        <w:numPr>
          <w:ilvl w:val="1"/>
          <w:numId w:val="133"/>
        </w:numPr>
        <w:jc w:val="both"/>
        <w:rPr>
          <w:rFonts w:asciiTheme="majorHAnsi" w:hAnsiTheme="majorHAnsi"/>
          <w:color w:val="000000" w:themeColor="text1"/>
        </w:rPr>
      </w:pPr>
      <w:r w:rsidRPr="003015CD">
        <w:rPr>
          <w:rFonts w:asciiTheme="majorHAnsi" w:hAnsiTheme="majorHAnsi"/>
          <w:color w:val="000000" w:themeColor="text1"/>
        </w:rPr>
        <w:t>parameters, including acceptance criteria where applicable</w:t>
      </w:r>
      <w:r w:rsidRPr="003015CD">
        <w:rPr>
          <w:rStyle w:val="Appelnotedebasdep"/>
          <w:rFonts w:asciiTheme="majorHAnsi" w:hAnsiTheme="majorHAnsi"/>
          <w:color w:val="000000" w:themeColor="text1"/>
        </w:rPr>
        <w:footnoteReference w:id="62"/>
      </w:r>
      <w:r w:rsidRPr="003015CD">
        <w:rPr>
          <w:rFonts w:asciiTheme="majorHAnsi" w:hAnsiTheme="majorHAnsi"/>
          <w:color w:val="000000" w:themeColor="text1"/>
        </w:rPr>
        <w:t>, to be used to determine the benefit</w:t>
      </w:r>
      <w:r w:rsidR="00E05CE5" w:rsidRPr="003015CD">
        <w:rPr>
          <w:rFonts w:asciiTheme="majorHAnsi" w:hAnsiTheme="majorHAnsi"/>
          <w:color w:val="000000" w:themeColor="text1"/>
        </w:rPr>
        <w:t>-</w:t>
      </w:r>
      <w:r w:rsidRPr="003015CD">
        <w:rPr>
          <w:rFonts w:asciiTheme="majorHAnsi" w:hAnsiTheme="majorHAnsi"/>
          <w:color w:val="000000" w:themeColor="text1"/>
        </w:rPr>
        <w:t>risk ratio as per CEP</w:t>
      </w:r>
    </w:p>
    <w:p w14:paraId="73252CAE" w14:textId="77777777" w:rsidR="004171CC" w:rsidRPr="003015CD" w:rsidRDefault="004171CC" w:rsidP="00081885">
      <w:pPr>
        <w:pStyle w:val="Sansinterligne"/>
        <w:numPr>
          <w:ilvl w:val="0"/>
          <w:numId w:val="133"/>
        </w:numPr>
        <w:jc w:val="both"/>
        <w:rPr>
          <w:rFonts w:asciiTheme="majorHAnsi" w:hAnsiTheme="majorHAnsi"/>
          <w:color w:val="000000" w:themeColor="text1"/>
        </w:rPr>
      </w:pPr>
      <w:r w:rsidRPr="003015CD">
        <w:rPr>
          <w:rFonts w:asciiTheme="majorHAnsi" w:hAnsiTheme="majorHAnsi"/>
          <w:color w:val="000000" w:themeColor="text1"/>
        </w:rPr>
        <w:t xml:space="preserve">the </w:t>
      </w:r>
      <w:r w:rsidRPr="003015CD">
        <w:rPr>
          <w:rFonts w:asciiTheme="majorHAnsi" w:hAnsiTheme="majorHAnsi" w:cstheme="majorHAnsi"/>
          <w:color w:val="000000" w:themeColor="text1"/>
        </w:rPr>
        <w:t>appraisal of each clinical</w:t>
      </w:r>
      <w:r w:rsidRPr="003015CD">
        <w:rPr>
          <w:rFonts w:asciiTheme="majorHAnsi" w:hAnsiTheme="majorHAnsi"/>
          <w:color w:val="000000" w:themeColor="text1"/>
        </w:rPr>
        <w:t xml:space="preserve"> data</w:t>
      </w:r>
      <w:r w:rsidRPr="003015CD">
        <w:rPr>
          <w:rFonts w:asciiTheme="majorHAnsi" w:hAnsiTheme="majorHAnsi" w:cstheme="majorHAnsi"/>
          <w:color w:val="000000" w:themeColor="text1"/>
        </w:rPr>
        <w:t xml:space="preserve"> set per Stage 2,</w:t>
      </w:r>
    </w:p>
    <w:p w14:paraId="74300AC4" w14:textId="77777777" w:rsidR="004171CC" w:rsidRPr="003015CD" w:rsidRDefault="004171CC" w:rsidP="00081885">
      <w:pPr>
        <w:pStyle w:val="Sansinterligne"/>
        <w:numPr>
          <w:ilvl w:val="0"/>
          <w:numId w:val="133"/>
        </w:numPr>
        <w:jc w:val="both"/>
        <w:rPr>
          <w:rFonts w:asciiTheme="majorHAnsi" w:hAnsiTheme="majorHAnsi"/>
          <w:color w:val="000000" w:themeColor="text1"/>
        </w:rPr>
      </w:pPr>
      <w:r w:rsidRPr="003015CD">
        <w:rPr>
          <w:rFonts w:asciiTheme="majorHAnsi" w:hAnsiTheme="majorHAnsi" w:cstheme="majorHAnsi"/>
          <w:color w:val="000000" w:themeColor="text1"/>
        </w:rPr>
        <w:t xml:space="preserve">risks to </w:t>
      </w:r>
      <w:r w:rsidRPr="003015CD">
        <w:rPr>
          <w:rFonts w:asciiTheme="majorHAnsi" w:hAnsiTheme="majorHAnsi"/>
          <w:color w:val="000000" w:themeColor="text1"/>
        </w:rPr>
        <w:t>patients</w:t>
      </w:r>
      <w:r w:rsidRPr="003015CD">
        <w:rPr>
          <w:rFonts w:asciiTheme="majorHAnsi" w:hAnsiTheme="majorHAnsi" w:cstheme="majorHAnsi"/>
          <w:color w:val="000000" w:themeColor="text1"/>
        </w:rPr>
        <w:t>, users or other persons</w:t>
      </w:r>
      <w:r w:rsidRPr="003015CD">
        <w:rPr>
          <w:rFonts w:asciiTheme="majorHAnsi" w:hAnsiTheme="majorHAnsi"/>
          <w:color w:val="000000" w:themeColor="text1"/>
        </w:rPr>
        <w:t xml:space="preserve"> associated </w:t>
      </w:r>
      <w:r w:rsidRPr="003015CD">
        <w:rPr>
          <w:rFonts w:asciiTheme="majorHAnsi" w:hAnsiTheme="majorHAnsi" w:cstheme="majorHAnsi"/>
          <w:color w:val="000000" w:themeColor="text1"/>
        </w:rPr>
        <w:t xml:space="preserve">with </w:t>
      </w:r>
      <w:r w:rsidRPr="003015CD">
        <w:rPr>
          <w:rFonts w:asciiTheme="majorHAnsi" w:hAnsiTheme="majorHAnsi"/>
          <w:color w:val="000000" w:themeColor="text1"/>
        </w:rPr>
        <w:t xml:space="preserve">the </w:t>
      </w:r>
      <w:r w:rsidRPr="003015CD">
        <w:rPr>
          <w:rFonts w:asciiTheme="majorHAnsi" w:hAnsiTheme="majorHAnsi" w:cstheme="majorHAnsi"/>
          <w:color w:val="000000" w:themeColor="text1"/>
        </w:rPr>
        <w:t>use</w:t>
      </w:r>
      <w:r w:rsidRPr="003015CD">
        <w:rPr>
          <w:rFonts w:asciiTheme="majorHAnsi" w:hAnsiTheme="majorHAnsi"/>
          <w:color w:val="000000" w:themeColor="text1"/>
        </w:rPr>
        <w:t xml:space="preserve"> of the </w:t>
      </w:r>
      <w:r w:rsidRPr="003015CD">
        <w:rPr>
          <w:rFonts w:asciiTheme="majorHAnsi" w:hAnsiTheme="majorHAnsi" w:cstheme="majorHAnsi"/>
          <w:color w:val="000000" w:themeColor="text1"/>
        </w:rPr>
        <w:t>device</w:t>
      </w:r>
      <w:r w:rsidRPr="003015CD">
        <w:rPr>
          <w:rFonts w:asciiTheme="majorHAnsi" w:hAnsiTheme="majorHAnsi"/>
          <w:color w:val="000000" w:themeColor="text1"/>
        </w:rPr>
        <w:t xml:space="preserve">, </w:t>
      </w:r>
    </w:p>
    <w:p w14:paraId="7219EF45" w14:textId="77777777" w:rsidR="004171CC" w:rsidRPr="003015CD" w:rsidRDefault="004171CC" w:rsidP="00EC6525">
      <w:pPr>
        <w:pStyle w:val="Sansinterligne"/>
        <w:numPr>
          <w:ilvl w:val="0"/>
          <w:numId w:val="13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findings from clinical data with respect to the safety, clinical performance, and clinical benefits of the device.</w:t>
      </w:r>
    </w:p>
    <w:p w14:paraId="7A7FF0B0" w14:textId="77777777" w:rsidR="0027201C" w:rsidRPr="003015CD" w:rsidRDefault="0027201C" w:rsidP="36DE8064">
      <w:pPr>
        <w:pStyle w:val="Sansinterligne"/>
        <w:numPr>
          <w:ilvl w:val="0"/>
          <w:numId w:val="0"/>
        </w:numPr>
        <w:ind w:left="1080"/>
        <w:jc w:val="both"/>
        <w:rPr>
          <w:rFonts w:asciiTheme="majorHAnsi" w:hAnsiTheme="majorHAnsi" w:cstheme="majorBidi"/>
          <w:color w:val="000000" w:themeColor="text1"/>
        </w:rPr>
      </w:pPr>
    </w:p>
    <w:p w14:paraId="67FD23D3" w14:textId="5F5C2AFB" w:rsidR="004171CC" w:rsidRPr="003015CD" w:rsidRDefault="004171CC" w:rsidP="36DE8064">
      <w:pPr>
        <w:pStyle w:val="Titre2"/>
        <w:ind w:left="0" w:firstLine="0"/>
        <w:jc w:val="both"/>
        <w:rPr>
          <w:rFonts w:asciiTheme="majorHAnsi" w:hAnsiTheme="majorHAnsi" w:cstheme="majorBidi"/>
          <w:color w:val="000000" w:themeColor="text1"/>
        </w:rPr>
      </w:pPr>
      <w:bookmarkStart w:id="148" w:name="_Ref233801997"/>
      <w:bookmarkStart w:id="149" w:name="_Ref233802075"/>
      <w:bookmarkStart w:id="150" w:name="_Ref233802120"/>
      <w:bookmarkStart w:id="151" w:name="_Toc236912910"/>
      <w:r w:rsidRPr="003015CD">
        <w:rPr>
          <w:rFonts w:asciiTheme="majorHAnsi" w:hAnsiTheme="majorHAnsi" w:cstheme="majorBidi"/>
          <w:color w:val="000000" w:themeColor="text1"/>
        </w:rPr>
        <w:t>Clinical evidence for conformity with relevant GSPR</w:t>
      </w:r>
      <w:r w:rsidR="006303FA" w:rsidRPr="003015CD">
        <w:rPr>
          <w:rFonts w:asciiTheme="majorHAnsi" w:hAnsiTheme="majorHAnsi" w:cstheme="majorBidi"/>
          <w:color w:val="000000" w:themeColor="text1"/>
        </w:rPr>
        <w:t>s</w:t>
      </w:r>
      <w:bookmarkEnd w:id="148"/>
      <w:bookmarkEnd w:id="149"/>
      <w:bookmarkEnd w:id="150"/>
      <w:bookmarkEnd w:id="151"/>
      <w:r w:rsidRPr="003015CD">
        <w:rPr>
          <w:rFonts w:asciiTheme="majorHAnsi" w:hAnsiTheme="majorHAnsi" w:cstheme="majorBidi"/>
          <w:color w:val="000000" w:themeColor="text1"/>
        </w:rPr>
        <w:t xml:space="preserve"> </w:t>
      </w:r>
    </w:p>
    <w:p w14:paraId="755435EF" w14:textId="014A5F8D" w:rsidR="004171CC" w:rsidRPr="003015CD" w:rsidRDefault="004171CC" w:rsidP="36DE8064">
      <w:pPr>
        <w:pStyle w:val="Sansinterligne"/>
        <w:numPr>
          <w:ilvl w:val="0"/>
          <w:numId w:val="0"/>
        </w:numPr>
        <w:jc w:val="both"/>
        <w:rPr>
          <w:rFonts w:asciiTheme="majorHAnsi" w:hAnsiTheme="majorHAnsi"/>
          <w:color w:val="000000" w:themeColor="text1"/>
        </w:rPr>
      </w:pPr>
      <w:r w:rsidRPr="003015CD">
        <w:rPr>
          <w:rFonts w:asciiTheme="majorHAnsi" w:hAnsiTheme="majorHAnsi" w:cstheme="majorBidi"/>
          <w:color w:val="000000" w:themeColor="text1"/>
        </w:rPr>
        <w:t>The analysis should be evaluated against the specified level of clinical evidence</w:t>
      </w:r>
      <w:r w:rsidRPr="003015CD">
        <w:rPr>
          <w:rFonts w:asciiTheme="majorHAnsi" w:hAnsiTheme="majorHAnsi"/>
          <w:color w:val="000000" w:themeColor="text1"/>
        </w:rPr>
        <w:t xml:space="preserve"> necessary,</w:t>
      </w:r>
      <w:r w:rsidRPr="003015CD">
        <w:rPr>
          <w:rFonts w:asciiTheme="majorHAnsi" w:hAnsiTheme="majorHAnsi" w:cstheme="majorBidi"/>
          <w:color w:val="000000" w:themeColor="text1"/>
        </w:rPr>
        <w:t xml:space="preserve"> described in Stage 0 and in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_Ref233808329 \r \h </w:instrText>
      </w:r>
      <w:r w:rsidR="007C5375" w:rsidRPr="003015CD">
        <w:rPr>
          <w:rFonts w:asciiTheme="majorHAnsi" w:hAnsiTheme="majorHAnsi" w:cstheme="majorBidi"/>
          <w:color w:val="000000" w:themeColor="text1"/>
        </w:rPr>
        <w:instrText xml:space="preserve">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3334D2" w:rsidRPr="003015CD">
        <w:rPr>
          <w:rFonts w:asciiTheme="majorHAnsi" w:hAnsiTheme="majorHAnsi" w:cstheme="majorBidi"/>
          <w:color w:val="000000" w:themeColor="text1"/>
        </w:rPr>
        <w:t>A10</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w:t>
      </w:r>
    </w:p>
    <w:p w14:paraId="665BD35B" w14:textId="3E9DEB46" w:rsidR="005D7570" w:rsidRPr="003015CD" w:rsidRDefault="004171CC" w:rsidP="00081885">
      <w:pPr>
        <w:pStyle w:val="Sansinterligne"/>
        <w:numPr>
          <w:ilvl w:val="0"/>
          <w:numId w:val="0"/>
        </w:numPr>
        <w:jc w:val="both"/>
        <w:rPr>
          <w:rFonts w:asciiTheme="majorHAnsi" w:hAnsiTheme="majorHAnsi"/>
          <w:color w:val="000000" w:themeColor="text1"/>
        </w:rPr>
      </w:pPr>
      <w:r w:rsidRPr="003015CD">
        <w:rPr>
          <w:rFonts w:asciiTheme="majorHAnsi" w:hAnsiTheme="majorHAnsi" w:cstheme="majorHAnsi"/>
          <w:color w:val="000000" w:themeColor="text1"/>
        </w:rPr>
        <w:t>With due regard to the specified level of</w:t>
      </w:r>
      <w:r w:rsidRPr="003015CD">
        <w:rPr>
          <w:rFonts w:asciiTheme="majorHAnsi" w:hAnsiTheme="majorHAnsi"/>
          <w:color w:val="000000" w:themeColor="text1"/>
        </w:rPr>
        <w:t xml:space="preserve"> clinical </w:t>
      </w:r>
      <w:r w:rsidRPr="003015CD">
        <w:rPr>
          <w:rFonts w:asciiTheme="majorHAnsi" w:hAnsiTheme="majorHAnsi" w:cstheme="majorHAnsi"/>
          <w:color w:val="000000" w:themeColor="text1"/>
        </w:rPr>
        <w:t>evidence</w:t>
      </w:r>
      <w:r w:rsidRPr="003015CD">
        <w:rPr>
          <w:rFonts w:asciiTheme="majorHAnsi" w:hAnsiTheme="majorHAnsi"/>
          <w:color w:val="000000" w:themeColor="text1"/>
        </w:rPr>
        <w:t xml:space="preserve"> necessary</w:t>
      </w:r>
      <w:r w:rsidRPr="003015CD">
        <w:rPr>
          <w:rFonts w:asciiTheme="majorHAnsi" w:hAnsiTheme="majorHAnsi" w:cstheme="majorHAnsi"/>
          <w:color w:val="000000" w:themeColor="text1"/>
        </w:rPr>
        <w:t>, the manufacturer should determine whether</w:t>
      </w:r>
      <w:r w:rsidRPr="003015CD">
        <w:rPr>
          <w:rFonts w:asciiTheme="majorHAnsi" w:hAnsiTheme="majorHAnsi" w:cstheme="majorBidi"/>
          <w:color w:val="000000" w:themeColor="text1"/>
        </w:rPr>
        <w:t xml:space="preserve"> the relevant clinical</w:t>
      </w:r>
      <w:r w:rsidRPr="003015CD">
        <w:rPr>
          <w:rFonts w:asciiTheme="majorHAnsi" w:hAnsiTheme="majorHAnsi"/>
          <w:color w:val="000000" w:themeColor="text1"/>
        </w:rPr>
        <w:t xml:space="preserve"> data </w:t>
      </w:r>
      <w:r w:rsidRPr="003015CD">
        <w:rPr>
          <w:rFonts w:asciiTheme="majorHAnsi" w:hAnsiTheme="majorHAnsi" w:cstheme="majorBidi"/>
          <w:color w:val="000000" w:themeColor="text1"/>
        </w:rPr>
        <w:t>provide sufficient clinical evidence</w:t>
      </w:r>
      <w:r w:rsidRPr="003015CD">
        <w:rPr>
          <w:rFonts w:asciiTheme="majorHAnsi" w:hAnsiTheme="majorHAnsi"/>
          <w:color w:val="000000" w:themeColor="text1"/>
        </w:rPr>
        <w:t xml:space="preserve"> to </w:t>
      </w:r>
      <w:r w:rsidRPr="003015CD">
        <w:rPr>
          <w:rFonts w:asciiTheme="majorHAnsi" w:hAnsiTheme="majorHAnsi" w:cstheme="majorBidi"/>
          <w:color w:val="000000" w:themeColor="text1"/>
        </w:rPr>
        <w:t>form a basis for</w:t>
      </w:r>
      <w:r w:rsidR="005D7570" w:rsidRPr="003015CD">
        <w:rPr>
          <w:rFonts w:asciiTheme="majorHAnsi" w:hAnsiTheme="majorHAnsi" w:cstheme="majorBidi"/>
          <w:color w:val="000000" w:themeColor="text1"/>
        </w:rPr>
        <w:t xml:space="preserve"> </w:t>
      </w:r>
      <w:r w:rsidRPr="003015CD">
        <w:rPr>
          <w:rFonts w:asciiTheme="majorHAnsi" w:hAnsiTheme="majorHAnsi" w:cstheme="majorHAnsi"/>
          <w:color w:val="000000" w:themeColor="text1"/>
        </w:rPr>
        <w:t xml:space="preserve">the confirmation of </w:t>
      </w:r>
      <w:r w:rsidRPr="003015CD">
        <w:rPr>
          <w:rFonts w:asciiTheme="majorHAnsi" w:hAnsiTheme="majorHAnsi"/>
          <w:color w:val="000000" w:themeColor="text1"/>
        </w:rPr>
        <w:t xml:space="preserve">conformity with the </w:t>
      </w:r>
      <w:r w:rsidRPr="003015CD">
        <w:rPr>
          <w:rFonts w:asciiTheme="majorHAnsi" w:hAnsiTheme="majorHAnsi" w:cstheme="majorHAnsi"/>
          <w:color w:val="000000" w:themeColor="text1"/>
        </w:rPr>
        <w:t xml:space="preserve">relevant </w:t>
      </w:r>
      <w:r w:rsidRPr="003015CD">
        <w:rPr>
          <w:rFonts w:asciiTheme="majorHAnsi" w:hAnsiTheme="majorHAnsi"/>
          <w:color w:val="000000" w:themeColor="text1"/>
        </w:rPr>
        <w:t>GSPR</w:t>
      </w:r>
      <w:r w:rsidR="00E67E03" w:rsidRPr="003015CD">
        <w:rPr>
          <w:rFonts w:asciiTheme="majorHAnsi" w:hAnsiTheme="majorHAnsi"/>
          <w:color w:val="000000" w:themeColor="text1"/>
        </w:rPr>
        <w:t>s</w:t>
      </w:r>
      <w:r w:rsidRPr="003015CD">
        <w:rPr>
          <w:rFonts w:asciiTheme="majorHAnsi" w:hAnsiTheme="majorHAnsi"/>
          <w:color w:val="000000" w:themeColor="text1"/>
        </w:rPr>
        <w:t xml:space="preserve"> requiring clinical data</w:t>
      </w:r>
      <w:r w:rsidRPr="003015CD">
        <w:rPr>
          <w:rStyle w:val="Appelnotedebasdep"/>
          <w:rFonts w:asciiTheme="majorHAnsi" w:hAnsiTheme="majorHAnsi"/>
          <w:color w:val="000000" w:themeColor="text1"/>
        </w:rPr>
        <w:footnoteReference w:id="63"/>
      </w:r>
      <w:r w:rsidRPr="003015CD">
        <w:rPr>
          <w:rFonts w:asciiTheme="majorHAnsi" w:hAnsiTheme="majorHAnsi"/>
          <w:color w:val="000000" w:themeColor="text1"/>
        </w:rPr>
        <w:t xml:space="preserve"> under the normal conditions of the intended use of the device, </w:t>
      </w:r>
      <w:r w:rsidR="00485715" w:rsidRPr="003015CD">
        <w:rPr>
          <w:rFonts w:asciiTheme="majorHAnsi" w:hAnsiTheme="majorHAnsi"/>
          <w:color w:val="000000" w:themeColor="text1"/>
        </w:rPr>
        <w:t>in relation to the</w:t>
      </w:r>
    </w:p>
    <w:p w14:paraId="0CA76F67" w14:textId="38C0BA22" w:rsidR="004171CC" w:rsidRPr="003015CD" w:rsidRDefault="00E06EDD" w:rsidP="00081885">
      <w:pPr>
        <w:pStyle w:val="Paragraphedeliste"/>
        <w:numPr>
          <w:ilvl w:val="0"/>
          <w:numId w:val="46"/>
        </w:numPr>
        <w:jc w:val="both"/>
        <w:rPr>
          <w:rFonts w:asciiTheme="majorHAnsi" w:hAnsiTheme="majorHAnsi" w:cstheme="majorBidi"/>
          <w:color w:val="000000" w:themeColor="text1"/>
        </w:rPr>
      </w:pPr>
      <w:r w:rsidRPr="003015CD">
        <w:rPr>
          <w:rFonts w:asciiTheme="majorHAnsi" w:hAnsiTheme="majorHAnsi"/>
          <w:color w:val="000000" w:themeColor="text1"/>
        </w:rPr>
        <w:t>device safety and performance</w:t>
      </w:r>
      <w:r w:rsidR="004171CC" w:rsidRPr="003015CD">
        <w:rPr>
          <w:rFonts w:asciiTheme="majorHAnsi" w:hAnsiTheme="majorHAnsi" w:cstheme="majorHAnsi"/>
          <w:color w:val="000000" w:themeColor="text1"/>
        </w:rPr>
        <w:t xml:space="preserve">, </w:t>
      </w:r>
    </w:p>
    <w:p w14:paraId="2DDF99C3" w14:textId="5FECC834" w:rsidR="00533407" w:rsidRPr="003015CD" w:rsidRDefault="004171CC" w:rsidP="36DE8064">
      <w:pPr>
        <w:pStyle w:val="Paragraphedeliste"/>
        <w:numPr>
          <w:ilvl w:val="0"/>
          <w:numId w:val="46"/>
        </w:numPr>
        <w:jc w:val="both"/>
        <w:rPr>
          <w:rFonts w:asciiTheme="majorHAnsi" w:hAnsiTheme="majorHAnsi" w:cstheme="majorBidi"/>
          <w:color w:val="000000" w:themeColor="text1"/>
        </w:rPr>
      </w:pPr>
      <w:r w:rsidRPr="003015CD">
        <w:rPr>
          <w:rFonts w:asciiTheme="majorHAnsi" w:hAnsiTheme="majorHAnsi" w:cstheme="majorBidi"/>
          <w:color w:val="000000" w:themeColor="text1"/>
        </w:rPr>
        <w:t>evaluation of undesirable side-effects, and</w:t>
      </w:r>
    </w:p>
    <w:p w14:paraId="0E698A81" w14:textId="2FD5953C" w:rsidR="004171CC" w:rsidRPr="003015CD" w:rsidRDefault="00533407" w:rsidP="36DE8064">
      <w:pPr>
        <w:pStyle w:val="Paragraphedeliste"/>
        <w:numPr>
          <w:ilvl w:val="0"/>
          <w:numId w:val="46"/>
        </w:numPr>
        <w:jc w:val="both"/>
        <w:rPr>
          <w:rFonts w:asciiTheme="majorHAnsi" w:hAnsiTheme="majorHAnsi" w:cstheme="majorBidi"/>
          <w:color w:val="000000" w:themeColor="text1"/>
        </w:rPr>
      </w:pPr>
      <w:r w:rsidRPr="003015CD">
        <w:rPr>
          <w:rFonts w:asciiTheme="majorHAnsi" w:hAnsiTheme="majorHAnsi" w:cstheme="majorBidi"/>
          <w:color w:val="000000" w:themeColor="text1"/>
        </w:rPr>
        <w:t>evaluation of the</w:t>
      </w:r>
      <w:r w:rsidR="004171CC" w:rsidRPr="003015CD">
        <w:rPr>
          <w:rFonts w:asciiTheme="majorHAnsi" w:hAnsiTheme="majorHAnsi" w:cstheme="majorBidi"/>
          <w:color w:val="000000" w:themeColor="text1"/>
        </w:rPr>
        <w:t xml:space="preserve"> </w:t>
      </w:r>
      <w:r w:rsidR="00ED0081" w:rsidRPr="003015CD">
        <w:rPr>
          <w:rFonts w:asciiTheme="majorHAnsi" w:hAnsiTheme="majorHAnsi" w:cstheme="majorBidi"/>
          <w:color w:val="000000" w:themeColor="text1"/>
        </w:rPr>
        <w:t>acceptability of the</w:t>
      </w:r>
      <w:r w:rsidR="004171CC" w:rsidRPr="003015CD">
        <w:rPr>
          <w:rFonts w:asciiTheme="majorHAnsi" w:hAnsiTheme="majorHAnsi" w:cstheme="majorBidi"/>
          <w:color w:val="000000" w:themeColor="text1"/>
        </w:rPr>
        <w:t xml:space="preserve"> benefit-risk ratio for the device,</w:t>
      </w:r>
    </w:p>
    <w:p w14:paraId="01F3204E"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manufacturer should then determine whether the generation of new or additional clinical data is required, as described in 10.3. </w:t>
      </w:r>
    </w:p>
    <w:p w14:paraId="012B1663" w14:textId="77777777" w:rsidR="007C5375" w:rsidRPr="003015CD" w:rsidRDefault="007C5375" w:rsidP="00081885">
      <w:pPr>
        <w:pStyle w:val="Sansinterligne"/>
        <w:numPr>
          <w:ilvl w:val="0"/>
          <w:numId w:val="0"/>
        </w:numPr>
        <w:jc w:val="both"/>
        <w:rPr>
          <w:rFonts w:asciiTheme="majorHAnsi" w:hAnsiTheme="majorHAnsi" w:cstheme="majorHAnsi"/>
          <w:color w:val="000000" w:themeColor="text1"/>
        </w:rPr>
      </w:pPr>
    </w:p>
    <w:p w14:paraId="672AEE9B" w14:textId="77777777" w:rsidR="004171CC" w:rsidRPr="003015CD" w:rsidRDefault="004171CC" w:rsidP="0052434F">
      <w:pPr>
        <w:pStyle w:val="Titre2"/>
        <w:ind w:left="0" w:firstLine="0"/>
        <w:jc w:val="both"/>
        <w:rPr>
          <w:rFonts w:asciiTheme="majorHAnsi" w:hAnsiTheme="majorHAnsi" w:cstheme="majorHAnsi"/>
          <w:color w:val="000000" w:themeColor="text1"/>
        </w:rPr>
      </w:pPr>
      <w:bookmarkStart w:id="152" w:name="_Toc236912911"/>
      <w:r w:rsidRPr="003015CD">
        <w:rPr>
          <w:rFonts w:asciiTheme="majorHAnsi" w:hAnsiTheme="majorHAnsi" w:cstheme="majorHAnsi"/>
          <w:color w:val="000000" w:themeColor="text1"/>
        </w:rPr>
        <w:t>Determining the requirement for new or additional clinical data</w:t>
      </w:r>
      <w:bookmarkEnd w:id="152"/>
      <w:r w:rsidRPr="003015CD">
        <w:rPr>
          <w:rFonts w:asciiTheme="majorHAnsi" w:hAnsiTheme="majorHAnsi" w:cstheme="majorHAnsi"/>
          <w:color w:val="000000" w:themeColor="text1"/>
        </w:rPr>
        <w:t xml:space="preserve"> </w:t>
      </w:r>
    </w:p>
    <w:p w14:paraId="751098D5" w14:textId="77777777" w:rsidR="004171CC" w:rsidRPr="003015CD" w:rsidRDefault="004171CC" w:rsidP="00081885">
      <w:pPr>
        <w:pStyle w:val="Text-Indent"/>
        <w:ind w:left="0"/>
        <w:jc w:val="both"/>
        <w:rPr>
          <w:rFonts w:asciiTheme="majorHAnsi" w:hAnsiTheme="majorHAnsi" w:cstheme="majorBidi"/>
          <w:color w:val="000000" w:themeColor="text1"/>
        </w:rPr>
      </w:pPr>
      <w:r w:rsidRPr="003015CD">
        <w:rPr>
          <w:rFonts w:asciiTheme="majorHAnsi" w:hAnsiTheme="majorHAnsi" w:cstheme="majorHAnsi"/>
          <w:color w:val="000000" w:themeColor="text1"/>
        </w:rPr>
        <w:t>To determine if the generation of additional clinical data is required</w:t>
      </w:r>
      <w:r w:rsidRPr="003015CD">
        <w:rPr>
          <w:rStyle w:val="Appelnotedebasdep"/>
          <w:rFonts w:asciiTheme="majorHAnsi" w:hAnsiTheme="majorHAnsi" w:cstheme="majorHAnsi"/>
          <w:color w:val="000000" w:themeColor="text1"/>
        </w:rPr>
        <w:footnoteReference w:id="64"/>
      </w:r>
      <w:r w:rsidRPr="003015CD">
        <w:rPr>
          <w:rFonts w:asciiTheme="majorHAnsi" w:hAnsiTheme="majorHAnsi" w:cstheme="majorHAnsi"/>
          <w:color w:val="000000" w:themeColor="text1"/>
        </w:rPr>
        <w:t xml:space="preserve">, the evaluators should identify </w:t>
      </w:r>
      <w:r w:rsidRPr="003015CD">
        <w:rPr>
          <w:rFonts w:asciiTheme="majorHAnsi" w:hAnsiTheme="majorHAnsi" w:cstheme="majorBidi"/>
          <w:color w:val="000000" w:themeColor="text1"/>
        </w:rPr>
        <w:t>and describe any relevant gaps in available clinical data, including any gaps that may affect:</w:t>
      </w:r>
    </w:p>
    <w:p w14:paraId="18C42322" w14:textId="12EF4E14" w:rsidR="004171CC" w:rsidRPr="003015CD" w:rsidRDefault="004171CC" w:rsidP="00081885">
      <w:pPr>
        <w:pStyle w:val="Sansinterligne"/>
        <w:numPr>
          <w:ilvl w:val="0"/>
          <w:numId w:val="131"/>
        </w:numPr>
        <w:jc w:val="both"/>
        <w:rPr>
          <w:rFonts w:asciiTheme="majorHAnsi" w:hAnsiTheme="majorHAnsi" w:cstheme="majorBidi"/>
          <w:color w:val="000000" w:themeColor="text1"/>
        </w:rPr>
      </w:pPr>
      <w:r w:rsidRPr="003015CD">
        <w:rPr>
          <w:rFonts w:asciiTheme="majorHAnsi" w:hAnsiTheme="majorHAnsi" w:cstheme="majorBidi"/>
          <w:color w:val="000000" w:themeColor="text1"/>
        </w:rPr>
        <w:t>the consideration of specifics of the interaction between the device and the human body</w:t>
      </w:r>
    </w:p>
    <w:p w14:paraId="37849DA7" w14:textId="77777777" w:rsidR="004171CC" w:rsidRPr="003015CD" w:rsidRDefault="004171CC" w:rsidP="00081885">
      <w:pPr>
        <w:pStyle w:val="Sansinterligne"/>
        <w:numPr>
          <w:ilvl w:val="0"/>
          <w:numId w:val="131"/>
        </w:numPr>
        <w:jc w:val="both"/>
        <w:rPr>
          <w:rFonts w:asciiTheme="majorHAnsi" w:hAnsiTheme="majorHAnsi"/>
          <w:color w:val="000000" w:themeColor="text1"/>
        </w:rPr>
      </w:pPr>
      <w:r w:rsidRPr="003015CD">
        <w:rPr>
          <w:rFonts w:asciiTheme="majorHAnsi" w:hAnsiTheme="majorHAnsi" w:cstheme="majorHAnsi"/>
          <w:color w:val="000000" w:themeColor="text1"/>
        </w:rPr>
        <w:t xml:space="preserve">the comprehensiveness of the </w:t>
      </w:r>
      <w:r w:rsidRPr="003015CD">
        <w:rPr>
          <w:rFonts w:asciiTheme="majorHAnsi" w:hAnsiTheme="majorHAnsi"/>
          <w:color w:val="000000" w:themeColor="text1"/>
        </w:rPr>
        <w:t xml:space="preserve">available </w:t>
      </w:r>
      <w:r w:rsidRPr="003015CD">
        <w:rPr>
          <w:rFonts w:asciiTheme="majorHAnsi" w:hAnsiTheme="majorHAnsi" w:cstheme="majorHAnsi"/>
          <w:color w:val="000000" w:themeColor="text1"/>
        </w:rPr>
        <w:t>clinical data, taking into account:</w:t>
      </w:r>
    </w:p>
    <w:p w14:paraId="75A0E263" w14:textId="77777777" w:rsidR="004171CC" w:rsidRPr="003015CD" w:rsidRDefault="004171CC" w:rsidP="00081885">
      <w:pPr>
        <w:pStyle w:val="Sansinterligne"/>
        <w:numPr>
          <w:ilvl w:val="1"/>
          <w:numId w:val="131"/>
        </w:numPr>
        <w:jc w:val="both"/>
        <w:rPr>
          <w:rFonts w:asciiTheme="majorHAnsi" w:hAnsiTheme="majorHAnsi"/>
          <w:color w:val="000000" w:themeColor="text1"/>
        </w:rPr>
      </w:pPr>
      <w:r w:rsidRPr="003015CD">
        <w:rPr>
          <w:rFonts w:asciiTheme="majorHAnsi" w:hAnsiTheme="majorHAnsi"/>
          <w:color w:val="000000" w:themeColor="text1"/>
        </w:rPr>
        <w:t>the range of devices covered by the clinical evaluation</w:t>
      </w:r>
      <w:r w:rsidRPr="003015CD">
        <w:rPr>
          <w:rFonts w:asciiTheme="majorHAnsi" w:hAnsiTheme="majorHAnsi" w:cstheme="majorHAnsi"/>
          <w:color w:val="000000" w:themeColor="text1"/>
        </w:rPr>
        <w:t>, including models, sizes, variants, accessories, and configurations as appropriate</w:t>
      </w:r>
    </w:p>
    <w:p w14:paraId="3819DE2F" w14:textId="77777777" w:rsidR="004171CC" w:rsidRPr="003015CD" w:rsidRDefault="004171CC" w:rsidP="00081885">
      <w:pPr>
        <w:pStyle w:val="Sansinterligne"/>
        <w:numPr>
          <w:ilvl w:val="1"/>
          <w:numId w:val="131"/>
        </w:numPr>
        <w:jc w:val="both"/>
        <w:rPr>
          <w:rFonts w:asciiTheme="majorHAnsi" w:hAnsiTheme="majorHAnsi"/>
          <w:color w:val="000000" w:themeColor="text1"/>
        </w:rPr>
      </w:pPr>
      <w:r w:rsidRPr="003015CD">
        <w:rPr>
          <w:rFonts w:asciiTheme="majorHAnsi" w:hAnsiTheme="majorHAnsi"/>
          <w:color w:val="000000" w:themeColor="text1"/>
        </w:rPr>
        <w:t>the entire range of conditions of use and of the intended purpose</w:t>
      </w:r>
    </w:p>
    <w:p w14:paraId="536D9268" w14:textId="77777777" w:rsidR="004171CC" w:rsidRPr="003015CD" w:rsidRDefault="004171CC" w:rsidP="00081885">
      <w:pPr>
        <w:pStyle w:val="Sansinterligne"/>
        <w:numPr>
          <w:ilvl w:val="1"/>
          <w:numId w:val="131"/>
        </w:num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the number of patients that have been exposed to the device to date</w:t>
      </w:r>
    </w:p>
    <w:p w14:paraId="2D9677C0" w14:textId="019314A9" w:rsidR="004171CC" w:rsidRPr="003015CD" w:rsidRDefault="004171CC" w:rsidP="00081885">
      <w:pPr>
        <w:pStyle w:val="Sansinterligne"/>
        <w:numPr>
          <w:ilvl w:val="0"/>
          <w:numId w:val="131"/>
        </w:numPr>
        <w:jc w:val="both"/>
        <w:rPr>
          <w:rFonts w:asciiTheme="majorHAnsi" w:hAnsiTheme="majorHAnsi"/>
          <w:color w:val="000000" w:themeColor="text1"/>
        </w:rPr>
      </w:pPr>
      <w:r w:rsidRPr="003015CD">
        <w:rPr>
          <w:rFonts w:asciiTheme="majorHAnsi" w:hAnsiTheme="majorHAnsi"/>
          <w:color w:val="000000" w:themeColor="text1"/>
        </w:rPr>
        <w:t xml:space="preserve">the adequacy of </w:t>
      </w:r>
      <w:r w:rsidRPr="003015CD">
        <w:rPr>
          <w:rFonts w:asciiTheme="majorHAnsi" w:hAnsiTheme="majorHAnsi" w:cstheme="majorBidi"/>
          <w:color w:val="000000" w:themeColor="text1"/>
        </w:rPr>
        <w:t>patient follow-up data</w:t>
      </w:r>
    </w:p>
    <w:p w14:paraId="007CBDAC" w14:textId="028C3E23" w:rsidR="004171CC" w:rsidRPr="003015CD" w:rsidRDefault="004171CC" w:rsidP="00081885">
      <w:pPr>
        <w:pStyle w:val="Sansinterligne"/>
        <w:numPr>
          <w:ilvl w:val="0"/>
          <w:numId w:val="131"/>
        </w:num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the ability to identify and evaluate hazards and undesirable side-effects throughout the device expected lifetime</w:t>
      </w:r>
    </w:p>
    <w:p w14:paraId="4C851672" w14:textId="77777777" w:rsidR="004171CC" w:rsidRPr="003015CD" w:rsidRDefault="004171CC" w:rsidP="00081885">
      <w:pPr>
        <w:pStyle w:val="Sansinterligne"/>
        <w:numPr>
          <w:ilvl w:val="0"/>
          <w:numId w:val="131"/>
        </w:numPr>
        <w:spacing w:line="259" w:lineRule="auto"/>
        <w:jc w:val="both"/>
        <w:rPr>
          <w:rFonts w:asciiTheme="majorHAnsi" w:hAnsiTheme="majorHAnsi" w:cstheme="majorBidi"/>
          <w:color w:val="000000" w:themeColor="text1"/>
        </w:rPr>
      </w:pPr>
      <w:r w:rsidRPr="003015CD">
        <w:rPr>
          <w:rFonts w:asciiTheme="majorHAnsi" w:hAnsiTheme="majorHAnsi" w:cstheme="majorHAnsi"/>
          <w:color w:val="000000" w:themeColor="text1"/>
        </w:rPr>
        <w:t>the evaluation of the benefit-risk ratio for the device.</w:t>
      </w:r>
    </w:p>
    <w:p w14:paraId="28BAFEA4" w14:textId="5D0EEADB" w:rsidR="004171CC" w:rsidRPr="003015CD" w:rsidRDefault="004171CC" w:rsidP="36DE8064">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Additional clinical data should be generated to address relevant gaps. </w:t>
      </w:r>
      <w:r w:rsidRPr="003015CD">
        <w:rPr>
          <w:rFonts w:asciiTheme="majorHAnsi" w:hAnsiTheme="majorHAnsi"/>
          <w:color w:val="000000" w:themeColor="text1"/>
        </w:rPr>
        <w:t>See Stage 4 (</w:t>
      </w:r>
      <w:r w:rsidR="00513688" w:rsidRPr="003015CD">
        <w:rPr>
          <w:rFonts w:asciiTheme="majorHAnsi" w:hAnsiTheme="majorHAnsi"/>
          <w:color w:val="000000" w:themeColor="text1"/>
        </w:rPr>
        <w:t xml:space="preserve">see </w:t>
      </w:r>
      <w:r w:rsidRPr="003015CD">
        <w:rPr>
          <w:rFonts w:asciiTheme="majorHAnsi" w:hAnsiTheme="majorHAnsi"/>
          <w:color w:val="000000" w:themeColor="text1"/>
        </w:rPr>
        <w:t xml:space="preserve">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_Ref164263177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11</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w:t>
      </w:r>
      <w:r w:rsidRPr="003015CD">
        <w:rPr>
          <w:rFonts w:asciiTheme="majorHAnsi" w:hAnsiTheme="majorHAnsi"/>
          <w:color w:val="000000" w:themeColor="text1"/>
        </w:rPr>
        <w:t xml:space="preserve"> for more information.</w:t>
      </w:r>
    </w:p>
    <w:p w14:paraId="381A25D1" w14:textId="77777777" w:rsidR="000672FF" w:rsidRPr="003015CD" w:rsidRDefault="000672FF">
      <w:pPr>
        <w:spacing w:before="0" w:after="0"/>
        <w:rPr>
          <w:rFonts w:asciiTheme="majorHAnsi" w:hAnsiTheme="majorHAnsi" w:cstheme="majorHAnsi"/>
          <w:b/>
          <w:bCs/>
          <w:color w:val="000000" w:themeColor="text1"/>
          <w:sz w:val="32"/>
          <w:szCs w:val="28"/>
        </w:rPr>
      </w:pPr>
      <w:bookmarkStart w:id="153" w:name="_Ref164263177"/>
      <w:bookmarkStart w:id="154" w:name="_Toc172294358"/>
      <w:r w:rsidRPr="003015CD">
        <w:rPr>
          <w:rFonts w:asciiTheme="majorHAnsi" w:hAnsiTheme="majorHAnsi" w:cstheme="majorHAnsi"/>
          <w:color w:val="000000" w:themeColor="text1"/>
        </w:rPr>
        <w:br w:type="page"/>
      </w:r>
    </w:p>
    <w:p w14:paraId="28FF9E2F" w14:textId="5B25116B" w:rsidR="004171CC" w:rsidRPr="003015CD" w:rsidRDefault="004171CC" w:rsidP="0052434F">
      <w:pPr>
        <w:pStyle w:val="Titre1"/>
        <w:ind w:left="426"/>
        <w:jc w:val="both"/>
        <w:rPr>
          <w:rFonts w:asciiTheme="majorHAnsi" w:hAnsiTheme="majorHAnsi" w:cstheme="majorHAnsi"/>
          <w:color w:val="000000" w:themeColor="text1"/>
        </w:rPr>
      </w:pPr>
      <w:bookmarkStart w:id="155" w:name="_Toc236912912"/>
      <w:r w:rsidRPr="003015CD">
        <w:rPr>
          <w:rFonts w:asciiTheme="majorHAnsi" w:hAnsiTheme="majorHAnsi" w:cstheme="majorHAnsi"/>
          <w:color w:val="000000" w:themeColor="text1"/>
        </w:rPr>
        <w:t>Generation of new or additional clinical data (Stage 4)</w:t>
      </w:r>
      <w:bookmarkEnd w:id="153"/>
      <w:bookmarkEnd w:id="154"/>
      <w:bookmarkEnd w:id="155"/>
    </w:p>
    <w:p w14:paraId="71644464" w14:textId="593874AB" w:rsidR="004171CC" w:rsidRPr="003015CD" w:rsidRDefault="004171CC" w:rsidP="36DE8064">
      <w:pPr>
        <w:pStyle w:val="Sansinterligne"/>
        <w:numPr>
          <w:ilvl w:val="0"/>
          <w:numId w:val="0"/>
        </w:numPr>
        <w:jc w:val="both"/>
        <w:rPr>
          <w:rFonts w:asciiTheme="majorHAnsi" w:hAnsiTheme="majorHAnsi"/>
          <w:color w:val="000000" w:themeColor="text1"/>
        </w:rPr>
      </w:pPr>
      <w:r w:rsidRPr="003015CD">
        <w:rPr>
          <w:rFonts w:asciiTheme="majorHAnsi" w:hAnsiTheme="majorHAnsi" w:cstheme="majorBidi"/>
          <w:color w:val="000000" w:themeColor="text1"/>
        </w:rPr>
        <w:t>During the clinical evaluation</w:t>
      </w:r>
      <w:r w:rsidRPr="003015CD">
        <w:rPr>
          <w:rFonts w:asciiTheme="majorHAnsi" w:hAnsiTheme="majorHAnsi"/>
          <w:color w:val="000000" w:themeColor="text1"/>
        </w:rPr>
        <w:t xml:space="preserve"> and </w:t>
      </w:r>
      <w:r w:rsidRPr="003015CD">
        <w:rPr>
          <w:rFonts w:asciiTheme="majorHAnsi" w:hAnsiTheme="majorHAnsi" w:cstheme="majorBidi"/>
          <w:color w:val="000000" w:themeColor="text1"/>
        </w:rPr>
        <w:t>throughout the lifecycle</w:t>
      </w:r>
      <w:r w:rsidRPr="003015CD">
        <w:rPr>
          <w:rFonts w:asciiTheme="majorHAnsi" w:hAnsiTheme="majorHAnsi"/>
          <w:color w:val="000000" w:themeColor="text1"/>
        </w:rPr>
        <w:t xml:space="preserve"> of </w:t>
      </w:r>
      <w:r w:rsidRPr="003015CD">
        <w:rPr>
          <w:rFonts w:asciiTheme="majorHAnsi" w:hAnsiTheme="majorHAnsi" w:cstheme="majorBidi"/>
          <w:color w:val="000000" w:themeColor="text1"/>
        </w:rPr>
        <w:t>the device</w:t>
      </w:r>
      <w:r w:rsidRPr="003015CD">
        <w:rPr>
          <w:rFonts w:asciiTheme="majorHAnsi" w:hAnsiTheme="majorHAnsi"/>
          <w:color w:val="000000" w:themeColor="text1"/>
        </w:rPr>
        <w:t xml:space="preserve">, outstanding issues may be identified </w:t>
      </w:r>
      <w:r w:rsidRPr="003015CD">
        <w:rPr>
          <w:rFonts w:asciiTheme="majorHAnsi" w:hAnsiTheme="majorHAnsi" w:cstheme="majorBidi"/>
          <w:color w:val="000000" w:themeColor="text1"/>
        </w:rPr>
        <w:t>that need to be addressed through the generation of new or</w:t>
      </w:r>
      <w:r w:rsidRPr="003015CD">
        <w:rPr>
          <w:rFonts w:asciiTheme="majorHAnsi" w:hAnsiTheme="majorHAnsi"/>
          <w:color w:val="000000" w:themeColor="text1"/>
        </w:rPr>
        <w:t xml:space="preserve"> additional clinical data.  These issues may become apparent in the pre-market setting, or they may emerge in the post-market setting where new </w:t>
      </w:r>
      <w:r w:rsidRPr="003015CD">
        <w:rPr>
          <w:rFonts w:asciiTheme="majorHAnsi" w:hAnsiTheme="majorHAnsi" w:cstheme="majorBidi"/>
          <w:color w:val="000000" w:themeColor="text1"/>
        </w:rPr>
        <w:t>information -</w:t>
      </w:r>
      <w:r w:rsidRPr="003015CD">
        <w:rPr>
          <w:rFonts w:asciiTheme="majorHAnsi" w:hAnsiTheme="majorHAnsi"/>
          <w:color w:val="000000" w:themeColor="text1"/>
        </w:rPr>
        <w:t xml:space="preserve"> related to the device in question, similar </w:t>
      </w:r>
      <w:r w:rsidRPr="003015CD">
        <w:rPr>
          <w:rFonts w:asciiTheme="majorHAnsi" w:hAnsiTheme="majorHAnsi" w:cstheme="majorBidi"/>
          <w:color w:val="000000" w:themeColor="text1"/>
        </w:rPr>
        <w:t xml:space="preserve">or equivalent </w:t>
      </w:r>
      <w:r w:rsidRPr="003015CD">
        <w:rPr>
          <w:rFonts w:asciiTheme="majorHAnsi" w:hAnsiTheme="majorHAnsi"/>
          <w:color w:val="000000" w:themeColor="text1"/>
        </w:rPr>
        <w:t xml:space="preserve">devices, the </w:t>
      </w:r>
      <w:r w:rsidR="006D182F" w:rsidRPr="003015CD">
        <w:rPr>
          <w:rFonts w:asciiTheme="majorHAnsi" w:hAnsiTheme="majorHAnsi"/>
          <w:color w:val="000000" w:themeColor="text1"/>
        </w:rPr>
        <w:t>SOTA</w:t>
      </w:r>
      <w:r w:rsidRPr="003015CD">
        <w:rPr>
          <w:rFonts w:asciiTheme="majorHAnsi" w:hAnsiTheme="majorHAnsi" w:cstheme="majorBidi"/>
          <w:color w:val="000000" w:themeColor="text1"/>
        </w:rPr>
        <w:t xml:space="preserve">, </w:t>
      </w:r>
      <w:r w:rsidRPr="003015CD">
        <w:rPr>
          <w:rFonts w:asciiTheme="majorHAnsi" w:hAnsiTheme="majorHAnsi"/>
          <w:color w:val="000000" w:themeColor="text1"/>
        </w:rPr>
        <w:t xml:space="preserve">or normal clinical practice - identifies issues that had not previously emerged or were not identifiable </w:t>
      </w:r>
      <w:r w:rsidR="009000AC" w:rsidRPr="003015CD">
        <w:rPr>
          <w:rFonts w:asciiTheme="majorHAnsi" w:hAnsiTheme="majorHAnsi"/>
          <w:color w:val="000000" w:themeColor="text1"/>
        </w:rPr>
        <w:t xml:space="preserve">in the </w:t>
      </w:r>
      <w:r w:rsidRPr="003015CD">
        <w:rPr>
          <w:rFonts w:asciiTheme="majorHAnsi" w:hAnsiTheme="majorHAnsi"/>
          <w:color w:val="000000" w:themeColor="text1"/>
        </w:rPr>
        <w:t>pre-market</w:t>
      </w:r>
      <w:r w:rsidR="009000AC" w:rsidRPr="003015CD">
        <w:rPr>
          <w:rFonts w:asciiTheme="majorHAnsi" w:hAnsiTheme="majorHAnsi"/>
          <w:color w:val="000000" w:themeColor="text1"/>
        </w:rPr>
        <w:t xml:space="preserve"> setting</w:t>
      </w:r>
      <w:r w:rsidRPr="003015CD">
        <w:rPr>
          <w:rFonts w:asciiTheme="majorHAnsi" w:hAnsiTheme="majorHAnsi"/>
          <w:color w:val="000000" w:themeColor="text1"/>
        </w:rPr>
        <w:t>.</w:t>
      </w:r>
    </w:p>
    <w:p w14:paraId="2EA0AFEF" w14:textId="0BD37F9A" w:rsidR="004171CC" w:rsidRPr="003015CD" w:rsidRDefault="004171CC" w:rsidP="36DE8064">
      <w:pPr>
        <w:pStyle w:val="Sansinterligne"/>
        <w:numPr>
          <w:ilvl w:val="0"/>
          <w:numId w:val="0"/>
        </w:numPr>
        <w:jc w:val="both"/>
        <w:rPr>
          <w:rFonts w:asciiTheme="majorHAnsi" w:hAnsiTheme="majorHAnsi"/>
          <w:color w:val="000000" w:themeColor="text1"/>
        </w:rPr>
      </w:pPr>
      <w:r w:rsidRPr="003015CD">
        <w:rPr>
          <w:rFonts w:asciiTheme="majorHAnsi" w:hAnsiTheme="majorHAnsi"/>
          <w:color w:val="000000" w:themeColor="text1"/>
        </w:rPr>
        <w:t xml:space="preserve">Depending on the individual scenario, new or additional </w:t>
      </w:r>
      <w:r w:rsidRPr="003015CD">
        <w:rPr>
          <w:rFonts w:asciiTheme="majorHAnsi" w:hAnsiTheme="majorHAnsi" w:cstheme="majorBidi"/>
          <w:color w:val="000000" w:themeColor="text1"/>
        </w:rPr>
        <w:t xml:space="preserve">clinical </w:t>
      </w:r>
      <w:r w:rsidRPr="003015CD">
        <w:rPr>
          <w:rFonts w:asciiTheme="majorHAnsi" w:hAnsiTheme="majorHAnsi"/>
          <w:color w:val="000000" w:themeColor="text1"/>
        </w:rPr>
        <w:t xml:space="preserve">data may need to be generated or collected in the pre-market and/or post-market settings. The methods </w:t>
      </w:r>
      <w:r w:rsidRPr="003015CD">
        <w:rPr>
          <w:rFonts w:asciiTheme="majorHAnsi" w:hAnsiTheme="majorHAnsi" w:cstheme="majorBidi"/>
          <w:color w:val="000000" w:themeColor="text1"/>
        </w:rPr>
        <w:t xml:space="preserve">chosen </w:t>
      </w:r>
      <w:r w:rsidRPr="003015CD">
        <w:rPr>
          <w:rFonts w:asciiTheme="majorHAnsi" w:hAnsiTheme="majorHAnsi"/>
          <w:color w:val="000000" w:themeColor="text1"/>
        </w:rPr>
        <w:t xml:space="preserve">need to be duly justified, and where applicable, new clinical data should be generated in line with relevant </w:t>
      </w:r>
      <w:r w:rsidRPr="003015CD">
        <w:rPr>
          <w:rFonts w:asciiTheme="majorHAnsi" w:hAnsiTheme="majorHAnsi" w:cstheme="majorBidi"/>
          <w:color w:val="000000" w:themeColor="text1"/>
        </w:rPr>
        <w:t xml:space="preserve">standards (e.g., ISO 14155), common specifications, appropriate </w:t>
      </w:r>
      <w:r w:rsidRPr="003015CD">
        <w:rPr>
          <w:rFonts w:asciiTheme="majorHAnsi" w:hAnsiTheme="majorHAnsi"/>
          <w:color w:val="000000" w:themeColor="text1"/>
        </w:rPr>
        <w:t>GCP guidance (e.g., ICH guidance for studies of both devices and medicinal products), and/or internationally recognised consensus guidance and the relevant</w:t>
      </w:r>
      <w:r w:rsidR="006D182F" w:rsidRPr="003015CD">
        <w:rPr>
          <w:rFonts w:asciiTheme="majorHAnsi" w:hAnsiTheme="majorHAnsi"/>
          <w:color w:val="000000" w:themeColor="text1"/>
        </w:rPr>
        <w:t xml:space="preserve"> SOTA</w:t>
      </w:r>
      <w:r w:rsidRPr="003015CD">
        <w:rPr>
          <w:rFonts w:asciiTheme="majorHAnsi" w:hAnsiTheme="majorHAnsi"/>
          <w:color w:val="000000" w:themeColor="text1"/>
        </w:rPr>
        <w:t xml:space="preserve">. Once generated, </w:t>
      </w:r>
      <w:r w:rsidRPr="003015CD">
        <w:rPr>
          <w:rFonts w:asciiTheme="majorHAnsi" w:hAnsiTheme="majorHAnsi" w:cstheme="majorBidi"/>
          <w:color w:val="000000" w:themeColor="text1"/>
        </w:rPr>
        <w:t>all</w:t>
      </w:r>
      <w:r w:rsidRPr="003015CD">
        <w:rPr>
          <w:rFonts w:asciiTheme="majorHAnsi" w:hAnsiTheme="majorHAnsi"/>
          <w:color w:val="000000" w:themeColor="text1"/>
        </w:rPr>
        <w:t xml:space="preserve"> new and additional</w:t>
      </w:r>
      <w:r w:rsidRPr="003015CD">
        <w:rPr>
          <w:rFonts w:asciiTheme="majorHAnsi" w:hAnsiTheme="majorHAnsi" w:cstheme="majorBidi"/>
          <w:color w:val="000000" w:themeColor="text1"/>
        </w:rPr>
        <w:t xml:space="preserve"> clinical</w:t>
      </w:r>
      <w:r w:rsidRPr="003015CD">
        <w:rPr>
          <w:rFonts w:asciiTheme="majorHAnsi" w:hAnsiTheme="majorHAnsi"/>
          <w:color w:val="000000" w:themeColor="text1"/>
        </w:rPr>
        <w:t xml:space="preserve"> data should undergo appraisal and analysis in line with Stage 2 (see Section 9) and Stage 3 (see Section 10) of this guidance. </w:t>
      </w:r>
    </w:p>
    <w:p w14:paraId="1082FF1B" w14:textId="77777777" w:rsidR="00456DCD" w:rsidRPr="003015CD" w:rsidRDefault="00456DCD" w:rsidP="00081885">
      <w:pPr>
        <w:pStyle w:val="Sansinterligne"/>
        <w:numPr>
          <w:ilvl w:val="0"/>
          <w:numId w:val="0"/>
        </w:numPr>
        <w:jc w:val="both"/>
        <w:rPr>
          <w:rFonts w:asciiTheme="majorHAnsi" w:hAnsiTheme="majorHAnsi"/>
          <w:color w:val="000000" w:themeColor="text1"/>
        </w:rPr>
      </w:pPr>
    </w:p>
    <w:p w14:paraId="7F9B2066"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56" w:name="_Ref171001626"/>
      <w:bookmarkStart w:id="157" w:name="_Toc236912913"/>
      <w:bookmarkStart w:id="158" w:name="_Hlk167799782"/>
      <w:bookmarkStart w:id="159" w:name="_Toc158731012"/>
      <w:r w:rsidRPr="003015CD">
        <w:rPr>
          <w:rFonts w:asciiTheme="majorHAnsi" w:hAnsiTheme="majorHAnsi" w:cstheme="majorHAnsi"/>
          <w:color w:val="000000" w:themeColor="text1"/>
        </w:rPr>
        <w:t>Pilot and pivotal pre-market clinical investigations</w:t>
      </w:r>
      <w:bookmarkEnd w:id="156"/>
      <w:bookmarkEnd w:id="157"/>
    </w:p>
    <w:p w14:paraId="7D36D686" w14:textId="77777777" w:rsidR="004171CC" w:rsidRPr="003015CD" w:rsidRDefault="004171CC" w:rsidP="00081885">
      <w:r w:rsidRPr="003015CD">
        <w:t>While pre-market clinical investigations are mandatory for certain high-risk medical devices (see MDCG 2023-7), it may be necessary for a manufacturer to perform pilot and/or pivotal clinical investigations for devices of any risk class as part of their clinical development plan, for the purposes of generating new or additional clinical data. MDCG 2021-6 gives further detailed guidance regarding the planning and conduct of clinical investigations.</w:t>
      </w:r>
    </w:p>
    <w:p w14:paraId="3BD0BB0E" w14:textId="77777777" w:rsidR="004171CC" w:rsidRPr="003015CD" w:rsidRDefault="004171CC" w:rsidP="00081885">
      <w:pPr>
        <w:jc w:val="both"/>
        <w:rPr>
          <w:rFonts w:asciiTheme="majorHAnsi" w:hAnsiTheme="majorHAnsi"/>
          <w:color w:val="000000" w:themeColor="text1"/>
        </w:rPr>
      </w:pPr>
      <w:r w:rsidRPr="003015CD">
        <w:rPr>
          <w:rFonts w:asciiTheme="majorHAnsi" w:hAnsiTheme="majorHAnsi"/>
          <w:color w:val="000000" w:themeColor="text1"/>
        </w:rPr>
        <w:t xml:space="preserve">Of note, the developmental stage of a clinical investigation is an important characteristic that should be specified and understood during clinical development and evaluation planning; however, for clinical evaluation purposes, the scientific validity of the data produced by the study is more relevant than the developmental stage it has been assigned. For example, a clinical investigation may be planned as a pivotal investigation, however the results may be inconclusive or may fail to statistically confirm or reject the study hypothesis, and thus the clinical investigation may not have produced pivotal data. In such cases, it may be necessary to generate additional clinical data which may provide sufficient clinical evidence when all clinical data sources are evaluated together. </w:t>
      </w:r>
    </w:p>
    <w:p w14:paraId="51A4E2F9" w14:textId="77777777" w:rsidR="004171CC" w:rsidRPr="003015CD" w:rsidRDefault="004171CC" w:rsidP="00081885"/>
    <w:p w14:paraId="3DA450F6" w14:textId="77777777" w:rsidR="004171CC" w:rsidRPr="003015CD" w:rsidRDefault="004171CC" w:rsidP="0052434F">
      <w:pPr>
        <w:pStyle w:val="Titre3"/>
        <w:spacing w:line="259" w:lineRule="auto"/>
        <w:ind w:left="993" w:hanging="993"/>
        <w:jc w:val="both"/>
        <w:rPr>
          <w:rFonts w:asciiTheme="majorHAnsi" w:hAnsiTheme="majorHAnsi" w:cstheme="majorHAnsi"/>
          <w:color w:val="000000" w:themeColor="text1"/>
        </w:rPr>
      </w:pPr>
      <w:bookmarkStart w:id="160" w:name="_Toc236912914"/>
      <w:bookmarkEnd w:id="158"/>
      <w:r w:rsidRPr="003015CD">
        <w:rPr>
          <w:rFonts w:asciiTheme="majorHAnsi" w:hAnsiTheme="majorHAnsi" w:cstheme="majorHAnsi"/>
          <w:color w:val="000000" w:themeColor="text1"/>
        </w:rPr>
        <w:t>Pilot (early-stage, pre-market) clinical investigations</w:t>
      </w:r>
      <w:bookmarkEnd w:id="160"/>
    </w:p>
    <w:p w14:paraId="63C2B36C" w14:textId="77777777" w:rsidR="004171CC" w:rsidRPr="003015CD" w:rsidRDefault="004171CC" w:rsidP="00081885">
      <w:pPr>
        <w:jc w:val="both"/>
        <w:rPr>
          <w:rFonts w:asciiTheme="majorHAnsi" w:hAnsiTheme="majorHAnsi"/>
          <w:color w:val="000000" w:themeColor="text1"/>
        </w:rPr>
      </w:pPr>
      <w:r w:rsidRPr="003015CD">
        <w:rPr>
          <w:rFonts w:asciiTheme="majorHAnsi" w:hAnsiTheme="majorHAnsi" w:cstheme="majorHAnsi"/>
          <w:color w:val="000000" w:themeColor="text1"/>
        </w:rPr>
        <w:t>Generally</w:t>
      </w:r>
      <w:r w:rsidRPr="003015CD">
        <w:rPr>
          <w:rFonts w:asciiTheme="majorHAnsi" w:hAnsiTheme="majorHAnsi"/>
          <w:color w:val="000000" w:themeColor="text1"/>
        </w:rPr>
        <w:t>, pilot clinical investigations are exploratory in nature</w:t>
      </w:r>
      <w:r w:rsidRPr="003015CD">
        <w:rPr>
          <w:rFonts w:asciiTheme="majorHAnsi" w:hAnsiTheme="majorHAnsi" w:cstheme="majorHAnsi"/>
          <w:color w:val="000000" w:themeColor="text1"/>
        </w:rPr>
        <w:t xml:space="preserve"> and are conducted early in the clinical development of a device.</w:t>
      </w:r>
      <w:r w:rsidRPr="003015CD">
        <w:rPr>
          <w:rStyle w:val="Appelnotedebasdep"/>
          <w:rFonts w:asciiTheme="majorHAnsi" w:hAnsiTheme="majorHAnsi" w:cstheme="majorHAnsi"/>
          <w:color w:val="000000" w:themeColor="text1"/>
        </w:rPr>
        <w:footnoteReference w:id="65"/>
      </w:r>
      <w:r w:rsidRPr="003015CD">
        <w:rPr>
          <w:rFonts w:asciiTheme="majorHAnsi" w:hAnsiTheme="majorHAnsi" w:cstheme="majorHAnsi"/>
          <w:color w:val="000000" w:themeColor="text1"/>
        </w:rPr>
        <w:t xml:space="preserve"> For high-risk medical devices, data generated in pilot clinical investigations generally do not provide sufficient clinical evidence on their own, and additional confirmatory clinical data (e.g., from pivotal</w:t>
      </w:r>
      <w:r w:rsidRPr="003015CD">
        <w:rPr>
          <w:rFonts w:asciiTheme="majorHAnsi" w:hAnsiTheme="majorHAnsi"/>
          <w:color w:val="000000" w:themeColor="text1"/>
        </w:rPr>
        <w:t xml:space="preserve"> clinical investigations</w:t>
      </w:r>
      <w:r w:rsidRPr="003015CD">
        <w:rPr>
          <w:rFonts w:asciiTheme="majorHAnsi" w:hAnsiTheme="majorHAnsi" w:cstheme="majorHAnsi"/>
          <w:color w:val="000000" w:themeColor="text1"/>
        </w:rPr>
        <w:t xml:space="preserve">) may be required for the purposes of conformity assessment. </w:t>
      </w:r>
    </w:p>
    <w:p w14:paraId="3F6A3011" w14:textId="77777777" w:rsidR="004171CC" w:rsidRPr="003015CD" w:rsidRDefault="004171CC" w:rsidP="00081885">
      <w:pPr>
        <w:jc w:val="both"/>
        <w:rPr>
          <w:rFonts w:asciiTheme="majorHAnsi" w:hAnsiTheme="majorHAnsi"/>
          <w:color w:val="000000" w:themeColor="text1"/>
        </w:rPr>
      </w:pPr>
      <w:r w:rsidRPr="003015CD">
        <w:rPr>
          <w:rFonts w:asciiTheme="majorHAnsi" w:hAnsiTheme="majorHAnsi" w:cstheme="majorHAnsi"/>
          <w:color w:val="000000" w:themeColor="text1"/>
        </w:rPr>
        <w:t>Relevant data from pilot clinical investigations should be included in the CER, and their applicability to the current design of the device undergoing conformity assessment should be justified. This is particularly relevant where the device has undergone changes to its design or manufacturing process between the pilot clinical investigation and conformity assessment.</w:t>
      </w:r>
    </w:p>
    <w:p w14:paraId="67C2E35A" w14:textId="77777777" w:rsidR="004171CC" w:rsidRPr="003015CD" w:rsidRDefault="004171CC" w:rsidP="0052434F">
      <w:pPr>
        <w:pStyle w:val="Titre3"/>
        <w:spacing w:line="259" w:lineRule="auto"/>
        <w:ind w:left="993" w:hanging="993"/>
        <w:jc w:val="both"/>
        <w:rPr>
          <w:rFonts w:asciiTheme="majorHAnsi" w:hAnsiTheme="majorHAnsi" w:cstheme="majorHAnsi"/>
          <w:color w:val="000000" w:themeColor="text1"/>
        </w:rPr>
      </w:pPr>
      <w:bookmarkStart w:id="161" w:name="_Toc236912915"/>
      <w:r w:rsidRPr="003015CD">
        <w:rPr>
          <w:rFonts w:asciiTheme="majorHAnsi" w:hAnsiTheme="majorHAnsi" w:cstheme="majorHAnsi"/>
          <w:color w:val="000000" w:themeColor="text1"/>
        </w:rPr>
        <w:t>Pivotal (confirmatory, pre-market) clinical investigations</w:t>
      </w:r>
      <w:bookmarkEnd w:id="161"/>
    </w:p>
    <w:p w14:paraId="3A98D21B" w14:textId="5742C57E" w:rsidR="004171CC" w:rsidRPr="003015CD" w:rsidRDefault="004171CC" w:rsidP="36DE8064">
      <w:pPr>
        <w:jc w:val="both"/>
        <w:rPr>
          <w:rFonts w:asciiTheme="majorHAnsi" w:hAnsiTheme="majorHAnsi"/>
          <w:color w:val="000000" w:themeColor="text1"/>
        </w:rPr>
      </w:pPr>
      <w:r w:rsidRPr="003015CD">
        <w:rPr>
          <w:rFonts w:asciiTheme="majorHAnsi" w:hAnsiTheme="majorHAnsi"/>
          <w:color w:val="000000" w:themeColor="text1"/>
        </w:rPr>
        <w:t xml:space="preserve">In </w:t>
      </w:r>
      <w:r w:rsidRPr="003015CD">
        <w:rPr>
          <w:rFonts w:asciiTheme="majorHAnsi" w:hAnsiTheme="majorHAnsi" w:cstheme="majorBidi"/>
          <w:color w:val="000000" w:themeColor="text1"/>
        </w:rPr>
        <w:t>later stages</w:t>
      </w:r>
      <w:r w:rsidRPr="003015CD">
        <w:rPr>
          <w:rFonts w:asciiTheme="majorHAnsi" w:hAnsiTheme="majorHAnsi"/>
          <w:color w:val="000000" w:themeColor="text1"/>
        </w:rPr>
        <w:t xml:space="preserve"> of a device’s </w:t>
      </w:r>
      <w:r w:rsidRPr="003015CD">
        <w:rPr>
          <w:rFonts w:asciiTheme="majorHAnsi" w:hAnsiTheme="majorHAnsi" w:cstheme="majorBidi"/>
          <w:color w:val="000000" w:themeColor="text1"/>
        </w:rPr>
        <w:t xml:space="preserve">pre-market clinical </w:t>
      </w:r>
      <w:r w:rsidRPr="003015CD">
        <w:rPr>
          <w:rFonts w:asciiTheme="majorHAnsi" w:hAnsiTheme="majorHAnsi"/>
          <w:color w:val="000000" w:themeColor="text1"/>
        </w:rPr>
        <w:t xml:space="preserve">development, one or more </w:t>
      </w:r>
      <w:r w:rsidRPr="003015CD">
        <w:rPr>
          <w:rFonts w:asciiTheme="majorHAnsi" w:hAnsiTheme="majorHAnsi" w:cstheme="majorBidi"/>
          <w:color w:val="000000" w:themeColor="text1"/>
        </w:rPr>
        <w:t>pivotal, confirmatory</w:t>
      </w:r>
      <w:r w:rsidRPr="003015CD">
        <w:rPr>
          <w:rFonts w:asciiTheme="majorHAnsi" w:hAnsiTheme="majorHAnsi"/>
          <w:color w:val="000000" w:themeColor="text1"/>
        </w:rPr>
        <w:t xml:space="preserve"> clinical investigations may be conducted to provide the </w:t>
      </w:r>
      <w:r w:rsidRPr="003015CD">
        <w:rPr>
          <w:rFonts w:asciiTheme="majorHAnsi" w:hAnsiTheme="majorHAnsi" w:cstheme="majorBidi"/>
          <w:color w:val="000000" w:themeColor="text1"/>
        </w:rPr>
        <w:t xml:space="preserve">clinical data </w:t>
      </w:r>
      <w:r w:rsidRPr="003015CD">
        <w:rPr>
          <w:rFonts w:asciiTheme="majorHAnsi" w:hAnsiTheme="majorHAnsi"/>
          <w:color w:val="000000" w:themeColor="text1"/>
        </w:rPr>
        <w:t xml:space="preserve">necessary to confirm the safety and clinical performance of </w:t>
      </w:r>
      <w:r w:rsidRPr="003015CD">
        <w:rPr>
          <w:rFonts w:asciiTheme="majorHAnsi" w:hAnsiTheme="majorHAnsi" w:cstheme="majorBidi"/>
          <w:color w:val="000000" w:themeColor="text1"/>
        </w:rPr>
        <w:t xml:space="preserve">a </w:t>
      </w:r>
      <w:r w:rsidRPr="003015CD">
        <w:rPr>
          <w:rFonts w:asciiTheme="majorHAnsi" w:hAnsiTheme="majorHAnsi"/>
          <w:color w:val="000000" w:themeColor="text1"/>
        </w:rPr>
        <w:t>device.</w:t>
      </w:r>
      <w:r w:rsidRPr="003015CD">
        <w:rPr>
          <w:rFonts w:asciiTheme="majorHAnsi" w:hAnsiTheme="majorHAnsi" w:cstheme="majorBidi"/>
          <w:color w:val="000000" w:themeColor="text1"/>
        </w:rPr>
        <w:t xml:space="preserve"> Typically, these clinical investigations use appropriate </w:t>
      </w:r>
      <w:r w:rsidRPr="003015CD">
        <w:rPr>
          <w:rFonts w:asciiTheme="majorHAnsi" w:hAnsiTheme="majorHAnsi"/>
          <w:color w:val="000000" w:themeColor="text1"/>
        </w:rPr>
        <w:t xml:space="preserve">endpoints, </w:t>
      </w:r>
      <w:r w:rsidRPr="003015CD">
        <w:rPr>
          <w:rFonts w:asciiTheme="majorHAnsi" w:hAnsiTheme="majorHAnsi" w:cstheme="majorBidi"/>
          <w:color w:val="000000" w:themeColor="text1"/>
        </w:rPr>
        <w:t xml:space="preserve">outcome measures, and statistical methods (including the enrolment of a statistically justified number of human subjects) to test </w:t>
      </w:r>
      <w:r w:rsidRPr="003015CD">
        <w:rPr>
          <w:rFonts w:asciiTheme="majorHAnsi" w:hAnsiTheme="majorHAnsi"/>
          <w:color w:val="000000" w:themeColor="text1"/>
        </w:rPr>
        <w:t xml:space="preserve">defined statistical hypotheses regarding the device’s safety and clinical </w:t>
      </w:r>
      <w:r w:rsidR="009B476C" w:rsidRPr="003015CD">
        <w:rPr>
          <w:rFonts w:asciiTheme="majorHAnsi" w:hAnsiTheme="majorHAnsi"/>
          <w:color w:val="000000" w:themeColor="text1"/>
        </w:rPr>
        <w:t>performance.</w:t>
      </w:r>
      <w:r w:rsidRPr="003015CD">
        <w:rPr>
          <w:rFonts w:asciiTheme="majorHAnsi" w:hAnsiTheme="majorHAnsi" w:cstheme="majorBidi"/>
          <w:color w:val="000000" w:themeColor="text1"/>
        </w:rPr>
        <w:t xml:space="preserve"> They are generally larger in scale than pilot clinical investigations and may involve multiple investigational sites to enrol the number</w:t>
      </w:r>
      <w:r w:rsidRPr="003015CD">
        <w:rPr>
          <w:rFonts w:asciiTheme="majorHAnsi" w:hAnsiTheme="majorHAnsi"/>
          <w:color w:val="000000" w:themeColor="text1"/>
        </w:rPr>
        <w:t xml:space="preserve"> of </w:t>
      </w:r>
      <w:r w:rsidRPr="003015CD">
        <w:rPr>
          <w:rFonts w:asciiTheme="majorHAnsi" w:hAnsiTheme="majorHAnsi" w:cstheme="majorBidi"/>
          <w:color w:val="000000" w:themeColor="text1"/>
        </w:rPr>
        <w:t>human subjects needed for meaningful</w:t>
      </w:r>
      <w:r w:rsidRPr="003015CD">
        <w:rPr>
          <w:rFonts w:asciiTheme="majorHAnsi" w:hAnsiTheme="majorHAnsi"/>
          <w:color w:val="000000" w:themeColor="text1"/>
        </w:rPr>
        <w:t xml:space="preserve"> statistical analysis</w:t>
      </w:r>
      <w:r w:rsidRPr="003015CD">
        <w:rPr>
          <w:rFonts w:asciiTheme="majorHAnsi" w:hAnsiTheme="majorHAnsi" w:cstheme="majorBidi"/>
          <w:color w:val="000000" w:themeColor="text1"/>
        </w:rPr>
        <w:t xml:space="preserve">. For certain low risk devices, well-designed small scale clinical investigations could potentially provide sufficient clinical evidence for conformity assessment, depending on the relevant aspects and considerations outlined in </w:t>
      </w:r>
      <w:r w:rsidR="00E14DC7" w:rsidRPr="003015CD">
        <w:rPr>
          <w:rFonts w:asciiTheme="majorHAnsi" w:hAnsiTheme="majorHAnsi" w:cstheme="majorBidi"/>
          <w:color w:val="000000" w:themeColor="text1"/>
        </w:rPr>
        <w:t>Appendix A10</w:t>
      </w:r>
      <w:r w:rsidRPr="003015CD">
        <w:rPr>
          <w:rFonts w:asciiTheme="majorHAnsi" w:hAnsiTheme="majorHAnsi" w:cstheme="majorBidi"/>
          <w:color w:val="000000" w:themeColor="text1"/>
        </w:rPr>
        <w:t xml:space="preserve"> as they relate to the device.  </w:t>
      </w:r>
    </w:p>
    <w:p w14:paraId="13C12A8E" w14:textId="77777777" w:rsidR="004171CC" w:rsidRPr="003015CD" w:rsidRDefault="004171CC" w:rsidP="00081885">
      <w:pPr>
        <w:jc w:val="both"/>
        <w:rPr>
          <w:rFonts w:asciiTheme="majorHAnsi" w:hAnsiTheme="majorHAnsi"/>
          <w:color w:val="000000" w:themeColor="text1"/>
        </w:rPr>
      </w:pPr>
      <w:r w:rsidRPr="003015CD">
        <w:rPr>
          <w:rFonts w:asciiTheme="majorHAnsi" w:hAnsiTheme="majorHAnsi"/>
          <w:color w:val="000000" w:themeColor="text1"/>
        </w:rPr>
        <w:t xml:space="preserve">Where feasible and appropriate, pivotal clinical investigations </w:t>
      </w:r>
      <w:r w:rsidRPr="003015CD">
        <w:rPr>
          <w:rFonts w:asciiTheme="majorHAnsi" w:hAnsiTheme="majorHAnsi" w:cstheme="majorHAnsi"/>
          <w:color w:val="000000" w:themeColor="text1"/>
        </w:rPr>
        <w:t xml:space="preserve">should be designed to include a concurrent control arm (e.g. comparator, placebo, sham, etc.), with appropriate randomisation and blinding </w:t>
      </w:r>
      <w:r w:rsidRPr="003015CD">
        <w:rPr>
          <w:rFonts w:asciiTheme="majorHAnsi" w:hAnsiTheme="majorHAnsi"/>
          <w:color w:val="000000" w:themeColor="text1"/>
        </w:rPr>
        <w:t>(e.g., single-blind or double-blind randomised control trials)</w:t>
      </w:r>
      <w:r w:rsidRPr="003015CD">
        <w:rPr>
          <w:rFonts w:asciiTheme="majorHAnsi" w:hAnsiTheme="majorHAnsi" w:cstheme="majorHAnsi"/>
          <w:color w:val="000000" w:themeColor="text1"/>
        </w:rPr>
        <w:t xml:space="preserve">. However, </w:t>
      </w:r>
      <w:r w:rsidRPr="003015CD">
        <w:rPr>
          <w:rFonts w:asciiTheme="majorHAnsi" w:hAnsiTheme="majorHAnsi"/>
          <w:color w:val="000000" w:themeColor="text1"/>
        </w:rPr>
        <w:t xml:space="preserve">other </w:t>
      </w:r>
      <w:r w:rsidRPr="003015CD">
        <w:rPr>
          <w:rFonts w:asciiTheme="majorHAnsi" w:hAnsiTheme="majorHAnsi" w:cstheme="majorHAnsi"/>
          <w:color w:val="000000" w:themeColor="text1"/>
        </w:rPr>
        <w:t>methods</w:t>
      </w:r>
      <w:r w:rsidRPr="003015CD">
        <w:rPr>
          <w:rFonts w:asciiTheme="majorHAnsi" w:hAnsiTheme="majorHAnsi"/>
          <w:color w:val="000000" w:themeColor="text1"/>
        </w:rPr>
        <w:t xml:space="preserve"> may be acceptable (e.g., observational studies such as case-control and cohort studies, cross-over</w:t>
      </w:r>
      <w:r w:rsidRPr="003015CD">
        <w:rPr>
          <w:rFonts w:asciiTheme="majorHAnsi" w:hAnsiTheme="majorHAnsi" w:cstheme="majorHAnsi"/>
          <w:color w:val="000000" w:themeColor="text1"/>
        </w:rPr>
        <w:t xml:space="preserve"> studies, studies comparing the device with historical controls</w:t>
      </w:r>
      <w:r w:rsidRPr="003015CD">
        <w:rPr>
          <w:rFonts w:asciiTheme="majorHAnsi" w:hAnsiTheme="majorHAnsi"/>
          <w:color w:val="000000" w:themeColor="text1"/>
        </w:rPr>
        <w:t xml:space="preserve">), provided they are methodologically sound and well designed with due consideration </w:t>
      </w:r>
      <w:r w:rsidRPr="003015CD">
        <w:rPr>
          <w:rFonts w:asciiTheme="majorHAnsi" w:hAnsiTheme="majorHAnsi" w:cstheme="majorHAnsi"/>
          <w:color w:val="000000" w:themeColor="text1"/>
        </w:rPr>
        <w:t>to</w:t>
      </w:r>
      <w:r w:rsidRPr="003015CD">
        <w:rPr>
          <w:rFonts w:asciiTheme="majorHAnsi" w:hAnsiTheme="majorHAnsi"/>
          <w:color w:val="000000" w:themeColor="text1"/>
        </w:rPr>
        <w:t xml:space="preserve"> potential biases and confounders, and with </w:t>
      </w:r>
      <w:r w:rsidRPr="003015CD">
        <w:rPr>
          <w:rFonts w:asciiTheme="majorHAnsi" w:hAnsiTheme="majorHAnsi" w:cstheme="majorHAnsi"/>
          <w:color w:val="000000" w:themeColor="text1"/>
        </w:rPr>
        <w:t>adequate</w:t>
      </w:r>
      <w:r w:rsidRPr="003015CD">
        <w:rPr>
          <w:rFonts w:asciiTheme="majorHAnsi" w:hAnsiTheme="majorHAnsi"/>
          <w:color w:val="000000" w:themeColor="text1"/>
        </w:rPr>
        <w:t xml:space="preserve"> justification for </w:t>
      </w:r>
      <w:r w:rsidRPr="003015CD">
        <w:rPr>
          <w:rFonts w:asciiTheme="majorHAnsi" w:hAnsiTheme="majorHAnsi" w:cstheme="majorHAnsi"/>
          <w:color w:val="000000" w:themeColor="text1"/>
        </w:rPr>
        <w:t>how the clinical investigation can be reasonably expected to provide sufficient clinical evidence (alone or in conjunction with other clinical data)</w:t>
      </w:r>
      <w:r w:rsidRPr="003015CD">
        <w:rPr>
          <w:rFonts w:asciiTheme="majorHAnsi" w:hAnsiTheme="majorHAnsi"/>
          <w:color w:val="000000" w:themeColor="text1"/>
        </w:rPr>
        <w:t>.</w:t>
      </w:r>
    </w:p>
    <w:bookmarkEnd w:id="159"/>
    <w:p w14:paraId="56D1A086" w14:textId="12EC4BDF" w:rsidR="00873014" w:rsidRPr="003015CD" w:rsidRDefault="00873014">
      <w:pPr>
        <w:spacing w:before="0" w:after="0"/>
        <w:rPr>
          <w:rFonts w:asciiTheme="majorHAnsi" w:hAnsiTheme="majorHAnsi"/>
          <w:b/>
          <w:bCs/>
          <w:color w:val="000000" w:themeColor="text1"/>
          <w:sz w:val="32"/>
          <w:szCs w:val="28"/>
        </w:rPr>
      </w:pPr>
      <w:r w:rsidRPr="003015CD">
        <w:rPr>
          <w:rFonts w:asciiTheme="majorHAnsi" w:hAnsiTheme="majorHAnsi"/>
          <w:color w:val="000000" w:themeColor="text1"/>
        </w:rPr>
        <w:br w:type="page"/>
      </w:r>
    </w:p>
    <w:p w14:paraId="306A526E" w14:textId="77777777" w:rsidR="004171CC" w:rsidRPr="003015CD" w:rsidRDefault="004171CC" w:rsidP="0052434F">
      <w:pPr>
        <w:pStyle w:val="Titre1"/>
        <w:ind w:left="426"/>
        <w:jc w:val="both"/>
        <w:rPr>
          <w:rFonts w:asciiTheme="majorHAnsi" w:hAnsiTheme="majorHAnsi" w:cstheme="majorHAnsi"/>
          <w:color w:val="000000" w:themeColor="text1"/>
        </w:rPr>
      </w:pPr>
      <w:bookmarkStart w:id="162" w:name="_Ref433562252"/>
      <w:bookmarkStart w:id="163" w:name="_Toc446499049"/>
      <w:bookmarkStart w:id="164" w:name="_Ref164263194"/>
      <w:bookmarkStart w:id="165" w:name="_Ref165986843"/>
      <w:bookmarkStart w:id="166" w:name="_Toc236912916"/>
      <w:r w:rsidRPr="003015CD">
        <w:rPr>
          <w:rFonts w:asciiTheme="majorHAnsi" w:hAnsiTheme="majorHAnsi" w:cstheme="majorHAnsi"/>
          <w:color w:val="000000" w:themeColor="text1"/>
        </w:rPr>
        <w:t>The clinical evaluation report</w:t>
      </w:r>
      <w:bookmarkEnd w:id="162"/>
      <w:r w:rsidRPr="003015CD">
        <w:rPr>
          <w:rFonts w:asciiTheme="majorHAnsi" w:hAnsiTheme="majorHAnsi" w:cstheme="majorHAnsi"/>
          <w:color w:val="000000" w:themeColor="text1"/>
        </w:rPr>
        <w:t xml:space="preserve"> (Stage 5)</w:t>
      </w:r>
      <w:bookmarkEnd w:id="163"/>
      <w:bookmarkEnd w:id="164"/>
      <w:bookmarkEnd w:id="165"/>
      <w:bookmarkEnd w:id="166"/>
    </w:p>
    <w:p w14:paraId="79E915FB" w14:textId="471B26F2"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purpose of the clinical evaluation report is to document the results of the clinical evaluation and the clinical evidence on which it is based. The CER shall be part of the technical documentation for the device in question to support the assessment of the conformity of the device with relevant GSPR</w:t>
      </w:r>
      <w:r w:rsidR="003258AB"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w:t>
      </w:r>
    </w:p>
    <w:p w14:paraId="7DFD3E15" w14:textId="4B5C0531"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evaluation report should be a standalone document and contain sufficient information to be read and understood by an independent party (e.g. regulatory authority or notified body). Therefore, it should provide sufficient information (summarising key information where full details are available in other documents) for understanding the search criteria and methods used for study selection, appraisal, analysis and syntheses of data adopted by the evaluators, the data that are available, all assumptions made and all conclusions reached.</w:t>
      </w:r>
    </w:p>
    <w:p w14:paraId="7743AE3A" w14:textId="471AE4D3"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contents of the clinical evaluation report shall be cross-referenced to the relevant documents that support them. It should be clear which statements are substantiated by which data, and which reflect the conclusions or opinions of the evaluators. The report should include references to literature-based data, titles and clinical investigation identification codes (if relevant and available), any clinical investigation reports, with cross-references to the location in the manufacturer’s technical documentation.</w:t>
      </w:r>
    </w:p>
    <w:p w14:paraId="7A7FD7FC" w14:textId="42AB0EAB"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amount of information may differ according to the history of the device or technology. Where a new device or technology has been developed, it is recommended to </w:t>
      </w:r>
      <w:r w:rsidR="00E605EF" w:rsidRPr="003015CD">
        <w:rPr>
          <w:rFonts w:asciiTheme="majorHAnsi" w:hAnsiTheme="majorHAnsi" w:cstheme="majorHAnsi"/>
          <w:color w:val="000000" w:themeColor="text1"/>
        </w:rPr>
        <w:t xml:space="preserve">clearly state in the CER where </w:t>
      </w:r>
      <w:r w:rsidRPr="003015CD">
        <w:rPr>
          <w:rFonts w:asciiTheme="majorHAnsi" w:hAnsiTheme="majorHAnsi" w:cstheme="majorHAnsi"/>
          <w:color w:val="000000" w:themeColor="text1"/>
        </w:rPr>
        <w:t xml:space="preserve">in the development </w:t>
      </w:r>
      <w:r w:rsidR="00A44A29" w:rsidRPr="003015CD">
        <w:rPr>
          <w:rFonts w:asciiTheme="majorHAnsi" w:hAnsiTheme="majorHAnsi" w:cstheme="majorHAnsi"/>
          <w:color w:val="000000" w:themeColor="text1"/>
        </w:rPr>
        <w:t>process</w:t>
      </w:r>
      <w:r w:rsidRPr="003015CD">
        <w:rPr>
          <w:rFonts w:asciiTheme="majorHAnsi" w:hAnsiTheme="majorHAnsi" w:cstheme="majorHAnsi"/>
          <w:color w:val="000000" w:themeColor="text1"/>
        </w:rPr>
        <w:t xml:space="preserve"> all clinical data have been generated.</w:t>
      </w:r>
    </w:p>
    <w:p w14:paraId="158DD490" w14:textId="2393BBE5" w:rsidR="004171CC" w:rsidRPr="003015CD" w:rsidRDefault="004171CC" w:rsidP="36DE8064">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An example of the clinical evaluation report format is provided in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_Ref164529833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A11</w:t>
      </w:r>
      <w:r w:rsidR="00094FB6" w:rsidRPr="003015CD">
        <w:rPr>
          <w:rFonts w:asciiTheme="majorHAnsi" w:hAnsiTheme="majorHAnsi" w:cstheme="majorBidi"/>
          <w:color w:val="000000" w:themeColor="text1"/>
        </w:rPr>
        <w:t>.</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w:t>
      </w:r>
    </w:p>
    <w:p w14:paraId="5B86D05D" w14:textId="09A04F7C" w:rsidR="004171CC" w:rsidRPr="003015CD" w:rsidRDefault="004171CC" w:rsidP="36DE8064">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It is important that the </w:t>
      </w:r>
      <w:r w:rsidR="00E605EF" w:rsidRPr="003015CD">
        <w:rPr>
          <w:rFonts w:asciiTheme="majorHAnsi" w:hAnsiTheme="majorHAnsi" w:cstheme="majorBidi"/>
          <w:color w:val="000000" w:themeColor="text1"/>
        </w:rPr>
        <w:t>CER</w:t>
      </w:r>
      <w:r w:rsidRPr="003015CD">
        <w:rPr>
          <w:rFonts w:asciiTheme="majorHAnsi" w:hAnsiTheme="majorHAnsi" w:cstheme="majorBidi"/>
          <w:color w:val="000000" w:themeColor="text1"/>
        </w:rPr>
        <w:t xml:space="preserve"> reflects the </w:t>
      </w:r>
      <w:r w:rsidR="00F123E3" w:rsidRPr="003015CD">
        <w:rPr>
          <w:rFonts w:asciiTheme="majorHAnsi" w:hAnsiTheme="majorHAnsi" w:cstheme="majorBidi"/>
          <w:color w:val="000000" w:themeColor="text1"/>
        </w:rPr>
        <w:t xml:space="preserve">results </w:t>
      </w:r>
      <w:r w:rsidRPr="003015CD">
        <w:rPr>
          <w:rFonts w:asciiTheme="majorHAnsi" w:hAnsiTheme="majorHAnsi" w:cstheme="majorBidi"/>
          <w:color w:val="000000" w:themeColor="text1"/>
        </w:rPr>
        <w:t>of the different stages of the clinical evaluation:</w:t>
      </w:r>
    </w:p>
    <w:p w14:paraId="5DF463D0" w14:textId="77777777" w:rsidR="004171CC" w:rsidRPr="003015CD" w:rsidRDefault="004171CC" w:rsidP="00081885">
      <w:pPr>
        <w:jc w:val="both"/>
        <w:rPr>
          <w:rFonts w:asciiTheme="majorHAnsi" w:hAnsiTheme="majorHAnsi" w:cstheme="majorHAnsi"/>
          <w:color w:val="000000" w:themeColor="text1"/>
        </w:rPr>
      </w:pPr>
    </w:p>
    <w:p w14:paraId="03A60F36"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b/>
          <w:color w:val="000000" w:themeColor="text1"/>
        </w:rPr>
        <w:t>Stage 0</w:t>
      </w:r>
      <w:r w:rsidRPr="003015CD">
        <w:rPr>
          <w:rFonts w:asciiTheme="majorHAnsi" w:hAnsiTheme="majorHAnsi" w:cstheme="majorHAnsi"/>
          <w:color w:val="000000" w:themeColor="text1"/>
        </w:rPr>
        <w:t xml:space="preserve">, planning and scope of the clinical evaluation: </w:t>
      </w:r>
    </w:p>
    <w:p w14:paraId="14A24CA2" w14:textId="72A85D11"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summarises the key information necessary to understand the context of the clinical evaluation, including which products/ models/ sizes/ settings are covered by the clinical evaluation </w:t>
      </w:r>
      <w:r w:rsidR="003F4F70" w:rsidRPr="003015CD">
        <w:rPr>
          <w:rFonts w:asciiTheme="majorHAnsi" w:hAnsiTheme="majorHAnsi" w:cstheme="majorBidi"/>
          <w:color w:val="000000" w:themeColor="text1"/>
        </w:rPr>
        <w:t>and CER</w:t>
      </w:r>
      <w:r w:rsidRPr="003015CD">
        <w:rPr>
          <w:rFonts w:asciiTheme="majorHAnsi" w:hAnsiTheme="majorHAnsi" w:cstheme="majorBidi"/>
          <w:color w:val="000000" w:themeColor="text1"/>
        </w:rPr>
        <w:t>, the technology on which the medical device is based, the conditions of use and the intended purpose of the device, the sources of the clinical evidence</w:t>
      </w:r>
    </w:p>
    <w:p w14:paraId="3162974D" w14:textId="07BA84C9"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documents any claims made about the device’s clinical performance, including clinical benefit, or clinical safety</w:t>
      </w:r>
    </w:p>
    <w:p w14:paraId="2E534482" w14:textId="31011812"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describes the state of art or summarises key elements if its full description is reported in the CEP or in a separate document</w:t>
      </w:r>
    </w:p>
    <w:p w14:paraId="4B77F968" w14:textId="423A5E65"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if claimed, describes how the equivalence to another device is demonstrated or reference</w:t>
      </w:r>
      <w:r w:rsidR="00B27CA1"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t</w:t>
      </w:r>
      <w:r w:rsidR="00DA07AB" w:rsidRPr="003015CD">
        <w:rPr>
          <w:rFonts w:asciiTheme="majorHAnsi" w:hAnsiTheme="majorHAnsi" w:cstheme="majorBidi"/>
          <w:color w:val="000000" w:themeColor="text1"/>
        </w:rPr>
        <w:t>his</w:t>
      </w:r>
      <w:r w:rsidRPr="003015CD">
        <w:rPr>
          <w:rFonts w:asciiTheme="majorHAnsi" w:hAnsiTheme="majorHAnsi" w:cstheme="majorBidi"/>
          <w:color w:val="000000" w:themeColor="text1"/>
        </w:rPr>
        <w:t>, if</w:t>
      </w:r>
      <w:r w:rsidR="00DA07AB" w:rsidRPr="003015CD">
        <w:rPr>
          <w:rFonts w:asciiTheme="majorHAnsi" w:hAnsiTheme="majorHAnsi" w:cstheme="majorBidi"/>
          <w:color w:val="000000" w:themeColor="text1"/>
        </w:rPr>
        <w:t xml:space="preserve"> contained</w:t>
      </w:r>
      <w:r w:rsidRPr="003015CD">
        <w:rPr>
          <w:rFonts w:asciiTheme="majorHAnsi" w:hAnsiTheme="majorHAnsi" w:cstheme="majorBidi"/>
          <w:color w:val="000000" w:themeColor="text1"/>
        </w:rPr>
        <w:t xml:space="preserve"> in a separate document.</w:t>
      </w:r>
    </w:p>
    <w:p w14:paraId="54A7DDE0" w14:textId="77777777" w:rsidR="004171CC" w:rsidRPr="003015CD" w:rsidRDefault="004171CC" w:rsidP="00081885">
      <w:pPr>
        <w:pStyle w:val="List23"/>
        <w:numPr>
          <w:ilvl w:val="0"/>
          <w:numId w:val="0"/>
        </w:numPr>
        <w:ind w:left="720"/>
        <w:jc w:val="both"/>
        <w:rPr>
          <w:rFonts w:asciiTheme="majorHAnsi" w:hAnsiTheme="majorHAnsi" w:cstheme="majorHAnsi"/>
          <w:color w:val="000000" w:themeColor="text1"/>
        </w:rPr>
      </w:pPr>
    </w:p>
    <w:p w14:paraId="46F7C513"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b/>
          <w:color w:val="000000" w:themeColor="text1"/>
        </w:rPr>
        <w:t>Stage 1,</w:t>
      </w:r>
      <w:r w:rsidRPr="003015CD">
        <w:rPr>
          <w:rFonts w:asciiTheme="majorHAnsi" w:hAnsiTheme="majorHAnsi" w:cstheme="majorHAnsi"/>
          <w:color w:val="000000" w:themeColor="text1"/>
        </w:rPr>
        <w:t xml:space="preserve"> identification of available clinical data </w:t>
      </w:r>
    </w:p>
    <w:p w14:paraId="2A50368E" w14:textId="73312E24"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provides a summary of the literature search strategy and study selection criteria applied for retrieval of information and its results</w:t>
      </w:r>
    </w:p>
    <w:p w14:paraId="6249B874" w14:textId="49EAA2E1"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references to the detailed literature search protocol and report in the CEP or in a separate document</w:t>
      </w:r>
    </w:p>
    <w:p w14:paraId="57CDDAA0" w14:textId="68220F00"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summarises the relevant clinical data sets (i.e. methods, results, conclusions) that have been identified</w:t>
      </w:r>
      <w:r w:rsidR="00873014"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w:t>
      </w:r>
    </w:p>
    <w:p w14:paraId="0F48FDE0" w14:textId="77777777" w:rsidR="004171CC" w:rsidRPr="003015CD" w:rsidRDefault="004171CC" w:rsidP="00081885">
      <w:pPr>
        <w:pStyle w:val="List23"/>
        <w:numPr>
          <w:ilvl w:val="0"/>
          <w:numId w:val="0"/>
        </w:numPr>
        <w:ind w:left="720"/>
        <w:jc w:val="both"/>
        <w:rPr>
          <w:rFonts w:asciiTheme="majorHAnsi" w:hAnsiTheme="majorHAnsi" w:cstheme="majorHAnsi"/>
          <w:color w:val="000000" w:themeColor="text1"/>
        </w:rPr>
      </w:pPr>
    </w:p>
    <w:p w14:paraId="7E40345E"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b/>
          <w:color w:val="000000" w:themeColor="text1"/>
        </w:rPr>
        <w:t>Stage 2</w:t>
      </w:r>
      <w:r w:rsidRPr="003015CD">
        <w:rPr>
          <w:rFonts w:asciiTheme="majorHAnsi" w:hAnsiTheme="majorHAnsi" w:cstheme="majorHAnsi"/>
          <w:color w:val="000000" w:themeColor="text1"/>
        </w:rPr>
        <w:t xml:space="preserve">, appraisal of all relevant clinical data: </w:t>
      </w:r>
    </w:p>
    <w:p w14:paraId="49A67B9A" w14:textId="61C99030" w:rsidR="004171CC" w:rsidRPr="003015CD" w:rsidRDefault="00782A83"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provides reference to the relevant CEP section or separate document where the methods to appraise all relevant clinical data</w:t>
      </w:r>
      <w:r w:rsidR="00CB5B5C" w:rsidRPr="003015CD">
        <w:rPr>
          <w:rFonts w:asciiTheme="majorHAnsi" w:hAnsiTheme="majorHAnsi" w:cstheme="majorBidi"/>
          <w:color w:val="000000" w:themeColor="text1"/>
        </w:rPr>
        <w:t xml:space="preserve"> are to be found</w:t>
      </w:r>
    </w:p>
    <w:p w14:paraId="04D37410" w14:textId="58E1662A" w:rsidR="004171CC" w:rsidRPr="003015CD" w:rsidRDefault="00F123E3"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s</w:t>
      </w:r>
      <w:r w:rsidR="004171CC" w:rsidRPr="003015CD">
        <w:rPr>
          <w:rFonts w:asciiTheme="majorHAnsi" w:hAnsiTheme="majorHAnsi" w:cstheme="majorBidi"/>
          <w:color w:val="000000" w:themeColor="text1"/>
        </w:rPr>
        <w:t>ummarises the pertinent data sets (methods, results, conclusions of the authors); evaluates the scientific validity of the relevant clinical data sets (including internal and external validity), their relevance for the evaluation, the weighting attributed to the evidence, and any identified limitations</w:t>
      </w:r>
    </w:p>
    <w:p w14:paraId="3F183259" w14:textId="77777777" w:rsidR="004171CC" w:rsidRPr="003015CD" w:rsidRDefault="004171CC" w:rsidP="00081885">
      <w:pPr>
        <w:pStyle w:val="List23"/>
        <w:numPr>
          <w:ilvl w:val="0"/>
          <w:numId w:val="85"/>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presents justifications for rejecting certain data or documents. </w:t>
      </w:r>
    </w:p>
    <w:p w14:paraId="1E506470" w14:textId="77777777" w:rsidR="004171CC" w:rsidRPr="003015CD" w:rsidRDefault="004171CC" w:rsidP="00081885">
      <w:pPr>
        <w:pStyle w:val="List23"/>
        <w:numPr>
          <w:ilvl w:val="0"/>
          <w:numId w:val="0"/>
        </w:numPr>
        <w:ind w:left="720"/>
        <w:jc w:val="both"/>
        <w:rPr>
          <w:rFonts w:asciiTheme="majorHAnsi" w:hAnsiTheme="majorHAnsi" w:cstheme="majorHAnsi"/>
          <w:color w:val="000000" w:themeColor="text1"/>
        </w:rPr>
      </w:pPr>
    </w:p>
    <w:p w14:paraId="0D29E9F1" w14:textId="77777777" w:rsidR="004171CC" w:rsidRPr="003015CD" w:rsidRDefault="004171CC"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b/>
          <w:color w:val="000000" w:themeColor="text1"/>
        </w:rPr>
        <w:t>Stage 3</w:t>
      </w:r>
      <w:r w:rsidRPr="003015CD">
        <w:rPr>
          <w:rFonts w:asciiTheme="majorHAnsi" w:hAnsiTheme="majorHAnsi" w:cstheme="majorHAnsi"/>
          <w:color w:val="000000" w:themeColor="text1"/>
        </w:rPr>
        <w:t xml:space="preserve">, analysis of all relevant clinical data: </w:t>
      </w:r>
    </w:p>
    <w:p w14:paraId="5A4C4A3D" w14:textId="7841CCAA"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explains if and how the referenced information constitute sufficient clinical evidence for demonstration of the clinical performance and clinical safety of the device under evaluation. This may include reference to clinical data requirements from applicable harmonised standards or </w:t>
      </w:r>
      <w:r w:rsidR="00B56A8D" w:rsidRPr="003015CD">
        <w:rPr>
          <w:rFonts w:asciiTheme="majorHAnsi" w:hAnsiTheme="majorHAnsi" w:cstheme="majorBidi"/>
          <w:color w:val="000000" w:themeColor="text1"/>
        </w:rPr>
        <w:t>c</w:t>
      </w:r>
      <w:r w:rsidRPr="003015CD">
        <w:rPr>
          <w:rFonts w:asciiTheme="majorHAnsi" w:hAnsiTheme="majorHAnsi" w:cstheme="majorBidi"/>
          <w:color w:val="000000" w:themeColor="text1"/>
        </w:rPr>
        <w:t xml:space="preserve">ommon </w:t>
      </w:r>
      <w:r w:rsidR="00B56A8D" w:rsidRPr="003015CD">
        <w:rPr>
          <w:rFonts w:asciiTheme="majorHAnsi" w:hAnsiTheme="majorHAnsi" w:cstheme="majorBidi"/>
          <w:color w:val="000000" w:themeColor="text1"/>
        </w:rPr>
        <w:t>s</w:t>
      </w:r>
      <w:r w:rsidRPr="003015CD">
        <w:rPr>
          <w:rFonts w:asciiTheme="majorHAnsi" w:hAnsiTheme="majorHAnsi" w:cstheme="majorBidi"/>
          <w:color w:val="000000" w:themeColor="text1"/>
        </w:rPr>
        <w:t>pecifications</w:t>
      </w:r>
    </w:p>
    <w:p w14:paraId="3BC8E22C" w14:textId="0F5598E3" w:rsidR="004171CC" w:rsidRPr="003015CD" w:rsidRDefault="004171CC" w:rsidP="00081885">
      <w:pPr>
        <w:pStyle w:val="List23"/>
        <w:numPr>
          <w:ilvl w:val="0"/>
          <w:numId w:val="8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explains whether there are adequate data for all aspects of the intended purpose and for all products/ models/ sizes/ settings covered by the clinical evaluation</w:t>
      </w:r>
    </w:p>
    <w:p w14:paraId="24998DEC" w14:textId="6F75A8AA"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describes the benefits and risks of the device (their nature, probability, extent, duration and frequency)</w:t>
      </w:r>
    </w:p>
    <w:p w14:paraId="31E66BB4" w14:textId="1E587250"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explains the acceptability of the benefit</w:t>
      </w:r>
      <w:r w:rsidR="00920286" w:rsidRPr="003015CD">
        <w:rPr>
          <w:rFonts w:asciiTheme="majorHAnsi" w:hAnsiTheme="majorHAnsi" w:cstheme="majorBidi"/>
          <w:color w:val="000000" w:themeColor="text1"/>
        </w:rPr>
        <w:t>-</w:t>
      </w:r>
      <w:r w:rsidRPr="003015CD" w:rsidDel="00920286">
        <w:rPr>
          <w:rFonts w:asciiTheme="majorHAnsi" w:hAnsiTheme="majorHAnsi" w:cstheme="majorBidi"/>
          <w:color w:val="000000" w:themeColor="text1"/>
        </w:rPr>
        <w:t xml:space="preserve">risk </w:t>
      </w:r>
      <w:r w:rsidR="00D44FB6" w:rsidRPr="003015CD">
        <w:rPr>
          <w:rFonts w:asciiTheme="majorHAnsi" w:hAnsiTheme="majorHAnsi" w:cstheme="majorBidi"/>
          <w:color w:val="000000" w:themeColor="text1"/>
        </w:rPr>
        <w:t>ratio</w:t>
      </w:r>
      <w:r w:rsidRPr="003015CD">
        <w:rPr>
          <w:rFonts w:asciiTheme="majorHAnsi" w:hAnsiTheme="majorHAnsi" w:cstheme="majorBidi"/>
          <w:color w:val="000000" w:themeColor="text1"/>
        </w:rPr>
        <w:t xml:space="preserve"> according to the</w:t>
      </w:r>
      <w:r w:rsidR="006D182F" w:rsidRPr="003015CD">
        <w:rPr>
          <w:rFonts w:asciiTheme="majorHAnsi" w:hAnsiTheme="majorHAnsi" w:cstheme="majorBidi"/>
          <w:color w:val="000000" w:themeColor="text1"/>
        </w:rPr>
        <w:t xml:space="preserve"> SOTA</w:t>
      </w:r>
      <w:r w:rsidRPr="003015CD">
        <w:rPr>
          <w:rFonts w:asciiTheme="majorHAnsi" w:hAnsiTheme="majorHAnsi" w:cstheme="majorBidi"/>
          <w:color w:val="000000" w:themeColor="text1"/>
        </w:rPr>
        <w:t xml:space="preserve"> in the medical fields concerned, with reference to applicable standards, </w:t>
      </w:r>
      <w:r w:rsidR="00F13881" w:rsidRPr="003015CD">
        <w:rPr>
          <w:rFonts w:asciiTheme="majorHAnsi" w:hAnsiTheme="majorHAnsi" w:cstheme="majorBidi"/>
          <w:color w:val="000000" w:themeColor="text1"/>
        </w:rPr>
        <w:t>c</w:t>
      </w:r>
      <w:r w:rsidRPr="003015CD">
        <w:rPr>
          <w:rFonts w:asciiTheme="majorHAnsi" w:hAnsiTheme="majorHAnsi" w:cstheme="majorBidi"/>
          <w:color w:val="000000" w:themeColor="text1"/>
        </w:rPr>
        <w:t xml:space="preserve">ommon </w:t>
      </w:r>
      <w:r w:rsidR="00F13881" w:rsidRPr="003015CD">
        <w:rPr>
          <w:rFonts w:asciiTheme="majorHAnsi" w:hAnsiTheme="majorHAnsi" w:cstheme="majorBidi"/>
          <w:color w:val="000000" w:themeColor="text1"/>
        </w:rPr>
        <w:t>s</w:t>
      </w:r>
      <w:r w:rsidRPr="003015CD">
        <w:rPr>
          <w:rFonts w:asciiTheme="majorHAnsi" w:hAnsiTheme="majorHAnsi" w:cstheme="majorBidi"/>
          <w:color w:val="000000" w:themeColor="text1"/>
        </w:rPr>
        <w:t>pecifications and guidance documents, available medical alternatives, and the analysis and conclusions of the evaluators on fulfilment of all GSPR</w:t>
      </w:r>
      <w:r w:rsidR="00AE7F45" w:rsidRPr="003015CD">
        <w:rPr>
          <w:rFonts w:asciiTheme="majorHAnsi" w:hAnsiTheme="majorHAnsi" w:cstheme="majorBidi"/>
          <w:color w:val="000000" w:themeColor="text1"/>
        </w:rPr>
        <w:t>s</w:t>
      </w:r>
      <w:r w:rsidRPr="003015CD">
        <w:rPr>
          <w:rFonts w:asciiTheme="majorHAnsi" w:hAnsiTheme="majorHAnsi" w:cstheme="majorBidi"/>
          <w:color w:val="000000" w:themeColor="text1"/>
        </w:rPr>
        <w:t xml:space="preserve"> pertaining to clinical properties of the device (see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_Ref164523972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A9</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w:t>
      </w:r>
    </w:p>
    <w:p w14:paraId="6FBEB17A" w14:textId="61D6EB25"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analyses if there is consistency between the clinical data, the information materials supplied by the manufacturer and the risk management documentation for the device under evaluation; whether there is consistency between these documents and the</w:t>
      </w:r>
      <w:r w:rsidR="006D182F" w:rsidRPr="003015CD">
        <w:rPr>
          <w:rFonts w:asciiTheme="majorHAnsi" w:hAnsiTheme="majorHAnsi" w:cstheme="majorBidi"/>
          <w:color w:val="000000" w:themeColor="text1"/>
        </w:rPr>
        <w:t xml:space="preserve"> SOTA</w:t>
      </w:r>
    </w:p>
    <w:p w14:paraId="01AB9467" w14:textId="0D07CA81" w:rsidR="004171CC" w:rsidRPr="003015CD" w:rsidRDefault="004171CC" w:rsidP="00081885">
      <w:pPr>
        <w:pStyle w:val="List23"/>
        <w:numPr>
          <w:ilvl w:val="0"/>
          <w:numId w:val="8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identifies any gaps and discrepancies</w:t>
      </w:r>
    </w:p>
    <w:p w14:paraId="2E68E94B" w14:textId="418983F2" w:rsidR="004171CC" w:rsidRPr="003015CD" w:rsidRDefault="004171CC" w:rsidP="36DE8064">
      <w:pPr>
        <w:pStyle w:val="List23"/>
        <w:jc w:val="both"/>
        <w:rPr>
          <w:rFonts w:asciiTheme="majorHAnsi" w:hAnsiTheme="majorHAnsi" w:cstheme="majorBidi"/>
          <w:color w:val="000000" w:themeColor="text1"/>
        </w:rPr>
      </w:pPr>
      <w:r w:rsidRPr="003015CD">
        <w:rPr>
          <w:rFonts w:asciiTheme="majorHAnsi" w:hAnsiTheme="majorHAnsi" w:cstheme="majorBidi"/>
          <w:color w:val="000000" w:themeColor="text1"/>
        </w:rPr>
        <w:t>identifies residual risks and uncertainties or unanswered questions (such as rare complications, uncertainties regarding medium- and long-term performance, safety under wide-spread use) that should be further evaluated during PMS</w:t>
      </w:r>
      <w:r w:rsidR="00FE33B3" w:rsidRPr="003015CD">
        <w:rPr>
          <w:rFonts w:asciiTheme="majorHAnsi" w:hAnsiTheme="majorHAnsi" w:cstheme="majorBidi"/>
          <w:color w:val="000000" w:themeColor="text1"/>
        </w:rPr>
        <w:t xml:space="preserve"> and</w:t>
      </w:r>
      <w:r w:rsidRPr="003015CD">
        <w:rPr>
          <w:rFonts w:asciiTheme="majorHAnsi" w:hAnsiTheme="majorHAnsi" w:cstheme="majorBidi"/>
          <w:color w:val="000000" w:themeColor="text1"/>
        </w:rPr>
        <w:t xml:space="preserve"> in PMCF activities.</w:t>
      </w:r>
    </w:p>
    <w:p w14:paraId="09CAACBB" w14:textId="77777777" w:rsidR="004171CC" w:rsidRPr="003015CD" w:rsidRDefault="004171CC" w:rsidP="00081885">
      <w:pPr>
        <w:pStyle w:val="List23"/>
        <w:numPr>
          <w:ilvl w:val="0"/>
          <w:numId w:val="0"/>
        </w:numPr>
        <w:ind w:left="720"/>
        <w:jc w:val="both"/>
        <w:rPr>
          <w:rFonts w:asciiTheme="majorHAnsi" w:hAnsiTheme="majorHAnsi" w:cstheme="majorHAnsi"/>
          <w:color w:val="000000" w:themeColor="text1"/>
        </w:rPr>
      </w:pPr>
    </w:p>
    <w:p w14:paraId="3F513B2E" w14:textId="253BE526"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evaluators should check the clinical evaluation report, provide verification that it includes an accurate statement of their analysis and opinions, and sign the report. Evaluators should provide their CV as an attachment to the CER. </w:t>
      </w:r>
    </w:p>
    <w:p w14:paraId="2A5824DC"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Note that per article 61(2), the manufacturer shall give due consideration to the views expressed by the expert panel, and such consideration shall be documented in the clinical evaluation report.</w:t>
      </w:r>
    </w:p>
    <w:p w14:paraId="361EEFD6" w14:textId="6CC95F22" w:rsidR="004171CC" w:rsidRPr="003015CD" w:rsidRDefault="004171CC" w:rsidP="36DE8064">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Suggestions for aspects that should be checked for the release of a clinical evaluation report are summarised in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_Ref167890730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A12</w:t>
      </w:r>
      <w:r w:rsidR="00E910FC" w:rsidRPr="003015CD">
        <w:rPr>
          <w:rFonts w:asciiTheme="majorHAnsi" w:hAnsiTheme="majorHAnsi" w:cstheme="majorBidi"/>
          <w:color w:val="000000" w:themeColor="text1"/>
        </w:rPr>
        <w:t>.</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xml:space="preserve"> </w:t>
      </w:r>
    </w:p>
    <w:p w14:paraId="03D5B9A9" w14:textId="77777777" w:rsidR="00F123E3" w:rsidRPr="003015CD" w:rsidRDefault="00F123E3" w:rsidP="00081885">
      <w:pPr>
        <w:jc w:val="both"/>
        <w:rPr>
          <w:rFonts w:asciiTheme="majorHAnsi" w:hAnsiTheme="majorHAnsi" w:cstheme="majorHAnsi"/>
          <w:bCs/>
          <w:color w:val="000000" w:themeColor="text1"/>
        </w:rPr>
      </w:pPr>
    </w:p>
    <w:p w14:paraId="46F15B64"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344BF919"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61A011E4"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54DB418D"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7A6EA35F"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017E7BF6"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6C663700"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2858E267"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74F261E8"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11A2EEFB"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32B6C3AA"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287D183E" w14:textId="77777777" w:rsidR="004171CC" w:rsidRPr="003015CD" w:rsidRDefault="004171CC" w:rsidP="00081885">
      <w:pPr>
        <w:pStyle w:val="Paragraphedeliste"/>
        <w:numPr>
          <w:ilvl w:val="0"/>
          <w:numId w:val="294"/>
        </w:numPr>
        <w:jc w:val="both"/>
        <w:rPr>
          <w:rFonts w:asciiTheme="majorHAnsi" w:hAnsiTheme="majorHAnsi" w:cstheme="majorHAnsi"/>
          <w:vanish/>
          <w:color w:val="000000" w:themeColor="text1"/>
        </w:rPr>
      </w:pPr>
    </w:p>
    <w:p w14:paraId="6217C0F0" w14:textId="77777777" w:rsidR="004171CC" w:rsidRPr="003015CD" w:rsidRDefault="004171CC" w:rsidP="36DE8064">
      <w:pPr>
        <w:pStyle w:val="Titre2"/>
        <w:ind w:left="0" w:firstLine="0"/>
        <w:jc w:val="both"/>
        <w:rPr>
          <w:rFonts w:asciiTheme="majorHAnsi" w:hAnsiTheme="majorHAnsi" w:cstheme="majorBidi"/>
          <w:color w:val="000000" w:themeColor="text1"/>
        </w:rPr>
      </w:pPr>
      <w:bookmarkStart w:id="167" w:name="_Toc236912917"/>
      <w:r w:rsidRPr="003015CD">
        <w:rPr>
          <w:rFonts w:asciiTheme="majorHAnsi" w:hAnsiTheme="majorHAnsi" w:cstheme="majorBidi"/>
          <w:color w:val="000000" w:themeColor="text1"/>
        </w:rPr>
        <w:t>Clinical evaluation documentation</w:t>
      </w:r>
      <w:bookmarkEnd w:id="167"/>
    </w:p>
    <w:p w14:paraId="09F8D6EA"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Typically, the clinical evaluation documentation includes: </w:t>
      </w:r>
    </w:p>
    <w:p w14:paraId="2A598735" w14:textId="77777777"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CEP, including CDP (mandatory)</w:t>
      </w:r>
    </w:p>
    <w:p w14:paraId="15499B59" w14:textId="492A5E3F" w:rsidR="004171CC" w:rsidRPr="003015CD" w:rsidRDefault="004171CC" w:rsidP="36DE8064">
      <w:pPr>
        <w:pStyle w:val="Paragraphedeliste"/>
        <w:numPr>
          <w:ilvl w:val="0"/>
          <w:numId w:val="42"/>
        </w:numPr>
        <w:jc w:val="both"/>
        <w:rPr>
          <w:rFonts w:asciiTheme="majorHAnsi" w:hAnsiTheme="majorHAnsi" w:cstheme="majorBidi"/>
          <w:color w:val="000000" w:themeColor="text1"/>
        </w:rPr>
      </w:pPr>
      <w:r w:rsidRPr="003015CD">
        <w:rPr>
          <w:rFonts w:asciiTheme="majorHAnsi" w:hAnsiTheme="majorHAnsi" w:cstheme="majorBidi"/>
          <w:color w:val="000000" w:themeColor="text1"/>
        </w:rPr>
        <w:t>if not in the CEP, literature search protocol for</w:t>
      </w:r>
      <w:r w:rsidR="006D182F" w:rsidRPr="003015CD">
        <w:rPr>
          <w:rFonts w:asciiTheme="majorHAnsi" w:hAnsiTheme="majorHAnsi" w:cstheme="majorBidi"/>
          <w:color w:val="000000" w:themeColor="text1"/>
        </w:rPr>
        <w:t xml:space="preserve"> SOTA</w:t>
      </w:r>
      <w:r w:rsidRPr="003015CD">
        <w:rPr>
          <w:rFonts w:asciiTheme="majorHAnsi" w:hAnsiTheme="majorHAnsi" w:cstheme="majorBidi"/>
          <w:color w:val="000000" w:themeColor="text1"/>
        </w:rPr>
        <w:t xml:space="preserve"> and for</w:t>
      </w:r>
      <w:r w:rsidR="005B6D27" w:rsidRPr="003015CD">
        <w:rPr>
          <w:rFonts w:asciiTheme="majorHAnsi" w:hAnsiTheme="majorHAnsi" w:cstheme="majorBidi"/>
          <w:color w:val="000000" w:themeColor="text1"/>
        </w:rPr>
        <w:t xml:space="preserve"> the</w:t>
      </w:r>
      <w:r w:rsidRPr="003015CD">
        <w:rPr>
          <w:rFonts w:asciiTheme="majorHAnsi" w:hAnsiTheme="majorHAnsi" w:cstheme="majorBidi"/>
          <w:color w:val="000000" w:themeColor="text1"/>
        </w:rPr>
        <w:t xml:space="preserve"> identification of clinical data</w:t>
      </w:r>
      <w:r w:rsidR="00B100A6" w:rsidRPr="003015CD">
        <w:rPr>
          <w:rFonts w:asciiTheme="majorHAnsi" w:hAnsiTheme="majorHAnsi" w:cstheme="majorBidi"/>
          <w:color w:val="000000" w:themeColor="text1"/>
        </w:rPr>
        <w:t>, respectively</w:t>
      </w:r>
    </w:p>
    <w:p w14:paraId="43D964CC" w14:textId="3814278F"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not in the CEP, the appraisal plan</w:t>
      </w:r>
    </w:p>
    <w:p w14:paraId="05FCBA2F" w14:textId="47926545"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not in the CEP, the analysis plan</w:t>
      </w:r>
    </w:p>
    <w:p w14:paraId="4B7F48E8" w14:textId="70F06C05"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CER (mandatory document)</w:t>
      </w:r>
    </w:p>
    <w:p w14:paraId="6D1CD015" w14:textId="7EF06517"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not in the CER, the literature search reports, including the full list of retrieved articles and full list of excluded articles with reasons for exclusion</w:t>
      </w:r>
    </w:p>
    <w:p w14:paraId="0567B3BD" w14:textId="67632654"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not in the CER, the appraisal report</w:t>
      </w:r>
    </w:p>
    <w:p w14:paraId="766701BE" w14:textId="76CA591A" w:rsidR="004171CC" w:rsidRPr="003015CD" w:rsidRDefault="004171CC" w:rsidP="36DE8064">
      <w:pPr>
        <w:pStyle w:val="Paragraphedeliste"/>
        <w:numPr>
          <w:ilvl w:val="0"/>
          <w:numId w:val="42"/>
        </w:numPr>
        <w:jc w:val="both"/>
        <w:rPr>
          <w:rFonts w:asciiTheme="majorHAnsi" w:hAnsiTheme="majorHAnsi" w:cstheme="majorBidi"/>
          <w:color w:val="000000" w:themeColor="text1"/>
        </w:rPr>
      </w:pPr>
      <w:r w:rsidRPr="003015CD">
        <w:rPr>
          <w:rFonts w:asciiTheme="majorHAnsi" w:hAnsiTheme="majorHAnsi" w:cstheme="majorBidi"/>
          <w:color w:val="000000" w:themeColor="text1"/>
        </w:rPr>
        <w:t>if not in the CEP or CER</w:t>
      </w:r>
      <w:r w:rsidR="00000727"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 the</w:t>
      </w:r>
      <w:r w:rsidR="006D182F" w:rsidRPr="003015CD">
        <w:rPr>
          <w:rFonts w:asciiTheme="majorHAnsi" w:hAnsiTheme="majorHAnsi" w:cstheme="majorBidi"/>
          <w:color w:val="000000" w:themeColor="text1"/>
        </w:rPr>
        <w:t xml:space="preserve"> SOTA</w:t>
      </w:r>
      <w:r w:rsidRPr="003015CD">
        <w:rPr>
          <w:rFonts w:asciiTheme="majorHAnsi" w:hAnsiTheme="majorHAnsi" w:cstheme="majorBidi"/>
          <w:color w:val="000000" w:themeColor="text1"/>
        </w:rPr>
        <w:t xml:space="preserve"> description (see Appendix A1)</w:t>
      </w:r>
    </w:p>
    <w:p w14:paraId="68BADD0B" w14:textId="4BC93CE5" w:rsidR="004171CC" w:rsidRPr="003015CD" w:rsidRDefault="004171CC" w:rsidP="36DE8064">
      <w:pPr>
        <w:pStyle w:val="Paragraphedeliste"/>
        <w:numPr>
          <w:ilvl w:val="0"/>
          <w:numId w:val="42"/>
        </w:num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if not in the CEP or CER, the full demonstration of </w:t>
      </w:r>
      <w:r w:rsidR="009B476C" w:rsidRPr="003015CD">
        <w:rPr>
          <w:rFonts w:asciiTheme="majorHAnsi" w:hAnsiTheme="majorHAnsi" w:cstheme="majorBidi"/>
          <w:color w:val="000000" w:themeColor="text1"/>
        </w:rPr>
        <w:t>equivalence,</w:t>
      </w:r>
      <w:r w:rsidRPr="003015CD">
        <w:rPr>
          <w:rFonts w:asciiTheme="majorHAnsi" w:hAnsiTheme="majorHAnsi" w:cstheme="majorBidi"/>
          <w:color w:val="000000" w:themeColor="text1"/>
        </w:rPr>
        <w:t xml:space="preserve"> where relevant</w:t>
      </w:r>
    </w:p>
    <w:p w14:paraId="63BED51F" w14:textId="0232002D"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full text copies of relevant documents available</w:t>
      </w:r>
    </w:p>
    <w:p w14:paraId="2B02F635" w14:textId="533D6FCD"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for completed clinical investigations, the clinical investigation plan, report and its summary</w:t>
      </w:r>
    </w:p>
    <w:p w14:paraId="2BAC10F8" w14:textId="76F6E0D1"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for ongoing clinical investigations, the clinical investigation plan and, if available, interim reports</w:t>
      </w:r>
    </w:p>
    <w:p w14:paraId="0313B90A" w14:textId="781B9E7E"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investigations plan and report, where available</w:t>
      </w:r>
    </w:p>
    <w:p w14:paraId="096FE7C9" w14:textId="77777777" w:rsidR="004171CC" w:rsidRPr="003015CD" w:rsidRDefault="004171CC" w:rsidP="00081885">
      <w:pPr>
        <w:pStyle w:val="Paragraphedeliste"/>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evaluators’ curriculum vitae</w:t>
      </w:r>
      <w:r w:rsidRPr="003015CD">
        <w:rPr>
          <w:rFonts w:asciiTheme="majorHAnsi" w:hAnsiTheme="majorHAnsi" w:cstheme="majorHAnsi"/>
          <w:i/>
          <w:color w:val="000000" w:themeColor="text1"/>
        </w:rPr>
        <w:t>.</w:t>
      </w:r>
    </w:p>
    <w:p w14:paraId="251BB57B" w14:textId="77777777" w:rsidR="004171CC" w:rsidRPr="003015CD" w:rsidRDefault="004171CC" w:rsidP="00081885">
      <w:pPr>
        <w:pStyle w:val="Paragraphedeliste"/>
        <w:ind w:left="792"/>
        <w:jc w:val="both"/>
        <w:rPr>
          <w:rFonts w:asciiTheme="majorHAnsi" w:hAnsiTheme="majorHAnsi" w:cstheme="majorHAnsi"/>
          <w:color w:val="000000" w:themeColor="text1"/>
        </w:rPr>
      </w:pPr>
    </w:p>
    <w:p w14:paraId="330DF0A6"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Note that all clinical evaluation documents should be dated and version controlled. </w:t>
      </w:r>
    </w:p>
    <w:p w14:paraId="483F8649" w14:textId="11C94785" w:rsidR="001615A6" w:rsidRPr="003015CD" w:rsidRDefault="001615A6">
      <w:pPr>
        <w:spacing w:before="0" w:after="0"/>
        <w:rPr>
          <w:rFonts w:asciiTheme="majorHAnsi" w:hAnsiTheme="majorHAnsi" w:cstheme="majorHAnsi"/>
          <w:color w:val="000000" w:themeColor="text1"/>
        </w:rPr>
      </w:pPr>
      <w:r w:rsidRPr="003015CD">
        <w:rPr>
          <w:rFonts w:asciiTheme="majorHAnsi" w:hAnsiTheme="majorHAnsi" w:cstheme="majorHAnsi"/>
          <w:color w:val="000000" w:themeColor="text1"/>
        </w:rPr>
        <w:br w:type="page"/>
      </w:r>
    </w:p>
    <w:p w14:paraId="1A5FBBFD" w14:textId="6C59D878" w:rsidR="0098089F" w:rsidRPr="003015CD" w:rsidRDefault="00D01957" w:rsidP="36DE8064">
      <w:pPr>
        <w:pStyle w:val="Titre1"/>
        <w:jc w:val="both"/>
        <w:rPr>
          <w:rFonts w:asciiTheme="majorHAnsi" w:hAnsiTheme="majorHAnsi" w:cstheme="majorBidi"/>
          <w:color w:val="000000" w:themeColor="text1"/>
        </w:rPr>
      </w:pPr>
      <w:bookmarkStart w:id="168" w:name="_Toc236912918"/>
      <w:bookmarkStart w:id="169" w:name="_Ref163814734"/>
      <w:bookmarkStart w:id="170" w:name="_Ref164263227"/>
      <w:r w:rsidRPr="003015CD">
        <w:rPr>
          <w:rFonts w:asciiTheme="majorHAnsi" w:hAnsiTheme="majorHAnsi" w:cstheme="majorBidi"/>
          <w:color w:val="000000" w:themeColor="text1"/>
        </w:rPr>
        <w:t>Post Market Clinical Follow</w:t>
      </w:r>
      <w:r w:rsidR="00B74CB7" w:rsidRPr="003015CD">
        <w:rPr>
          <w:rFonts w:asciiTheme="majorHAnsi" w:hAnsiTheme="majorHAnsi" w:cstheme="majorBidi"/>
          <w:color w:val="000000" w:themeColor="text1"/>
        </w:rPr>
        <w:t>-U</w:t>
      </w:r>
      <w:r w:rsidRPr="003015CD">
        <w:rPr>
          <w:rFonts w:asciiTheme="majorHAnsi" w:hAnsiTheme="majorHAnsi" w:cstheme="majorBidi"/>
          <w:color w:val="000000" w:themeColor="text1"/>
        </w:rPr>
        <w:t>p</w:t>
      </w:r>
      <w:bookmarkEnd w:id="168"/>
    </w:p>
    <w:p w14:paraId="7816565A" w14:textId="708094B2" w:rsidR="0098089F" w:rsidRPr="003015CD" w:rsidRDefault="0098089F"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Once placed on the market, the </w:t>
      </w:r>
      <w:r w:rsidRPr="003015CD">
        <w:rPr>
          <w:rFonts w:asciiTheme="majorHAnsi" w:hAnsiTheme="majorHAnsi"/>
          <w:color w:val="000000" w:themeColor="text1"/>
        </w:rPr>
        <w:t>clinical evaluation</w:t>
      </w:r>
      <w:r w:rsidRPr="003015CD">
        <w:rPr>
          <w:rFonts w:asciiTheme="majorHAnsi" w:hAnsiTheme="majorHAnsi" w:cstheme="majorBidi"/>
          <w:color w:val="000000" w:themeColor="text1"/>
        </w:rPr>
        <w:t xml:space="preserve"> should be updated throughout the device’s life</w:t>
      </w:r>
      <w:r w:rsidR="00D229F2" w:rsidRPr="003015CD">
        <w:rPr>
          <w:rFonts w:asciiTheme="majorHAnsi" w:hAnsiTheme="majorHAnsi" w:cstheme="majorBidi"/>
          <w:color w:val="000000" w:themeColor="text1"/>
        </w:rPr>
        <w:t>cycle</w:t>
      </w:r>
      <w:r w:rsidRPr="003015CD" w:rsidDel="009036FE">
        <w:rPr>
          <w:rFonts w:asciiTheme="majorHAnsi" w:hAnsiTheme="majorHAnsi" w:cstheme="majorBidi"/>
          <w:color w:val="000000" w:themeColor="text1"/>
        </w:rPr>
        <w:t xml:space="preserve"> </w:t>
      </w:r>
      <w:r w:rsidRPr="003015CD">
        <w:rPr>
          <w:rFonts w:asciiTheme="majorHAnsi" w:hAnsiTheme="majorHAnsi" w:cstheme="majorBidi"/>
          <w:color w:val="000000" w:themeColor="text1"/>
        </w:rPr>
        <w:t>by means of the continuous process of PMCF</w:t>
      </w:r>
      <w:r w:rsidRPr="003015CD">
        <w:rPr>
          <w:rStyle w:val="Appelnotedebasdep"/>
          <w:rFonts w:asciiTheme="majorHAnsi" w:hAnsiTheme="majorHAnsi" w:cstheme="majorBidi"/>
          <w:color w:val="000000" w:themeColor="text1"/>
        </w:rPr>
        <w:footnoteReference w:id="66"/>
      </w:r>
      <w:r w:rsidRPr="003015CD">
        <w:rPr>
          <w:rFonts w:asciiTheme="majorHAnsi" w:hAnsiTheme="majorHAnsi" w:cstheme="majorBidi"/>
          <w:color w:val="000000" w:themeColor="text1"/>
        </w:rPr>
        <w:t>. When conducting PMCF, the manufacturer must proactively collect and evaluate</w:t>
      </w:r>
      <w:r w:rsidRPr="003015CD">
        <w:rPr>
          <w:rFonts w:asciiTheme="majorHAnsi" w:hAnsiTheme="majorHAnsi"/>
          <w:color w:val="000000" w:themeColor="text1"/>
        </w:rPr>
        <w:t xml:space="preserve"> clinical </w:t>
      </w:r>
      <w:r w:rsidRPr="003015CD">
        <w:rPr>
          <w:rFonts w:asciiTheme="majorHAnsi" w:hAnsiTheme="majorHAnsi" w:cstheme="majorBidi"/>
          <w:color w:val="000000" w:themeColor="text1"/>
        </w:rPr>
        <w:t>data from the use of the device in the post-market setting, with the aims of confirming the device’s safety and performance throughout its expected lifetime, ensuring the continued acceptability of benefit-risk ratio, detecting previously unknown side-effects, new or emerging risks related to use of the device, monitoring the identified side-effects and contraindications as well as verifying that the intended purpose is correct, by identifying possible systematic misuse or off-label use of the device</w:t>
      </w:r>
      <w:r w:rsidRPr="003015CD">
        <w:rPr>
          <w:rStyle w:val="Appelnotedebasdep"/>
          <w:rFonts w:asciiTheme="majorHAnsi" w:hAnsiTheme="majorHAnsi" w:cstheme="majorBidi"/>
          <w:color w:val="000000" w:themeColor="text1"/>
        </w:rPr>
        <w:footnoteReference w:id="67"/>
      </w:r>
      <w:r w:rsidRPr="003015CD">
        <w:rPr>
          <w:rFonts w:asciiTheme="majorHAnsi" w:hAnsiTheme="majorHAnsi" w:cstheme="majorBidi"/>
          <w:color w:val="000000" w:themeColor="text1"/>
        </w:rPr>
        <w:t>. The manufacturer’s methods for achieving these aims must be laid down in a PMCF plan</w:t>
      </w:r>
      <w:r w:rsidRPr="003015CD">
        <w:rPr>
          <w:rStyle w:val="Appelnotedebasdep"/>
          <w:rFonts w:asciiTheme="majorHAnsi" w:hAnsiTheme="majorHAnsi" w:cstheme="majorBidi"/>
          <w:color w:val="000000" w:themeColor="text1"/>
        </w:rPr>
        <w:footnoteReference w:id="68"/>
      </w:r>
      <w:r w:rsidRPr="003015CD">
        <w:rPr>
          <w:rFonts w:asciiTheme="majorHAnsi" w:hAnsiTheme="majorHAnsi" w:cstheme="majorBidi"/>
          <w:color w:val="000000" w:themeColor="text1"/>
        </w:rPr>
        <w:t>. The PMCF</w:t>
      </w:r>
      <w:r w:rsidRPr="003015CD">
        <w:rPr>
          <w:rFonts w:asciiTheme="majorHAnsi" w:hAnsiTheme="majorHAnsi" w:cstheme="majorBidi"/>
          <w:color w:val="000000" w:themeColor="text1"/>
          <w:sz w:val="20"/>
        </w:rPr>
        <w:t xml:space="preserve"> </w:t>
      </w:r>
      <w:r w:rsidRPr="003015CD">
        <w:rPr>
          <w:rFonts w:asciiTheme="majorHAnsi" w:hAnsiTheme="majorHAnsi" w:cstheme="majorBidi"/>
          <w:color w:val="000000" w:themeColor="text1"/>
        </w:rPr>
        <w:t>must be appropriately addressed in the manufacturer’s QMS</w:t>
      </w:r>
      <w:r w:rsidRPr="003015CD">
        <w:rPr>
          <w:rStyle w:val="Appelnotedebasdep"/>
          <w:rFonts w:asciiTheme="majorHAnsi" w:hAnsiTheme="majorHAnsi" w:cstheme="majorBidi"/>
          <w:color w:val="000000" w:themeColor="text1"/>
          <w:sz w:val="20"/>
        </w:rPr>
        <w:footnoteReference w:id="69"/>
      </w:r>
      <w:r w:rsidRPr="003015CD">
        <w:rPr>
          <w:rFonts w:asciiTheme="majorHAnsi" w:hAnsiTheme="majorHAnsi" w:cstheme="majorBidi"/>
          <w:color w:val="000000" w:themeColor="text1"/>
        </w:rPr>
        <w:t xml:space="preserve">.  </w:t>
      </w:r>
    </w:p>
    <w:p w14:paraId="0BFBBE0C" w14:textId="77777777" w:rsidR="0098089F" w:rsidRPr="003015CD" w:rsidRDefault="0098089F"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data that are collected through PMCF should be appraised and analysed in line with sections 9 and 10 of this guidance document, as part of PMCF evaluation of the device. The PMCF evaluation must be documented and regularly updated in a PMCF evaluation report</w:t>
      </w:r>
      <w:r w:rsidRPr="003015CD">
        <w:rPr>
          <w:rFonts w:asciiTheme="majorHAnsi" w:hAnsiTheme="majorHAnsi" w:cstheme="majorHAnsi"/>
          <w:color w:val="000000" w:themeColor="text1"/>
          <w:vertAlign w:val="superscript"/>
        </w:rPr>
        <w:footnoteReference w:id="70"/>
      </w:r>
      <w:r w:rsidRPr="003015CD">
        <w:rPr>
          <w:rFonts w:asciiTheme="majorHAnsi" w:hAnsiTheme="majorHAnsi" w:cstheme="majorHAnsi"/>
          <w:color w:val="000000" w:themeColor="text1"/>
        </w:rPr>
        <w:t>. The conclusions of the PMCF evaluation report must be taken into account in the clinical evaluation as well as in the risk management for the device. If, through the PMCF, the need for preventive and/or corrective measures has been identified, the manufacturer must implement them accordingly</w:t>
      </w:r>
      <w:r w:rsidRPr="003015CD">
        <w:rPr>
          <w:rStyle w:val="Appelnotedebasdep"/>
          <w:rFonts w:asciiTheme="majorHAnsi" w:hAnsiTheme="majorHAnsi" w:cstheme="majorHAnsi"/>
          <w:color w:val="000000" w:themeColor="text1"/>
        </w:rPr>
        <w:footnoteReference w:id="71"/>
      </w:r>
      <w:r w:rsidRPr="003015CD">
        <w:rPr>
          <w:rFonts w:asciiTheme="majorHAnsi" w:hAnsiTheme="majorHAnsi" w:cstheme="majorHAnsi"/>
          <w:color w:val="000000" w:themeColor="text1"/>
        </w:rPr>
        <w:t xml:space="preserve">. Please refer to MDCG 2020-7 and MDCG 2020-8 for guidance on the PMCF plan and PMCF evaluation report, respectively.  </w:t>
      </w:r>
    </w:p>
    <w:p w14:paraId="53B695DE" w14:textId="77777777" w:rsidR="0098089F" w:rsidRPr="003015CD" w:rsidRDefault="0098089F" w:rsidP="00081885">
      <w:pPr>
        <w:pStyle w:val="Text-Indent"/>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When developing a PMCF plan, the manufacturer should consider:</w:t>
      </w:r>
    </w:p>
    <w:p w14:paraId="1EA058BE" w14:textId="77777777" w:rsidR="0098089F" w:rsidRPr="003015CD" w:rsidRDefault="0098089F" w:rsidP="00081885">
      <w:pPr>
        <w:pStyle w:val="Text-Indent"/>
        <w:numPr>
          <w:ilvl w:val="0"/>
          <w:numId w:val="106"/>
        </w:numPr>
        <w:jc w:val="both"/>
        <w:rPr>
          <w:rFonts w:asciiTheme="majorHAnsi" w:hAnsiTheme="majorHAnsi" w:cstheme="majorBidi"/>
          <w:color w:val="000000" w:themeColor="text1"/>
        </w:rPr>
      </w:pPr>
      <w:r w:rsidRPr="003015CD">
        <w:rPr>
          <w:rFonts w:asciiTheme="majorHAnsi" w:hAnsiTheme="majorHAnsi" w:cstheme="majorBidi"/>
          <w:color w:val="000000" w:themeColor="text1"/>
        </w:rPr>
        <w:t>the characteristics of the device in question, such as the invasiveness, duration of use, overall risk, residual risks, etc., and</w:t>
      </w:r>
    </w:p>
    <w:p w14:paraId="08792481" w14:textId="77777777" w:rsidR="0098089F" w:rsidRPr="003015CD" w:rsidRDefault="0098089F" w:rsidP="00081885">
      <w:pPr>
        <w:pStyle w:val="Text-Indent"/>
        <w:numPr>
          <w:ilvl w:val="0"/>
          <w:numId w:val="106"/>
        </w:num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conclusions of the clinical evaluation analysis stage, with particular attention to any uncertainties or limitations in clinical data that require further evaluation in the post-market setting.  </w:t>
      </w:r>
    </w:p>
    <w:p w14:paraId="2A7A142C" w14:textId="77777777" w:rsidR="0098089F" w:rsidRPr="003015CD" w:rsidRDefault="0098089F" w:rsidP="00081885">
      <w:pPr>
        <w:pStyle w:val="Text-Indent"/>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For example, while the clinical evaluation </w:t>
      </w:r>
      <w:r w:rsidRPr="003015CD">
        <w:rPr>
          <w:rFonts w:asciiTheme="majorHAnsi" w:hAnsiTheme="majorHAnsi"/>
          <w:color w:val="000000" w:themeColor="text1"/>
        </w:rPr>
        <w:t xml:space="preserve">may </w:t>
      </w:r>
      <w:r w:rsidRPr="003015CD">
        <w:rPr>
          <w:rFonts w:asciiTheme="majorHAnsi" w:hAnsiTheme="majorHAnsi" w:cstheme="majorHAnsi"/>
          <w:color w:val="000000" w:themeColor="text1"/>
        </w:rPr>
        <w:t xml:space="preserve">conclude that the clinical data provide </w:t>
      </w:r>
      <w:r w:rsidRPr="003015CD">
        <w:rPr>
          <w:rFonts w:asciiTheme="majorHAnsi" w:hAnsiTheme="majorHAnsi"/>
          <w:color w:val="000000" w:themeColor="text1"/>
        </w:rPr>
        <w:t xml:space="preserve">sufficient </w:t>
      </w:r>
      <w:r w:rsidRPr="003015CD">
        <w:rPr>
          <w:rFonts w:asciiTheme="majorHAnsi" w:hAnsiTheme="majorHAnsi" w:cstheme="majorHAnsi"/>
          <w:color w:val="000000" w:themeColor="text1"/>
        </w:rPr>
        <w:t xml:space="preserve">clinical evidence </w:t>
      </w:r>
      <w:r w:rsidRPr="003015CD">
        <w:rPr>
          <w:rFonts w:asciiTheme="majorHAnsi" w:hAnsiTheme="majorHAnsi"/>
          <w:color w:val="000000" w:themeColor="text1"/>
        </w:rPr>
        <w:t xml:space="preserve">to place the device on the market, </w:t>
      </w:r>
      <w:r w:rsidRPr="003015CD">
        <w:rPr>
          <w:rFonts w:asciiTheme="majorHAnsi" w:hAnsiTheme="majorHAnsi" w:cstheme="majorHAnsi"/>
          <w:color w:val="000000" w:themeColor="text1"/>
        </w:rPr>
        <w:t>there may be certain aspects where</w:t>
      </w:r>
      <w:r w:rsidRPr="003015CD">
        <w:rPr>
          <w:rFonts w:asciiTheme="majorHAnsi" w:hAnsiTheme="majorHAnsi"/>
          <w:color w:val="000000" w:themeColor="text1"/>
        </w:rPr>
        <w:t xml:space="preserve"> additional clinical </w:t>
      </w:r>
      <w:r w:rsidRPr="003015CD">
        <w:rPr>
          <w:rFonts w:asciiTheme="majorHAnsi" w:hAnsiTheme="majorHAnsi" w:cstheme="majorHAnsi"/>
          <w:color w:val="000000" w:themeColor="text1"/>
        </w:rPr>
        <w:t>data need to be collected in the post-market setting to confirm its continued safety and performance throughout its expected lifetime. Where pre-market clinical data may be limited with respect to certain aspects such as rare complications, long-term performance, safety under wide-spread use, etc., the PMCF should be designed to appropriately address these limitations. PMCF studies including PMCF clinical investigations may be indicated.</w:t>
      </w:r>
    </w:p>
    <w:p w14:paraId="2864B560" w14:textId="3456CF5D" w:rsidR="0098089F" w:rsidRPr="003015CD" w:rsidRDefault="0098089F" w:rsidP="00081885">
      <w:pPr>
        <w:pStyle w:val="Text-Indent"/>
        <w:spacing w:line="259" w:lineRule="auto"/>
        <w:ind w:left="0"/>
        <w:jc w:val="both"/>
        <w:rPr>
          <w:rFonts w:asciiTheme="majorHAnsi" w:hAnsiTheme="majorHAnsi" w:cstheme="majorBidi"/>
          <w:color w:val="000000" w:themeColor="text1"/>
        </w:rPr>
      </w:pPr>
      <w:r w:rsidRPr="003015CD">
        <w:rPr>
          <w:rFonts w:asciiTheme="majorHAnsi" w:hAnsiTheme="majorHAnsi" w:cstheme="majorBidi"/>
          <w:color w:val="000000" w:themeColor="text1"/>
        </w:rPr>
        <w:t>MDR provides for the possibility that the manufacturer justifies why PMCF is “not applicable”</w:t>
      </w:r>
      <w:r w:rsidRPr="003015CD">
        <w:rPr>
          <w:rStyle w:val="Appelnotedebasdep"/>
          <w:rFonts w:asciiTheme="majorHAnsi" w:hAnsiTheme="majorHAnsi" w:cstheme="majorBidi"/>
          <w:color w:val="000000" w:themeColor="text1"/>
        </w:rPr>
        <w:footnoteReference w:id="72"/>
      </w:r>
      <w:r w:rsidRPr="003015CD">
        <w:rPr>
          <w:rFonts w:asciiTheme="majorHAnsi" w:hAnsiTheme="majorHAnsi" w:cstheme="majorBidi"/>
          <w:color w:val="000000" w:themeColor="text1"/>
        </w:rPr>
        <w:t>.</w:t>
      </w:r>
      <w:r w:rsidRPr="003015CD">
        <w:rPr>
          <w:rFonts w:asciiTheme="majorHAnsi" w:hAnsiTheme="majorHAnsi"/>
          <w:color w:val="000000" w:themeColor="text1"/>
        </w:rPr>
        <w:t xml:space="preserve">  The circumstances or criteria when a manufacturer may justify that a PMCF is not applicable are not specified </w:t>
      </w:r>
      <w:r w:rsidR="00DF4696" w:rsidRPr="003015CD">
        <w:rPr>
          <w:rFonts w:asciiTheme="majorHAnsi" w:hAnsiTheme="majorHAnsi"/>
          <w:color w:val="000000" w:themeColor="text1"/>
        </w:rPr>
        <w:t>in MDR</w:t>
      </w:r>
      <w:r w:rsidRPr="003015CD">
        <w:rPr>
          <w:rFonts w:asciiTheme="majorHAnsi" w:hAnsiTheme="majorHAnsi"/>
          <w:color w:val="000000" w:themeColor="text1"/>
        </w:rPr>
        <w:t>. Note that in this context “not applicable” should be interpreted as “not relevant</w:t>
      </w:r>
      <w:r w:rsidRPr="003015CD">
        <w:rPr>
          <w:rFonts w:asciiTheme="majorHAnsi" w:hAnsiTheme="majorHAnsi" w:cstheme="majorBidi"/>
          <w:color w:val="000000" w:themeColor="text1"/>
        </w:rPr>
        <w:t>” or “not necessary” in the referenced MDR provisions. Note also that such non-applicability concerns all PMCF activities, including but not limited to PMCF studies. Considering the legal requirement for PMCF</w:t>
      </w:r>
      <w:r w:rsidRPr="003015CD">
        <w:rPr>
          <w:rStyle w:val="Appelnotedebasdep"/>
          <w:rFonts w:asciiTheme="majorHAnsi" w:hAnsiTheme="majorHAnsi" w:cstheme="majorBidi"/>
          <w:color w:val="000000" w:themeColor="text1"/>
        </w:rPr>
        <w:footnoteReference w:id="73"/>
      </w:r>
      <w:r w:rsidRPr="003015CD">
        <w:rPr>
          <w:rFonts w:asciiTheme="majorHAnsi" w:hAnsiTheme="majorHAnsi" w:cstheme="majorBidi"/>
          <w:color w:val="000000" w:themeColor="text1"/>
        </w:rPr>
        <w:t>, such non applicability should be limited to exceptional circumstances, and should be duly justified on a case-by-case basis. The justification should include clear rationale and explanation as to how, in the absence of PMCF, the safety and clinical performance</w:t>
      </w:r>
      <w:r w:rsidRPr="003015CD">
        <w:t xml:space="preserve"> will be confirmed </w:t>
      </w:r>
      <w:r w:rsidRPr="003015CD">
        <w:rPr>
          <w:rFonts w:asciiTheme="majorHAnsi" w:hAnsiTheme="majorHAnsi" w:cstheme="majorBidi"/>
          <w:color w:val="000000" w:themeColor="text1"/>
        </w:rPr>
        <w:t xml:space="preserve">throughout the expected lifetime of the device, the continued acceptability of identified risks will be ensured, and emerging risks will be detected. </w:t>
      </w:r>
    </w:p>
    <w:p w14:paraId="1F68A3C5" w14:textId="77777777" w:rsidR="009F3CE8" w:rsidRPr="003015CD" w:rsidRDefault="009F3CE8" w:rsidP="00081885">
      <w:pPr>
        <w:pStyle w:val="Text-Indent"/>
        <w:spacing w:line="259" w:lineRule="auto"/>
        <w:ind w:left="0"/>
        <w:jc w:val="both"/>
        <w:rPr>
          <w:color w:val="000000" w:themeColor="text1"/>
          <w:szCs w:val="22"/>
        </w:rPr>
      </w:pPr>
    </w:p>
    <w:p w14:paraId="3A8EF21A" w14:textId="77777777" w:rsidR="0098089F" w:rsidRPr="003015CD" w:rsidRDefault="0098089F" w:rsidP="00081885">
      <w:pPr>
        <w:pStyle w:val="Titre2"/>
        <w:numPr>
          <w:ilvl w:val="1"/>
          <w:numId w:val="293"/>
        </w:numPr>
      </w:pPr>
      <w:bookmarkStart w:id="171" w:name="_Toc236912919"/>
      <w:r w:rsidRPr="003015CD">
        <w:t>PMCF studies</w:t>
      </w:r>
      <w:bookmarkEnd w:id="171"/>
    </w:p>
    <w:p w14:paraId="18EA9B33" w14:textId="689A3E5A" w:rsidR="0098089F" w:rsidRPr="003015CD" w:rsidRDefault="0098089F" w:rsidP="00081885">
      <w:pPr>
        <w:spacing w:before="0" w:after="0" w:line="259" w:lineRule="auto"/>
        <w:jc w:val="both"/>
      </w:pPr>
      <w:r w:rsidRPr="003015CD">
        <w:t>Certain devices (e.g., high-risk devices, implantable devices, devices containing certain substances</w:t>
      </w:r>
      <w:r w:rsidRPr="003015CD">
        <w:rPr>
          <w:rStyle w:val="Appelnotedebasdep"/>
        </w:rPr>
        <w:footnoteReference w:id="74"/>
      </w:r>
      <w:r w:rsidRPr="003015CD">
        <w:t>, devices intended for long term use</w:t>
      </w:r>
      <w:r w:rsidRPr="003015CD">
        <w:rPr>
          <w:rStyle w:val="Appelnotedebasdep"/>
        </w:rPr>
        <w:footnoteReference w:id="75"/>
      </w:r>
      <w:r w:rsidRPr="003015CD">
        <w:t>) may require long-term follow-up studies in the post-market setting to assess the device’s long-term clinical performance and to identify any potential long-term safety concerns. These PMCF studies include but are not limited to PMCF investigations (see Section 1</w:t>
      </w:r>
      <w:r w:rsidR="00A30ADA" w:rsidRPr="003015CD">
        <w:t>3</w:t>
      </w:r>
      <w:r w:rsidRPr="003015CD">
        <w:t>.2). PMCF studies should be designed to effectively monitor the long-term follow-up of patients exposed to the device, to confirm the safety and clinical performance of the device throughout its expected lifetime. Long-term follow-up is especially important where the benefits or risks associated with a device may manifest slowly over an extended period.</w:t>
      </w:r>
    </w:p>
    <w:p w14:paraId="7B50BF80" w14:textId="77777777" w:rsidR="0098089F" w:rsidRPr="003015CD" w:rsidRDefault="0098089F" w:rsidP="00081885">
      <w:pPr>
        <w:spacing w:before="0" w:after="0"/>
        <w:jc w:val="both"/>
      </w:pPr>
    </w:p>
    <w:p w14:paraId="63CF98BE" w14:textId="77777777" w:rsidR="0098089F" w:rsidRPr="003015CD" w:rsidRDefault="0098089F" w:rsidP="00081885">
      <w:pPr>
        <w:spacing w:before="0" w:after="0"/>
        <w:jc w:val="both"/>
        <w:rPr>
          <w:rFonts w:asciiTheme="majorHAnsi" w:hAnsiTheme="majorHAnsi" w:cstheme="majorBidi"/>
          <w:color w:val="000000" w:themeColor="text1"/>
        </w:rPr>
      </w:pPr>
      <w:r w:rsidRPr="003015CD">
        <w:t xml:space="preserve">Where feasible for PMCF studies, for the duration of recruitment in a study site, the manufacturer should plan to enrol a representative proportion of patients exposed to the device in that site. This is particularly important for devices that carry significant risks (i.e. </w:t>
      </w:r>
      <w:r w:rsidRPr="003015CD">
        <w:rPr>
          <w:rFonts w:asciiTheme="majorHAnsi" w:hAnsiTheme="majorHAnsi" w:cstheme="majorBidi"/>
          <w:color w:val="000000" w:themeColor="text1"/>
        </w:rPr>
        <w:t>high residual risks or risks of causing serious adverse events).</w:t>
      </w:r>
    </w:p>
    <w:p w14:paraId="2E23ABFB" w14:textId="77777777" w:rsidR="0098089F" w:rsidRPr="003015CD" w:rsidRDefault="0098089F" w:rsidP="00081885">
      <w:pPr>
        <w:spacing w:before="0" w:after="0"/>
        <w:jc w:val="both"/>
      </w:pPr>
    </w:p>
    <w:p w14:paraId="298998CC" w14:textId="77777777" w:rsidR="0098089F" w:rsidRPr="003015CD" w:rsidRDefault="0098089F" w:rsidP="00081885">
      <w:pPr>
        <w:spacing w:before="0" w:after="120" w:line="259" w:lineRule="auto"/>
        <w:jc w:val="both"/>
      </w:pPr>
      <w:r w:rsidRPr="003015CD">
        <w:t>In addition to collecting objective clinical data reflecting safety and performance, PMCF studies may also capture, as secondary endpoints, real-world usability data from the user/healthcare professional perspective.</w:t>
      </w:r>
    </w:p>
    <w:p w14:paraId="1EB79112" w14:textId="77777777" w:rsidR="0098089F" w:rsidRPr="003015CD" w:rsidRDefault="0098089F" w:rsidP="00081885">
      <w:pPr>
        <w:jc w:val="both"/>
        <w:rPr>
          <w:rFonts w:asciiTheme="majorHAnsi" w:hAnsiTheme="majorHAnsi"/>
          <w:color w:val="000000" w:themeColor="text1"/>
        </w:rPr>
      </w:pPr>
      <w:r w:rsidRPr="003015CD">
        <w:rPr>
          <w:rFonts w:asciiTheme="majorHAnsi" w:hAnsiTheme="majorHAnsi"/>
          <w:color w:val="000000" w:themeColor="text1"/>
        </w:rPr>
        <w:t xml:space="preserve">PMCF </w:t>
      </w:r>
      <w:r w:rsidRPr="003015CD">
        <w:rPr>
          <w:rFonts w:asciiTheme="majorHAnsi" w:hAnsiTheme="majorHAnsi" w:cstheme="majorBidi"/>
          <w:color w:val="000000" w:themeColor="text1"/>
        </w:rPr>
        <w:t>studies</w:t>
      </w:r>
      <w:r w:rsidRPr="003015CD">
        <w:rPr>
          <w:rFonts w:asciiTheme="majorHAnsi" w:hAnsiTheme="majorHAnsi"/>
          <w:color w:val="000000" w:themeColor="text1"/>
        </w:rPr>
        <w:t xml:space="preserve"> may be considered based on the following (not-exhaustive list</w:t>
      </w:r>
      <w:r w:rsidRPr="003015CD">
        <w:rPr>
          <w:rFonts w:asciiTheme="majorHAnsi" w:hAnsiTheme="majorHAnsi" w:cstheme="majorBidi"/>
          <w:color w:val="000000" w:themeColor="text1"/>
        </w:rPr>
        <w:t>):</w:t>
      </w:r>
    </w:p>
    <w:p w14:paraId="0345138B"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 xml:space="preserve">Long-term safety and/or clinical performance </w:t>
      </w:r>
    </w:p>
    <w:p w14:paraId="0C0B7139" w14:textId="77777777" w:rsidR="0098089F" w:rsidRPr="003015CD" w:rsidRDefault="0098089F" w:rsidP="00081885">
      <w:pPr>
        <w:autoSpaceDE w:val="0"/>
        <w:autoSpaceDN w:val="0"/>
        <w:adjustRightInd w:val="0"/>
        <w:spacing w:after="0"/>
        <w:ind w:left="360"/>
        <w:jc w:val="both"/>
        <w:rPr>
          <w:rFonts w:asciiTheme="majorHAnsi" w:hAnsiTheme="majorHAnsi"/>
          <w:color w:val="000000" w:themeColor="text1"/>
        </w:rPr>
      </w:pPr>
      <w:r w:rsidRPr="003015CD">
        <w:rPr>
          <w:rFonts w:asciiTheme="majorHAnsi" w:hAnsiTheme="majorHAnsi"/>
          <w:color w:val="000000" w:themeColor="text1"/>
        </w:rPr>
        <w:t xml:space="preserve">PMCF </w:t>
      </w:r>
      <w:r w:rsidRPr="003015CD">
        <w:rPr>
          <w:rFonts w:asciiTheme="majorHAnsi" w:hAnsiTheme="majorHAnsi" w:cstheme="majorBidi"/>
          <w:color w:val="000000" w:themeColor="text1"/>
        </w:rPr>
        <w:t>studies</w:t>
      </w:r>
      <w:r w:rsidRPr="003015CD">
        <w:rPr>
          <w:rFonts w:asciiTheme="majorHAnsi" w:hAnsiTheme="majorHAnsi"/>
          <w:color w:val="000000" w:themeColor="text1"/>
        </w:rPr>
        <w:t xml:space="preserve"> may be designed to identify and further assess issues relating to a device’s long-term safety and clinical performance throughout its expected lifetime, including identifying and assessing new risks, adverse events, and side-effects specific to certain indications. </w:t>
      </w:r>
    </w:p>
    <w:p w14:paraId="2E035441" w14:textId="0EED65F9" w:rsidR="0098089F" w:rsidRPr="003015CD" w:rsidRDefault="0098089F" w:rsidP="00081885">
      <w:pPr>
        <w:autoSpaceDE w:val="0"/>
        <w:autoSpaceDN w:val="0"/>
        <w:adjustRightInd w:val="0"/>
        <w:spacing w:after="0"/>
        <w:ind w:left="360"/>
        <w:jc w:val="both"/>
        <w:rPr>
          <w:rFonts w:asciiTheme="majorHAnsi" w:hAnsiTheme="majorHAnsi"/>
          <w:color w:val="000000" w:themeColor="text1"/>
          <w:szCs w:val="18"/>
        </w:rPr>
      </w:pPr>
      <w:r w:rsidRPr="003015CD">
        <w:rPr>
          <w:rFonts w:asciiTheme="majorHAnsi" w:hAnsiTheme="majorHAnsi"/>
          <w:color w:val="000000" w:themeColor="text1"/>
        </w:rPr>
        <w:t>New information that is relevant to long</w:t>
      </w:r>
      <w:r w:rsidRPr="003015CD">
        <w:rPr>
          <w:rFonts w:asciiTheme="majorHAnsi" w:hAnsiTheme="majorHAnsi" w:cstheme="majorBidi"/>
          <w:color w:val="000000" w:themeColor="text1"/>
        </w:rPr>
        <w:t>-</w:t>
      </w:r>
      <w:r w:rsidRPr="003015CD">
        <w:rPr>
          <w:rFonts w:asciiTheme="majorHAnsi" w:hAnsiTheme="majorHAnsi"/>
          <w:color w:val="000000" w:themeColor="text1"/>
        </w:rPr>
        <w:t xml:space="preserve">term safety and clinical performance of the device may emerge from PMS </w:t>
      </w:r>
      <w:r w:rsidR="00853B10" w:rsidRPr="003015CD">
        <w:rPr>
          <w:rFonts w:asciiTheme="majorHAnsi" w:hAnsiTheme="majorHAnsi"/>
          <w:color w:val="000000" w:themeColor="text1"/>
        </w:rPr>
        <w:t>and</w:t>
      </w:r>
      <w:r w:rsidRPr="003015CD">
        <w:rPr>
          <w:rFonts w:asciiTheme="majorHAnsi" w:hAnsiTheme="majorHAnsi"/>
          <w:color w:val="000000" w:themeColor="text1"/>
        </w:rPr>
        <w:t xml:space="preserve"> PMCF activities. </w:t>
      </w:r>
      <w:r w:rsidRPr="003015CD">
        <w:rPr>
          <w:rFonts w:asciiTheme="majorHAnsi" w:hAnsiTheme="majorHAnsi"/>
          <w:color w:val="000000" w:themeColor="text1"/>
          <w:szCs w:val="18"/>
        </w:rPr>
        <w:t xml:space="preserve">This new information may identify a need for PMCF studies to further assess identified issues. </w:t>
      </w:r>
    </w:p>
    <w:p w14:paraId="50C40317"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 xml:space="preserve">Novelty of a device </w:t>
      </w:r>
    </w:p>
    <w:p w14:paraId="0AB770DF" w14:textId="44836F1C" w:rsidR="0098089F" w:rsidRPr="003015CD" w:rsidRDefault="0098089F" w:rsidP="00081885">
      <w:pPr>
        <w:autoSpaceDE w:val="0"/>
        <w:autoSpaceDN w:val="0"/>
        <w:adjustRightInd w:val="0"/>
        <w:spacing w:after="0"/>
        <w:ind w:left="360"/>
        <w:jc w:val="both"/>
        <w:rPr>
          <w:rFonts w:asciiTheme="majorHAnsi" w:hAnsiTheme="majorHAnsi"/>
          <w:color w:val="000000" w:themeColor="text1"/>
        </w:rPr>
      </w:pPr>
      <w:r w:rsidRPr="003015CD">
        <w:rPr>
          <w:rFonts w:asciiTheme="majorHAnsi" w:hAnsiTheme="majorHAnsi"/>
          <w:color w:val="000000" w:themeColor="text1"/>
        </w:rPr>
        <w:t xml:space="preserve">When a device displays a high degree of </w:t>
      </w:r>
      <w:r w:rsidRPr="003015CD">
        <w:rPr>
          <w:rFonts w:asciiTheme="majorHAnsi" w:hAnsiTheme="majorHAnsi" w:cstheme="majorBidi"/>
          <w:color w:val="000000" w:themeColor="text1"/>
        </w:rPr>
        <w:t xml:space="preserve">novelty </w:t>
      </w:r>
      <w:r w:rsidRPr="003015CD">
        <w:rPr>
          <w:rFonts w:asciiTheme="majorHAnsi" w:hAnsiTheme="majorHAnsi"/>
          <w:color w:val="000000" w:themeColor="text1"/>
        </w:rPr>
        <w:t>with respect to the</w:t>
      </w:r>
      <w:r w:rsidR="006D182F" w:rsidRPr="003015CD">
        <w:rPr>
          <w:rFonts w:asciiTheme="majorHAnsi" w:hAnsiTheme="majorHAnsi"/>
          <w:color w:val="000000" w:themeColor="text1"/>
        </w:rPr>
        <w:t xml:space="preserve"> </w:t>
      </w:r>
      <w:r w:rsidR="006D182F" w:rsidRPr="003015CD">
        <w:rPr>
          <w:rFonts w:asciiTheme="majorHAnsi" w:hAnsiTheme="majorHAnsi" w:cstheme="majorHAnsi"/>
          <w:color w:val="000000" w:themeColor="text1"/>
        </w:rPr>
        <w:t>SOTA</w:t>
      </w:r>
      <w:r w:rsidRPr="003015CD">
        <w:rPr>
          <w:rFonts w:asciiTheme="majorHAnsi" w:hAnsiTheme="majorHAnsi"/>
          <w:color w:val="000000" w:themeColor="text1"/>
        </w:rPr>
        <w:t xml:space="preserve"> concerning aspects such as design, materials, substances, the principles of operation, the technology and manufacturing process, or the related clinical procedure, PMCF </w:t>
      </w:r>
      <w:r w:rsidRPr="003015CD">
        <w:rPr>
          <w:rFonts w:asciiTheme="majorHAnsi" w:hAnsiTheme="majorHAnsi" w:cstheme="majorBidi"/>
          <w:color w:val="000000" w:themeColor="text1"/>
        </w:rPr>
        <w:t>studies</w:t>
      </w:r>
      <w:r w:rsidRPr="003015CD">
        <w:rPr>
          <w:rFonts w:asciiTheme="majorHAnsi" w:hAnsiTheme="majorHAnsi"/>
          <w:color w:val="000000" w:themeColor="text1"/>
        </w:rPr>
        <w:t xml:space="preserve"> should be considered</w:t>
      </w:r>
      <w:r w:rsidRPr="003015CD">
        <w:rPr>
          <w:rFonts w:asciiTheme="majorHAnsi" w:hAnsiTheme="majorHAnsi" w:cstheme="majorBidi"/>
          <w:color w:val="000000" w:themeColor="text1"/>
        </w:rPr>
        <w:t xml:space="preserve">. </w:t>
      </w:r>
    </w:p>
    <w:p w14:paraId="3A71DF32"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stheme="majorHAnsi"/>
          <w:color w:val="000000" w:themeColor="text1"/>
          <w:u w:val="single"/>
        </w:rPr>
        <w:t>Breakthrough medical devices &amp;</w:t>
      </w:r>
      <w:r w:rsidRPr="003015CD">
        <w:rPr>
          <w:rFonts w:asciiTheme="majorHAnsi" w:hAnsiTheme="majorHAnsi"/>
          <w:color w:val="000000" w:themeColor="text1"/>
          <w:u w:val="single"/>
        </w:rPr>
        <w:t xml:space="preserve"> orphan medical devices</w:t>
      </w:r>
    </w:p>
    <w:p w14:paraId="3D8C663E" w14:textId="45EF87BA" w:rsidR="0098089F" w:rsidRPr="003015CD" w:rsidRDefault="0098089F" w:rsidP="00081885">
      <w:pPr>
        <w:spacing w:before="240" w:after="0"/>
        <w:ind w:left="360"/>
        <w:jc w:val="both"/>
        <w:rPr>
          <w:rFonts w:asciiTheme="majorHAnsi" w:hAnsiTheme="majorHAnsi"/>
          <w:color w:val="000000" w:themeColor="text1"/>
        </w:rPr>
      </w:pPr>
      <w:r w:rsidRPr="003015CD">
        <w:rPr>
          <w:rFonts w:asciiTheme="majorHAnsi" w:hAnsiTheme="majorHAnsi"/>
          <w:color w:val="000000" w:themeColor="text1"/>
        </w:rPr>
        <w:t xml:space="preserve">For guidance on PMCF for breakthrough medical devices and orphan medical devices, please refer to </w:t>
      </w:r>
      <w:r w:rsidR="00207696" w:rsidRPr="003015CD">
        <w:rPr>
          <w:rFonts w:asciiTheme="majorHAnsi" w:hAnsiTheme="majorHAnsi"/>
          <w:color w:val="000000" w:themeColor="text1"/>
        </w:rPr>
        <w:t>MDCG 2025-9 and MDCG 2024-10.</w:t>
      </w:r>
    </w:p>
    <w:p w14:paraId="4E3B33A3"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 xml:space="preserve">Changes to the device </w:t>
      </w:r>
    </w:p>
    <w:p w14:paraId="5038C942" w14:textId="77777777" w:rsidR="0098089F" w:rsidRPr="003015CD" w:rsidRDefault="0098089F" w:rsidP="00081885">
      <w:pPr>
        <w:pStyle w:val="Sansinterligne"/>
        <w:numPr>
          <w:ilvl w:val="0"/>
          <w:numId w:val="0"/>
        </w:numPr>
        <w:ind w:left="360"/>
        <w:jc w:val="both"/>
        <w:rPr>
          <w:rFonts w:asciiTheme="majorHAnsi" w:hAnsiTheme="majorHAnsi"/>
          <w:color w:val="000000" w:themeColor="text1"/>
          <w:u w:val="single"/>
        </w:rPr>
      </w:pPr>
      <w:r w:rsidRPr="003015CD">
        <w:rPr>
          <w:rFonts w:asciiTheme="majorHAnsi" w:hAnsiTheme="majorHAnsi"/>
          <w:color w:val="000000" w:themeColor="text1"/>
        </w:rPr>
        <w:t>Where changes have been made to a device and where compliance with the applicable requirements has been demonstrated with respect to that change following the applicable conformity assessment procedure</w:t>
      </w:r>
      <w:r w:rsidRPr="003015CD">
        <w:rPr>
          <w:rStyle w:val="Appelnotedebasdep"/>
          <w:rFonts w:asciiTheme="majorHAnsi" w:hAnsiTheme="majorHAnsi"/>
          <w:color w:val="000000" w:themeColor="text1"/>
        </w:rPr>
        <w:footnoteReference w:id="76"/>
      </w:r>
      <w:r w:rsidRPr="003015CD">
        <w:rPr>
          <w:rFonts w:asciiTheme="majorHAnsi" w:hAnsiTheme="majorHAnsi"/>
          <w:color w:val="000000" w:themeColor="text1"/>
        </w:rPr>
        <w:t xml:space="preserve">, PMCF studies may be considered to further evaluate the impact of that change on the device’s safety and clinical performance. </w:t>
      </w:r>
    </w:p>
    <w:p w14:paraId="2D8DC909"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 xml:space="preserve">Device associated with high level of overall risk </w:t>
      </w:r>
    </w:p>
    <w:p w14:paraId="336632DD" w14:textId="77777777" w:rsidR="0098089F" w:rsidRPr="003015CD" w:rsidRDefault="0098089F" w:rsidP="00081885">
      <w:pPr>
        <w:autoSpaceDE w:val="0"/>
        <w:autoSpaceDN w:val="0"/>
        <w:adjustRightInd w:val="0"/>
        <w:spacing w:after="0"/>
        <w:ind w:left="360"/>
        <w:jc w:val="both"/>
        <w:rPr>
          <w:rFonts w:asciiTheme="majorHAnsi" w:hAnsiTheme="majorHAnsi"/>
          <w:color w:val="000000" w:themeColor="text1"/>
        </w:rPr>
      </w:pPr>
      <w:r w:rsidRPr="003015CD">
        <w:rPr>
          <w:rFonts w:asciiTheme="majorHAnsi" w:hAnsiTheme="majorHAnsi"/>
          <w:color w:val="000000" w:themeColor="text1"/>
        </w:rPr>
        <w:t xml:space="preserve">PMCF </w:t>
      </w:r>
      <w:r w:rsidRPr="003015CD">
        <w:rPr>
          <w:rFonts w:asciiTheme="majorHAnsi" w:hAnsiTheme="majorHAnsi" w:cstheme="majorBidi"/>
          <w:color w:val="000000" w:themeColor="text1"/>
        </w:rPr>
        <w:t>studies</w:t>
      </w:r>
      <w:r w:rsidRPr="003015CD">
        <w:rPr>
          <w:rFonts w:asciiTheme="majorHAnsi" w:hAnsiTheme="majorHAnsi"/>
          <w:color w:val="000000" w:themeColor="text1"/>
        </w:rPr>
        <w:t xml:space="preserve"> are recommended when the clinical evaluation of a device shows that there is high overall risk associated with certain indications, for example when used for certain life-threatening conditions, vulnerable patient populations, or surgically invasive procedures in high-risk anatomical locations.  </w:t>
      </w:r>
    </w:p>
    <w:p w14:paraId="72BA24E5"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Generalising clinical data to use in routine clinical practice</w:t>
      </w:r>
    </w:p>
    <w:p w14:paraId="6A265282" w14:textId="41918166" w:rsidR="0098089F" w:rsidRPr="003015CD" w:rsidRDefault="0098089F" w:rsidP="00081885">
      <w:pPr>
        <w:autoSpaceDE w:val="0"/>
        <w:autoSpaceDN w:val="0"/>
        <w:adjustRightInd w:val="0"/>
        <w:spacing w:after="0"/>
        <w:ind w:left="360"/>
        <w:jc w:val="both"/>
        <w:rPr>
          <w:rFonts w:asciiTheme="majorHAnsi" w:hAnsiTheme="majorHAnsi"/>
          <w:color w:val="000000" w:themeColor="text1"/>
        </w:rPr>
      </w:pPr>
      <w:r w:rsidRPr="003015CD">
        <w:rPr>
          <w:rFonts w:asciiTheme="majorHAnsi" w:hAnsiTheme="majorHAnsi"/>
          <w:color w:val="000000" w:themeColor="text1"/>
        </w:rPr>
        <w:t>When the clinical evaluation of a device provides sufficient clinical evidence for conformity assessment, but there are uncertainties regarding how representative the clinical data are to routine clinical practice</w:t>
      </w:r>
      <w:r w:rsidRPr="003015CD">
        <w:t xml:space="preserve">, </w:t>
      </w:r>
      <w:r w:rsidRPr="003015CD">
        <w:rPr>
          <w:rFonts w:asciiTheme="majorHAnsi" w:hAnsiTheme="majorHAnsi" w:cstheme="majorBidi"/>
          <w:color w:val="000000" w:themeColor="text1"/>
        </w:rPr>
        <w:t>PMCF studies</w:t>
      </w:r>
      <w:r w:rsidRPr="003015CD">
        <w:rPr>
          <w:rFonts w:asciiTheme="majorHAnsi" w:hAnsiTheme="majorHAnsi"/>
          <w:color w:val="000000" w:themeColor="text1"/>
        </w:rPr>
        <w:t xml:space="preserve"> are recommended. For example, PMCF studies may be used for confirming a device’s long-term safety and clinical performance in a population that is broader and more representative of routine clinical practice, compared with any </w:t>
      </w:r>
      <w:r w:rsidRPr="003015CD">
        <w:rPr>
          <w:rFonts w:asciiTheme="majorHAnsi" w:hAnsiTheme="majorHAnsi" w:cstheme="majorBidi"/>
          <w:color w:val="000000" w:themeColor="text1"/>
        </w:rPr>
        <w:t xml:space="preserve">clinical </w:t>
      </w:r>
      <w:r w:rsidRPr="003015CD">
        <w:rPr>
          <w:rFonts w:asciiTheme="majorHAnsi" w:hAnsiTheme="majorHAnsi"/>
          <w:color w:val="000000" w:themeColor="text1"/>
        </w:rPr>
        <w:t>investigations conducted in the pre-market phase. See</w:t>
      </w:r>
      <w:r w:rsidR="003D7DF2" w:rsidRPr="003015CD">
        <w:rPr>
          <w:rFonts w:asciiTheme="majorHAnsi" w:hAnsiTheme="majorHAnsi"/>
          <w:color w:val="000000" w:themeColor="text1"/>
        </w:rPr>
        <w:t xml:space="preserve"> Section</w:t>
      </w:r>
      <w:r w:rsidRPr="003015CD">
        <w:rPr>
          <w:rFonts w:asciiTheme="majorHAnsi" w:hAnsiTheme="majorHAnsi"/>
          <w:color w:val="000000" w:themeColor="text1"/>
        </w:rPr>
        <w:t xml:space="preserve"> 9.3.2 for examples of factors that may impact the representativeness of clinical data.</w:t>
      </w:r>
    </w:p>
    <w:p w14:paraId="5B384607"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Devices where clinical evaluation is based on clinical data from equivalent device(s)</w:t>
      </w:r>
    </w:p>
    <w:p w14:paraId="18E35D9A" w14:textId="77777777" w:rsidR="0098089F" w:rsidRPr="003015CD" w:rsidRDefault="0098089F" w:rsidP="00081885">
      <w:pPr>
        <w:autoSpaceDE w:val="0"/>
        <w:autoSpaceDN w:val="0"/>
        <w:adjustRightInd w:val="0"/>
        <w:spacing w:after="0"/>
        <w:ind w:left="360"/>
        <w:jc w:val="both"/>
        <w:rPr>
          <w:rFonts w:asciiTheme="majorHAnsi" w:hAnsiTheme="majorHAnsi"/>
          <w:color w:val="000000" w:themeColor="text1"/>
        </w:rPr>
      </w:pPr>
      <w:r w:rsidRPr="003015CD">
        <w:rPr>
          <w:rFonts w:asciiTheme="majorHAnsi" w:hAnsiTheme="majorHAnsi"/>
          <w:color w:val="000000" w:themeColor="text1"/>
        </w:rPr>
        <w:t>Where a clinical evaluation is based on clinical data relating to a device for which equivalence to the device in question can be demonstrated</w:t>
      </w:r>
      <w:r w:rsidRPr="003015CD">
        <w:rPr>
          <w:rStyle w:val="Appelnotedebasdep"/>
          <w:rFonts w:asciiTheme="majorHAnsi" w:hAnsiTheme="majorHAnsi"/>
          <w:color w:val="000000" w:themeColor="text1"/>
        </w:rPr>
        <w:footnoteReference w:id="77"/>
      </w:r>
      <w:r w:rsidRPr="003015CD">
        <w:rPr>
          <w:rFonts w:asciiTheme="majorHAnsi" w:hAnsiTheme="majorHAnsi"/>
          <w:color w:val="000000" w:themeColor="text1"/>
        </w:rPr>
        <w:t xml:space="preserve">, the PMCF should collect sufficient clinical data, through PMCF studies where appropriate, to confirm the safety and performance throughout the expected lifetime of the device, ensure the continued acceptability of identified risks, and of detect emerging risks. </w:t>
      </w:r>
    </w:p>
    <w:p w14:paraId="658A955D" w14:textId="77777777" w:rsidR="0098089F" w:rsidRPr="003015CD" w:rsidRDefault="0098089F" w:rsidP="00081885">
      <w:pPr>
        <w:autoSpaceDE w:val="0"/>
        <w:autoSpaceDN w:val="0"/>
        <w:adjustRightInd w:val="0"/>
        <w:spacing w:after="0"/>
        <w:ind w:left="360"/>
        <w:jc w:val="both"/>
        <w:rPr>
          <w:rFonts w:asciiTheme="majorHAnsi" w:hAnsiTheme="majorHAnsi"/>
          <w:color w:val="000000" w:themeColor="text1"/>
        </w:rPr>
      </w:pPr>
      <w:r w:rsidRPr="003015CD">
        <w:rPr>
          <w:rFonts w:asciiTheme="majorHAnsi" w:hAnsiTheme="majorHAnsi"/>
          <w:color w:val="000000" w:themeColor="text1"/>
        </w:rPr>
        <w:t>For class III and implantable devices that are exempted from the requirement to perform pre-market clinical investigations pursuant to MDR Articles 61(4) to 61(6)</w:t>
      </w:r>
      <w:r w:rsidRPr="003015CD">
        <w:rPr>
          <w:rStyle w:val="Appelnotedebasdep"/>
          <w:rFonts w:asciiTheme="majorHAnsi" w:hAnsiTheme="majorHAnsi"/>
          <w:color w:val="000000" w:themeColor="text1"/>
        </w:rPr>
        <w:footnoteReference w:id="78"/>
      </w:r>
      <w:r w:rsidRPr="003015CD">
        <w:rPr>
          <w:rFonts w:asciiTheme="majorHAnsi" w:hAnsiTheme="majorHAnsi"/>
          <w:color w:val="000000" w:themeColor="text1"/>
        </w:rPr>
        <w:t xml:space="preserve">, PMCF studies (including PMCF investigations where necessary) must be performed to </w:t>
      </w:r>
      <w:r w:rsidRPr="003015CD">
        <w:rPr>
          <w:rFonts w:asciiTheme="majorHAnsi" w:hAnsiTheme="majorHAnsi" w:cstheme="majorBidi"/>
          <w:color w:val="000000" w:themeColor="text1"/>
        </w:rPr>
        <w:t>demonstrate</w:t>
      </w:r>
      <w:r w:rsidRPr="003015CD">
        <w:rPr>
          <w:rFonts w:asciiTheme="majorHAnsi" w:hAnsiTheme="majorHAnsi"/>
          <w:color w:val="000000" w:themeColor="text1"/>
        </w:rPr>
        <w:t xml:space="preserve"> the safety and performance of the device under evaluation</w:t>
      </w:r>
      <w:r w:rsidRPr="003015CD">
        <w:rPr>
          <w:rStyle w:val="Appelnotedebasdep"/>
          <w:rFonts w:asciiTheme="majorHAnsi" w:hAnsiTheme="majorHAnsi"/>
          <w:color w:val="000000" w:themeColor="text1"/>
        </w:rPr>
        <w:footnoteReference w:id="79"/>
      </w:r>
      <w:r w:rsidRPr="003015CD">
        <w:rPr>
          <w:rFonts w:asciiTheme="majorHAnsi" w:hAnsiTheme="majorHAnsi"/>
          <w:color w:val="000000" w:themeColor="text1"/>
        </w:rPr>
        <w:t>.</w:t>
      </w:r>
    </w:p>
    <w:p w14:paraId="10910860"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 xml:space="preserve">Emergence of new information relating to safety or clinical performance of equivalent or similar devices </w:t>
      </w:r>
    </w:p>
    <w:p w14:paraId="26FAFA75" w14:textId="7B288CC0" w:rsidR="0098089F" w:rsidRPr="003015CD" w:rsidRDefault="0098089F" w:rsidP="00081885">
      <w:pPr>
        <w:spacing w:after="0" w:line="259" w:lineRule="auto"/>
        <w:ind w:left="360"/>
        <w:jc w:val="both"/>
        <w:rPr>
          <w:rFonts w:asciiTheme="majorHAnsi" w:hAnsiTheme="majorHAnsi" w:cstheme="majorBidi"/>
          <w:color w:val="000000" w:themeColor="text1"/>
        </w:rPr>
      </w:pPr>
      <w:r w:rsidRPr="003015CD">
        <w:rPr>
          <w:rFonts w:asciiTheme="majorHAnsi" w:hAnsiTheme="majorHAnsi"/>
          <w:color w:val="000000" w:themeColor="text1"/>
        </w:rPr>
        <w:t xml:space="preserve">Where new </w:t>
      </w:r>
      <w:r w:rsidRPr="003015CD">
        <w:t>information</w:t>
      </w:r>
      <w:r w:rsidRPr="003015CD">
        <w:rPr>
          <w:rFonts w:asciiTheme="majorHAnsi" w:hAnsiTheme="majorHAnsi" w:cstheme="majorBidi"/>
          <w:color w:val="000000" w:themeColor="text1"/>
        </w:rPr>
        <w:t xml:space="preserve"> </w:t>
      </w:r>
      <w:r w:rsidRPr="003015CD">
        <w:rPr>
          <w:rFonts w:asciiTheme="majorHAnsi" w:hAnsiTheme="majorHAnsi"/>
          <w:color w:val="000000" w:themeColor="text1"/>
        </w:rPr>
        <w:t xml:space="preserve">from equivalent or similar devices is identified during PMS </w:t>
      </w:r>
      <w:r w:rsidR="00404EA7" w:rsidRPr="003015CD">
        <w:rPr>
          <w:rFonts w:asciiTheme="majorHAnsi" w:hAnsiTheme="majorHAnsi"/>
          <w:color w:val="000000" w:themeColor="text1"/>
        </w:rPr>
        <w:t xml:space="preserve">and </w:t>
      </w:r>
      <w:r w:rsidRPr="003015CD">
        <w:rPr>
          <w:rFonts w:asciiTheme="majorHAnsi" w:hAnsiTheme="majorHAnsi"/>
          <w:color w:val="000000" w:themeColor="text1"/>
        </w:rPr>
        <w:t>PMCF</w:t>
      </w:r>
      <w:r w:rsidRPr="003015CD">
        <w:rPr>
          <w:rStyle w:val="Appelnotedebasdep"/>
          <w:rFonts w:asciiTheme="majorHAnsi" w:hAnsiTheme="majorHAnsi"/>
          <w:color w:val="000000" w:themeColor="text1"/>
        </w:rPr>
        <w:footnoteReference w:id="80"/>
      </w:r>
      <w:r w:rsidRPr="003015CD">
        <w:rPr>
          <w:rFonts w:asciiTheme="majorHAnsi" w:hAnsiTheme="majorHAnsi"/>
          <w:color w:val="000000" w:themeColor="text1"/>
        </w:rPr>
        <w:t xml:space="preserve"> </w:t>
      </w:r>
      <w:r w:rsidRPr="003015CD">
        <w:rPr>
          <w:rFonts w:asciiTheme="majorHAnsi" w:hAnsiTheme="majorHAnsi" w:cstheme="majorBidi"/>
          <w:color w:val="000000" w:themeColor="text1"/>
        </w:rPr>
        <w:t xml:space="preserve">that </w:t>
      </w:r>
      <w:r w:rsidR="007A1CC8" w:rsidRPr="003015CD">
        <w:rPr>
          <w:rFonts w:asciiTheme="majorHAnsi" w:hAnsiTheme="majorHAnsi" w:cstheme="majorBidi"/>
          <w:color w:val="000000" w:themeColor="text1"/>
        </w:rPr>
        <w:t>details</w:t>
      </w:r>
      <w:r w:rsidRPr="003015CD">
        <w:rPr>
          <w:rFonts w:asciiTheme="majorHAnsi" w:hAnsiTheme="majorHAnsi" w:cstheme="majorBidi"/>
          <w:color w:val="000000" w:themeColor="text1"/>
        </w:rPr>
        <w:t xml:space="preserve"> aspects </w:t>
      </w:r>
      <w:r w:rsidR="007A1CC8" w:rsidRPr="003015CD">
        <w:rPr>
          <w:rFonts w:asciiTheme="majorHAnsi" w:hAnsiTheme="majorHAnsi"/>
          <w:color w:val="000000" w:themeColor="text1"/>
        </w:rPr>
        <w:t>potentially requiring</w:t>
      </w:r>
      <w:r w:rsidRPr="003015CD">
        <w:rPr>
          <w:rFonts w:asciiTheme="majorHAnsi" w:hAnsiTheme="majorHAnsi"/>
          <w:color w:val="000000" w:themeColor="text1"/>
        </w:rPr>
        <w:t xml:space="preserve"> further evaluation of </w:t>
      </w:r>
      <w:r w:rsidRPr="003015CD">
        <w:rPr>
          <w:rFonts w:asciiTheme="majorHAnsi" w:hAnsiTheme="majorHAnsi" w:cstheme="majorBidi"/>
          <w:color w:val="000000" w:themeColor="text1"/>
        </w:rPr>
        <w:t>clinical performance or safety</w:t>
      </w:r>
      <w:r w:rsidRPr="003015CD">
        <w:rPr>
          <w:rFonts w:asciiTheme="majorHAnsi" w:hAnsiTheme="majorHAnsi"/>
          <w:color w:val="000000" w:themeColor="text1"/>
        </w:rPr>
        <w:t xml:space="preserve"> of the device under evaluation </w:t>
      </w:r>
      <w:r w:rsidRPr="003015CD">
        <w:rPr>
          <w:rFonts w:asciiTheme="majorHAnsi" w:hAnsiTheme="majorHAnsi" w:cstheme="majorBidi"/>
          <w:color w:val="000000" w:themeColor="text1"/>
        </w:rPr>
        <w:t xml:space="preserve">(e.g., new </w:t>
      </w:r>
      <w:r w:rsidRPr="003015CD">
        <w:rPr>
          <w:rFonts w:asciiTheme="majorHAnsi" w:hAnsiTheme="majorHAnsi"/>
          <w:color w:val="000000" w:themeColor="text1"/>
        </w:rPr>
        <w:t>risks identified from scientific literature or other data sources</w:t>
      </w:r>
      <w:r w:rsidRPr="003015CD">
        <w:rPr>
          <w:rFonts w:asciiTheme="majorHAnsi" w:hAnsiTheme="majorHAnsi" w:cstheme="majorBidi"/>
          <w:color w:val="000000" w:themeColor="text1"/>
        </w:rPr>
        <w:t xml:space="preserve">), PMCF studies should be considered for the collection of clinical data relevant to these </w:t>
      </w:r>
      <w:r w:rsidRPr="003015CD">
        <w:rPr>
          <w:rFonts w:asciiTheme="majorHAnsi" w:hAnsiTheme="majorHAnsi"/>
          <w:color w:val="000000" w:themeColor="text1"/>
        </w:rPr>
        <w:t>aspects</w:t>
      </w:r>
      <w:r w:rsidRPr="003015CD">
        <w:rPr>
          <w:rFonts w:asciiTheme="majorHAnsi" w:hAnsiTheme="majorHAnsi" w:cstheme="majorBidi"/>
          <w:color w:val="000000" w:themeColor="text1"/>
        </w:rPr>
        <w:t>, as part of the clinical evaluation of the device.</w:t>
      </w:r>
    </w:p>
    <w:p w14:paraId="05671B19" w14:textId="77777777" w:rsidR="0098089F" w:rsidRPr="003015CD" w:rsidRDefault="0098089F" w:rsidP="00081885">
      <w:pPr>
        <w:pStyle w:val="Sansinterligne"/>
        <w:numPr>
          <w:ilvl w:val="0"/>
          <w:numId w:val="140"/>
        </w:numPr>
        <w:jc w:val="both"/>
        <w:rPr>
          <w:rFonts w:asciiTheme="majorHAnsi" w:hAnsiTheme="majorHAnsi"/>
          <w:color w:val="000000" w:themeColor="text1"/>
          <w:u w:val="single"/>
        </w:rPr>
      </w:pPr>
      <w:r w:rsidRPr="003015CD">
        <w:rPr>
          <w:rFonts w:asciiTheme="majorHAnsi" w:hAnsiTheme="majorHAnsi"/>
          <w:color w:val="000000" w:themeColor="text1"/>
          <w:u w:val="single"/>
        </w:rPr>
        <w:t xml:space="preserve">Rare anticipated </w:t>
      </w:r>
      <w:r w:rsidRPr="003015CD">
        <w:rPr>
          <w:rFonts w:asciiTheme="majorHAnsi" w:hAnsiTheme="majorHAnsi" w:cstheme="majorHAnsi"/>
          <w:color w:val="000000" w:themeColor="text1"/>
          <w:u w:val="single"/>
        </w:rPr>
        <w:t>risks and undesirable side-effects</w:t>
      </w:r>
      <w:r w:rsidRPr="003015CD">
        <w:rPr>
          <w:rFonts w:asciiTheme="majorHAnsi" w:hAnsiTheme="majorHAnsi"/>
          <w:color w:val="000000" w:themeColor="text1"/>
          <w:u w:val="single"/>
        </w:rPr>
        <w:t xml:space="preserve"> </w:t>
      </w:r>
    </w:p>
    <w:p w14:paraId="5F873139" w14:textId="017F4B75" w:rsidR="0098089F" w:rsidRPr="003015CD" w:rsidRDefault="0098089F" w:rsidP="00081885">
      <w:pPr>
        <w:spacing w:before="240" w:after="0"/>
        <w:ind w:left="360"/>
        <w:jc w:val="both"/>
        <w:rPr>
          <w:rFonts w:asciiTheme="majorHAnsi" w:hAnsiTheme="majorHAnsi"/>
          <w:color w:val="000000" w:themeColor="text1"/>
        </w:rPr>
      </w:pPr>
      <w:r w:rsidRPr="003015CD">
        <w:rPr>
          <w:rFonts w:asciiTheme="majorHAnsi" w:hAnsiTheme="majorHAnsi"/>
          <w:color w:val="000000" w:themeColor="text1"/>
        </w:rPr>
        <w:t xml:space="preserve">Rare anticipated </w:t>
      </w:r>
      <w:r w:rsidRPr="003015CD">
        <w:rPr>
          <w:rFonts w:asciiTheme="majorHAnsi" w:hAnsiTheme="majorHAnsi" w:cstheme="majorBidi"/>
          <w:color w:val="000000" w:themeColor="text1"/>
        </w:rPr>
        <w:t>risks</w:t>
      </w:r>
      <w:r w:rsidRPr="003015CD">
        <w:rPr>
          <w:rFonts w:asciiTheme="majorHAnsi" w:hAnsiTheme="majorHAnsi"/>
          <w:color w:val="000000" w:themeColor="text1"/>
        </w:rPr>
        <w:t xml:space="preserve"> (e.g. stent thrombosis of the coronary stent)</w:t>
      </w:r>
      <w:r w:rsidRPr="003015CD">
        <w:rPr>
          <w:rFonts w:asciiTheme="majorHAnsi" w:hAnsiTheme="majorHAnsi" w:cstheme="majorBidi"/>
          <w:color w:val="000000" w:themeColor="text1"/>
        </w:rPr>
        <w:t xml:space="preserve"> and rare undesirable side-effects</w:t>
      </w:r>
      <w:r w:rsidRPr="003015CD">
        <w:rPr>
          <w:rFonts w:asciiTheme="majorHAnsi" w:hAnsiTheme="majorHAnsi"/>
          <w:color w:val="000000" w:themeColor="text1"/>
        </w:rPr>
        <w:t xml:space="preserve"> may be difficult to assess in the pre-market setting but could potentially be identified using large datasets; therefore, it may be necessary to assess the rare adverse events </w:t>
      </w:r>
      <w:r w:rsidR="005225E9" w:rsidRPr="003015CD">
        <w:rPr>
          <w:rFonts w:asciiTheme="majorHAnsi" w:hAnsiTheme="majorHAnsi"/>
          <w:color w:val="000000" w:themeColor="text1"/>
        </w:rPr>
        <w:t>in</w:t>
      </w:r>
      <w:r w:rsidRPr="003015CD">
        <w:rPr>
          <w:rFonts w:asciiTheme="majorHAnsi" w:hAnsiTheme="majorHAnsi"/>
          <w:color w:val="000000" w:themeColor="text1"/>
        </w:rPr>
        <w:t xml:space="preserve"> PMCF </w:t>
      </w:r>
      <w:r w:rsidRPr="003015CD">
        <w:rPr>
          <w:rFonts w:asciiTheme="majorHAnsi" w:hAnsiTheme="majorHAnsi" w:cstheme="majorBidi"/>
          <w:color w:val="000000" w:themeColor="text1"/>
        </w:rPr>
        <w:t>stud</w:t>
      </w:r>
      <w:r w:rsidR="005225E9" w:rsidRPr="003015CD">
        <w:rPr>
          <w:rFonts w:asciiTheme="majorHAnsi" w:hAnsiTheme="majorHAnsi" w:cstheme="majorBidi"/>
          <w:color w:val="000000" w:themeColor="text1"/>
        </w:rPr>
        <w:t>ies</w:t>
      </w:r>
      <w:r w:rsidRPr="003015CD">
        <w:rPr>
          <w:rFonts w:asciiTheme="majorHAnsi" w:hAnsiTheme="majorHAnsi"/>
          <w:color w:val="000000" w:themeColor="text1"/>
        </w:rPr>
        <w:t>.</w:t>
      </w:r>
    </w:p>
    <w:p w14:paraId="5EC53973" w14:textId="360552BE" w:rsidR="00E2556F" w:rsidRPr="003015CD" w:rsidRDefault="0098089F" w:rsidP="00F12D2F">
      <w:pPr>
        <w:pStyle w:val="Sansinterligne"/>
        <w:numPr>
          <w:ilvl w:val="0"/>
          <w:numId w:val="0"/>
        </w:numPr>
        <w:ind w:left="360"/>
        <w:jc w:val="both"/>
        <w:rPr>
          <w:rFonts w:asciiTheme="majorHAnsi" w:hAnsiTheme="majorHAnsi"/>
          <w:color w:val="000000" w:themeColor="text1"/>
        </w:rPr>
      </w:pPr>
      <w:r w:rsidRPr="003015CD">
        <w:rPr>
          <w:rFonts w:asciiTheme="majorHAnsi" w:hAnsiTheme="majorHAnsi"/>
          <w:color w:val="000000" w:themeColor="text1"/>
          <w:u w:val="single"/>
        </w:rPr>
        <w:t>Effectiveness of the mitigation for a known risk</w:t>
      </w:r>
    </w:p>
    <w:p w14:paraId="14186C36" w14:textId="0A4F8FB4" w:rsidR="009F3CE8" w:rsidRPr="003015CD" w:rsidRDefault="0098089F" w:rsidP="00E2556F">
      <w:pPr>
        <w:pStyle w:val="Sansinterligne"/>
        <w:numPr>
          <w:ilvl w:val="0"/>
          <w:numId w:val="0"/>
        </w:numPr>
        <w:ind w:left="360"/>
        <w:jc w:val="both"/>
        <w:rPr>
          <w:rFonts w:asciiTheme="majorHAnsi" w:hAnsiTheme="majorHAnsi"/>
          <w:color w:val="000000" w:themeColor="text1"/>
        </w:rPr>
      </w:pPr>
      <w:r w:rsidRPr="003015CD">
        <w:rPr>
          <w:rFonts w:asciiTheme="majorHAnsi" w:hAnsiTheme="majorHAnsi"/>
          <w:color w:val="000000" w:themeColor="text1"/>
        </w:rPr>
        <w:t xml:space="preserve">Where known risks associated with the use of the device have been mitigated, PMCF studies may be suitable for contributing to the confirmation of the adequacy of such mitigations. </w:t>
      </w:r>
    </w:p>
    <w:p w14:paraId="7F286CFC" w14:textId="77777777" w:rsidR="0098089F" w:rsidRPr="003015CD" w:rsidRDefault="0098089F" w:rsidP="0052434F">
      <w:pPr>
        <w:pStyle w:val="Titre2"/>
        <w:numPr>
          <w:ilvl w:val="1"/>
          <w:numId w:val="293"/>
        </w:numPr>
      </w:pPr>
      <w:bookmarkStart w:id="172" w:name="_Toc236912920"/>
      <w:r w:rsidRPr="003015CD">
        <w:t>PMCF investigations</w:t>
      </w:r>
      <w:bookmarkEnd w:id="172"/>
      <w:r w:rsidRPr="003015CD">
        <w:t xml:space="preserve"> </w:t>
      </w:r>
    </w:p>
    <w:p w14:paraId="4CE9EF31" w14:textId="77777777" w:rsidR="0098089F" w:rsidRPr="003015CD" w:rsidRDefault="0098089F" w:rsidP="00081885">
      <w:pPr>
        <w:jc w:val="both"/>
        <w:rPr>
          <w:rFonts w:asciiTheme="majorHAnsi" w:hAnsiTheme="majorHAnsi"/>
          <w:color w:val="000000" w:themeColor="text1"/>
        </w:rPr>
      </w:pPr>
      <w:r w:rsidRPr="003015CD">
        <w:rPr>
          <w:rFonts w:asciiTheme="majorHAnsi" w:hAnsiTheme="majorHAnsi" w:cstheme="majorBidi"/>
          <w:color w:val="000000" w:themeColor="text1"/>
        </w:rPr>
        <w:t>A PMCF investigation is a clinical investigation conducted to further assess, within the scope of its intended purpose, a device that already bears the CE marking in accordance with Article 20(1) of MDR</w:t>
      </w:r>
      <w:r w:rsidRPr="003015CD">
        <w:rPr>
          <w:rStyle w:val="Appelnotedebasdep"/>
          <w:rFonts w:asciiTheme="majorHAnsi" w:hAnsiTheme="majorHAnsi" w:cstheme="majorBidi"/>
          <w:color w:val="000000" w:themeColor="text1"/>
        </w:rPr>
        <w:footnoteReference w:id="81"/>
      </w:r>
      <w:r w:rsidRPr="003015CD">
        <w:rPr>
          <w:rFonts w:asciiTheme="majorHAnsi" w:hAnsiTheme="majorHAnsi" w:cstheme="majorBidi"/>
          <w:color w:val="000000" w:themeColor="text1"/>
        </w:rPr>
        <w:t xml:space="preserve">. </w:t>
      </w:r>
    </w:p>
    <w:p w14:paraId="4589F727" w14:textId="661F05A9" w:rsidR="0098089F" w:rsidRPr="003015CD" w:rsidRDefault="0098089F" w:rsidP="00081885">
      <w:pPr>
        <w:jc w:val="both"/>
        <w:rPr>
          <w:rFonts w:asciiTheme="majorHAnsi" w:hAnsiTheme="majorHAnsi" w:cstheme="majorBidi"/>
          <w:color w:val="000000" w:themeColor="text1"/>
        </w:rPr>
      </w:pPr>
      <w:r w:rsidRPr="003015CD">
        <w:rPr>
          <w:rFonts w:asciiTheme="majorHAnsi" w:hAnsiTheme="majorHAnsi"/>
          <w:color w:val="000000" w:themeColor="text1"/>
        </w:rPr>
        <w:t xml:space="preserve">The decision to conduct a PMCF investigation should take into consideration the clinical evaluation of the device, with particular consideration of any residual risks or </w:t>
      </w:r>
      <w:r w:rsidRPr="003015CD">
        <w:rPr>
          <w:rFonts w:asciiTheme="majorHAnsi" w:hAnsiTheme="majorHAnsi" w:cstheme="majorBidi"/>
          <w:color w:val="000000" w:themeColor="text1"/>
        </w:rPr>
        <w:t>uncertainties on long-term safety and clinical performance that may impact the benefit</w:t>
      </w:r>
      <w:r w:rsidR="0042763B" w:rsidRPr="003015CD">
        <w:rPr>
          <w:rFonts w:asciiTheme="majorHAnsi" w:hAnsiTheme="majorHAnsi" w:cstheme="majorBidi"/>
          <w:color w:val="000000" w:themeColor="text1"/>
        </w:rPr>
        <w:t>-</w:t>
      </w:r>
      <w:r w:rsidRPr="003015CD">
        <w:rPr>
          <w:rFonts w:asciiTheme="majorHAnsi" w:hAnsiTheme="majorHAnsi" w:cstheme="majorBidi"/>
          <w:color w:val="000000" w:themeColor="text1"/>
        </w:rPr>
        <w:t xml:space="preserve">risk ratio of the device. </w:t>
      </w:r>
    </w:p>
    <w:p w14:paraId="58DB7087" w14:textId="77777777" w:rsidR="0098089F" w:rsidRPr="003015CD" w:rsidRDefault="0098089F" w:rsidP="00081885">
      <w:pPr>
        <w:jc w:val="both"/>
        <w:rPr>
          <w:rFonts w:asciiTheme="majorHAnsi" w:hAnsiTheme="majorHAnsi"/>
          <w:color w:val="000000" w:themeColor="text1"/>
        </w:rPr>
      </w:pPr>
      <w:r w:rsidRPr="003015CD">
        <w:rPr>
          <w:rFonts w:asciiTheme="majorHAnsi" w:hAnsiTheme="majorHAnsi" w:cstheme="majorBidi"/>
          <w:color w:val="000000" w:themeColor="text1"/>
        </w:rPr>
        <w:t>Compared to pre-market clinical investigations</w:t>
      </w:r>
      <w:r w:rsidRPr="003015CD">
        <w:rPr>
          <w:rFonts w:asciiTheme="majorHAnsi" w:hAnsiTheme="majorHAnsi"/>
          <w:color w:val="000000" w:themeColor="text1"/>
        </w:rPr>
        <w:t xml:space="preserve">, PMCF investigations are </w:t>
      </w:r>
      <w:r w:rsidRPr="003015CD">
        <w:rPr>
          <w:rFonts w:asciiTheme="majorHAnsi" w:hAnsiTheme="majorHAnsi" w:cstheme="majorBidi"/>
          <w:color w:val="000000" w:themeColor="text1"/>
        </w:rPr>
        <w:t xml:space="preserve">typically larger in </w:t>
      </w:r>
      <w:r w:rsidRPr="003015CD">
        <w:rPr>
          <w:rFonts w:asciiTheme="majorHAnsi" w:hAnsiTheme="majorHAnsi"/>
          <w:color w:val="000000" w:themeColor="text1"/>
        </w:rPr>
        <w:t>scale</w:t>
      </w:r>
      <w:r w:rsidRPr="003015CD">
        <w:rPr>
          <w:rFonts w:asciiTheme="majorHAnsi" w:hAnsiTheme="majorHAnsi" w:cstheme="majorBidi"/>
          <w:color w:val="000000" w:themeColor="text1"/>
        </w:rPr>
        <w:t xml:space="preserve"> with longer follow-up periods</w:t>
      </w:r>
      <w:r w:rsidRPr="003015CD">
        <w:rPr>
          <w:rFonts w:asciiTheme="majorHAnsi" w:hAnsiTheme="majorHAnsi"/>
          <w:color w:val="000000" w:themeColor="text1"/>
        </w:rPr>
        <w:t xml:space="preserve"> and aim to further assess safety and performance, including clinical benefit, of the medical device in a broader population of subjects </w:t>
      </w:r>
      <w:r w:rsidRPr="003015CD">
        <w:rPr>
          <w:rFonts w:asciiTheme="majorHAnsi" w:hAnsiTheme="majorHAnsi" w:cstheme="majorBidi"/>
          <w:color w:val="000000" w:themeColor="text1"/>
        </w:rPr>
        <w:t>and users</w:t>
      </w:r>
      <w:r w:rsidRPr="003015CD">
        <w:rPr>
          <w:rFonts w:asciiTheme="majorHAnsi" w:hAnsiTheme="majorHAnsi"/>
          <w:color w:val="000000" w:themeColor="text1"/>
        </w:rPr>
        <w:t xml:space="preserve">. </w:t>
      </w:r>
    </w:p>
    <w:p w14:paraId="31F03D47" w14:textId="77777777" w:rsidR="009F3CE8" w:rsidRPr="003015CD" w:rsidRDefault="009F3CE8" w:rsidP="00081885">
      <w:pPr>
        <w:jc w:val="both"/>
        <w:rPr>
          <w:rFonts w:asciiTheme="majorHAnsi" w:hAnsiTheme="majorHAnsi"/>
          <w:color w:val="000000" w:themeColor="text1"/>
        </w:rPr>
      </w:pPr>
    </w:p>
    <w:p w14:paraId="7578D151" w14:textId="77777777" w:rsidR="0098089F" w:rsidRPr="003015CD" w:rsidRDefault="0098089F" w:rsidP="0052434F">
      <w:pPr>
        <w:pStyle w:val="Titre2"/>
        <w:numPr>
          <w:ilvl w:val="1"/>
          <w:numId w:val="293"/>
        </w:numPr>
      </w:pPr>
      <w:bookmarkStart w:id="173" w:name="_Toc445828594"/>
      <w:bookmarkStart w:id="174" w:name="_Toc445907689"/>
      <w:bookmarkStart w:id="175" w:name="_Toc445828596"/>
      <w:bookmarkStart w:id="176" w:name="_Toc445907691"/>
      <w:bookmarkStart w:id="177" w:name="_Toc445828598"/>
      <w:bookmarkStart w:id="178" w:name="_Toc445907693"/>
      <w:bookmarkStart w:id="179" w:name="_Toc445828600"/>
      <w:bookmarkStart w:id="180" w:name="_Toc445907695"/>
      <w:bookmarkStart w:id="181" w:name="_Toc236912921"/>
      <w:bookmarkEnd w:id="173"/>
      <w:bookmarkEnd w:id="174"/>
      <w:bookmarkEnd w:id="175"/>
      <w:bookmarkEnd w:id="176"/>
      <w:bookmarkEnd w:id="177"/>
      <w:bookmarkEnd w:id="178"/>
      <w:bookmarkEnd w:id="179"/>
      <w:bookmarkEnd w:id="180"/>
      <w:r w:rsidRPr="003015CD">
        <w:t>Clinical investigations under MDR Article 74(2)</w:t>
      </w:r>
      <w:bookmarkEnd w:id="181"/>
    </w:p>
    <w:p w14:paraId="37030E4E" w14:textId="77777777" w:rsidR="0098089F" w:rsidRPr="003015CD" w:rsidRDefault="0098089F" w:rsidP="00081885">
      <w:pPr>
        <w:jc w:val="both"/>
      </w:pPr>
      <w:r w:rsidRPr="003015CD">
        <w:t>Where a clinical investigation of a CE-marked medical device is conducted outside the intended purpose of the device, this is not considered a PMCF investigation; instead, MDR Article 74(2) (and thus MDR Articles 62 to 81) applies. Such studies may play a role in collecting clinical data for the clinical evaluation of a new indication or intended purpose.  Please refer to MDCG 2021-6 for further information.</w:t>
      </w:r>
    </w:p>
    <w:p w14:paraId="26D9BDB5" w14:textId="430391E0" w:rsidR="004171CC" w:rsidRPr="003015CD" w:rsidRDefault="004171CC" w:rsidP="0052434F">
      <w:pPr>
        <w:pStyle w:val="Titre1"/>
        <w:ind w:left="426"/>
        <w:jc w:val="both"/>
        <w:rPr>
          <w:rFonts w:asciiTheme="majorHAnsi" w:hAnsiTheme="majorHAnsi" w:cstheme="majorHAnsi"/>
          <w:color w:val="000000" w:themeColor="text1"/>
        </w:rPr>
      </w:pPr>
      <w:bookmarkStart w:id="182" w:name="_Toc236912922"/>
      <w:r w:rsidRPr="003015CD">
        <w:rPr>
          <w:rFonts w:asciiTheme="majorHAnsi" w:hAnsiTheme="majorHAnsi" w:cstheme="majorHAnsi"/>
          <w:color w:val="000000" w:themeColor="text1"/>
        </w:rPr>
        <w:t>Update the clinical evaluation and associated documentation throughout the lifecycle of the device</w:t>
      </w:r>
      <w:bookmarkEnd w:id="182"/>
      <w:r w:rsidRPr="003015CD">
        <w:rPr>
          <w:rFonts w:asciiTheme="majorHAnsi" w:hAnsiTheme="majorHAnsi" w:cstheme="majorHAnsi"/>
          <w:color w:val="000000" w:themeColor="text1"/>
        </w:rPr>
        <w:t xml:space="preserve"> </w:t>
      </w:r>
      <w:bookmarkEnd w:id="169"/>
      <w:bookmarkEnd w:id="170"/>
    </w:p>
    <w:p w14:paraId="0A4F92DD"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83" w:name="_Toc236912923"/>
      <w:r w:rsidRPr="003015CD">
        <w:rPr>
          <w:rFonts w:asciiTheme="majorHAnsi" w:hAnsiTheme="majorHAnsi" w:cstheme="majorHAnsi"/>
          <w:color w:val="000000" w:themeColor="text1"/>
        </w:rPr>
        <w:t>General considerations on updating the clinical evaluation</w:t>
      </w:r>
      <w:bookmarkEnd w:id="183"/>
    </w:p>
    <w:p w14:paraId="29C1CE0D" w14:textId="1509EF2D" w:rsidR="004171CC" w:rsidRPr="003015CD" w:rsidRDefault="004171CC" w:rsidP="00081885">
      <w:pPr>
        <w:spacing w:before="12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evaluation and its documentation shall be updated throughout the lifecycle of the device concerned with clinical data obtained from the implementation of the manufacturer's PMS plan and PMCF plan</w:t>
      </w:r>
      <w:r w:rsidRPr="003015CD">
        <w:rPr>
          <w:rFonts w:asciiTheme="majorHAnsi" w:hAnsiTheme="majorHAnsi" w:cstheme="majorHAnsi"/>
          <w:color w:val="000000" w:themeColor="text1"/>
          <w:vertAlign w:val="superscript"/>
        </w:rPr>
        <w:footnoteReference w:id="82"/>
      </w:r>
      <w:r w:rsidRPr="003015CD" w:rsidDel="005D3FEC">
        <w:rPr>
          <w:rFonts w:asciiTheme="majorHAnsi" w:hAnsiTheme="majorHAnsi" w:cstheme="majorHAnsi"/>
          <w:color w:val="000000" w:themeColor="text1"/>
        </w:rPr>
        <w:t>.</w:t>
      </w:r>
    </w:p>
    <w:p w14:paraId="0B0A912F" w14:textId="3CC08810" w:rsidR="004171CC" w:rsidRPr="003015CD" w:rsidRDefault="004171CC" w:rsidP="00081885">
      <w:pPr>
        <w:spacing w:before="120" w:after="0"/>
        <w:jc w:val="both"/>
        <w:rPr>
          <w:rFonts w:asciiTheme="majorHAnsi" w:hAnsiTheme="majorHAnsi" w:cstheme="majorBidi"/>
          <w:color w:val="000000" w:themeColor="text1"/>
        </w:rPr>
      </w:pPr>
      <w:r w:rsidRPr="003015CD">
        <w:rPr>
          <w:rFonts w:asciiTheme="majorHAnsi" w:hAnsiTheme="majorHAnsi" w:cstheme="majorBidi"/>
          <w:color w:val="000000" w:themeColor="text1"/>
        </w:rPr>
        <w:t>Manufacturers are required to implement and maintain a PMS system to actively and systematically gather, record and analyse relevant data on the quality, performance and safety of a device throughout its entire lifecycle, and to draw the necessary conclusions and to determine, implement and monitor any preventive and corrective actions</w:t>
      </w:r>
      <w:r w:rsidRPr="003015CD">
        <w:rPr>
          <w:rFonts w:asciiTheme="majorHAnsi" w:hAnsiTheme="majorHAnsi" w:cstheme="majorBidi"/>
          <w:color w:val="000000" w:themeColor="text1"/>
          <w:vertAlign w:val="superscript"/>
        </w:rPr>
        <w:footnoteReference w:id="83"/>
      </w:r>
      <w:r w:rsidRPr="003015CD">
        <w:rPr>
          <w:rFonts w:asciiTheme="majorHAnsi" w:hAnsiTheme="majorHAnsi" w:cstheme="majorBidi"/>
          <w:color w:val="000000" w:themeColor="text1"/>
        </w:rPr>
        <w:t>.</w:t>
      </w:r>
    </w:p>
    <w:p w14:paraId="2F705DFD" w14:textId="2CACAEF3" w:rsidR="004171CC" w:rsidRPr="003015CD" w:rsidRDefault="004171CC" w:rsidP="00081885">
      <w:pPr>
        <w:spacing w:before="12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PMS regularly generates new data that need to be evaluated</w:t>
      </w:r>
      <w:r w:rsidR="003E43B4" w:rsidRPr="003015CD">
        <w:rPr>
          <w:rFonts w:asciiTheme="majorHAnsi" w:hAnsiTheme="majorHAnsi" w:cstheme="majorHAnsi"/>
          <w:color w:val="000000" w:themeColor="text1"/>
        </w:rPr>
        <w:t>, as t</w:t>
      </w:r>
      <w:r w:rsidR="00E17C56" w:rsidRPr="003015CD">
        <w:rPr>
          <w:rFonts w:asciiTheme="majorHAnsi" w:hAnsiTheme="majorHAnsi" w:cstheme="majorHAnsi"/>
          <w:color w:val="000000" w:themeColor="text1"/>
        </w:rPr>
        <w:t>hese data have the</w:t>
      </w:r>
      <w:r w:rsidRPr="003015CD">
        <w:rPr>
          <w:rFonts w:asciiTheme="majorHAnsi" w:hAnsiTheme="majorHAnsi" w:cstheme="majorHAnsi"/>
          <w:color w:val="000000" w:themeColor="text1"/>
        </w:rPr>
        <w:t xml:space="preserve"> potential to change the evaluation of the </w:t>
      </w:r>
      <w:r w:rsidR="003A2798" w:rsidRPr="003015CD">
        <w:rPr>
          <w:rFonts w:asciiTheme="majorHAnsi" w:hAnsiTheme="majorHAnsi" w:cstheme="majorHAnsi"/>
          <w:color w:val="000000" w:themeColor="text1"/>
        </w:rPr>
        <w:t>benefit</w:t>
      </w:r>
      <w:r w:rsidR="00F148F9" w:rsidRPr="003015CD">
        <w:rPr>
          <w:rFonts w:asciiTheme="majorHAnsi" w:hAnsiTheme="majorHAnsi" w:cstheme="majorHAnsi"/>
          <w:color w:val="000000" w:themeColor="text1"/>
        </w:rPr>
        <w:t>-</w:t>
      </w:r>
      <w:r w:rsidR="003A2798" w:rsidRPr="003015CD">
        <w:rPr>
          <w:rFonts w:asciiTheme="majorHAnsi" w:hAnsiTheme="majorHAnsi" w:cstheme="majorHAnsi"/>
          <w:color w:val="000000" w:themeColor="text1"/>
        </w:rPr>
        <w:t>risk</w:t>
      </w:r>
      <w:r w:rsidRPr="003015CD">
        <w:rPr>
          <w:rFonts w:asciiTheme="majorHAnsi" w:hAnsiTheme="majorHAnsi" w:cstheme="majorHAnsi"/>
          <w:color w:val="000000" w:themeColor="text1"/>
        </w:rPr>
        <w:t xml:space="preserve"> profile and </w:t>
      </w:r>
      <w:r w:rsidR="00FC6E03" w:rsidRPr="003015CD">
        <w:rPr>
          <w:rFonts w:asciiTheme="majorHAnsi" w:hAnsiTheme="majorHAnsi" w:cstheme="majorHAnsi"/>
          <w:color w:val="000000" w:themeColor="text1"/>
        </w:rPr>
        <w:t xml:space="preserve">the </w:t>
      </w:r>
      <w:r w:rsidRPr="003015CD">
        <w:rPr>
          <w:rFonts w:asciiTheme="majorHAnsi" w:hAnsiTheme="majorHAnsi" w:cstheme="majorHAnsi"/>
          <w:color w:val="000000" w:themeColor="text1"/>
        </w:rPr>
        <w:t xml:space="preserve">conclusions regarding the clinical performance and clinical safety of the device.  </w:t>
      </w:r>
    </w:p>
    <w:p w14:paraId="04D2894E" w14:textId="77777777" w:rsidR="004171CC" w:rsidRPr="003015CD" w:rsidRDefault="004171CC" w:rsidP="00081885">
      <w:pPr>
        <w:spacing w:before="12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The results of the PMS plan</w:t>
      </w:r>
      <w:r w:rsidRPr="003015CD">
        <w:rPr>
          <w:rStyle w:val="Appelnotedebasdep"/>
          <w:rFonts w:asciiTheme="majorHAnsi" w:hAnsiTheme="majorHAnsi" w:cstheme="majorHAnsi"/>
          <w:color w:val="000000" w:themeColor="text1"/>
        </w:rPr>
        <w:footnoteReference w:id="84"/>
      </w:r>
      <w:r w:rsidRPr="003015CD">
        <w:rPr>
          <w:rFonts w:asciiTheme="majorHAnsi" w:hAnsiTheme="majorHAnsi" w:cstheme="majorHAnsi"/>
          <w:color w:val="000000" w:themeColor="text1"/>
        </w:rPr>
        <w:t xml:space="preserve">  shall be summarised in: </w:t>
      </w:r>
    </w:p>
    <w:p w14:paraId="1BEA3960" w14:textId="0D3DA34A" w:rsidR="004171CC" w:rsidRPr="003015CD" w:rsidRDefault="004171CC" w:rsidP="00081885">
      <w:pPr>
        <w:pStyle w:val="List23"/>
        <w:numPr>
          <w:ilvl w:val="0"/>
          <w:numId w:val="9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PMS report for class I devices</w:t>
      </w:r>
      <w:r w:rsidR="00E95FB9" w:rsidRPr="003015CD">
        <w:rPr>
          <w:rFonts w:asciiTheme="majorHAnsi" w:hAnsiTheme="majorHAnsi" w:cstheme="majorHAnsi"/>
          <w:color w:val="000000" w:themeColor="text1"/>
        </w:rPr>
        <w:t>.</w:t>
      </w:r>
    </w:p>
    <w:p w14:paraId="03A7C8A8" w14:textId="77777777" w:rsidR="004171CC" w:rsidRPr="003015CD" w:rsidRDefault="004171CC" w:rsidP="00081885">
      <w:pPr>
        <w:pStyle w:val="List23"/>
        <w:numPr>
          <w:ilvl w:val="0"/>
          <w:numId w:val="9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PSUR for class IIa, IIb and III devices. </w:t>
      </w:r>
    </w:p>
    <w:p w14:paraId="56C99206" w14:textId="7B55586D" w:rsidR="004171CC" w:rsidRPr="003015CD" w:rsidRDefault="004171CC" w:rsidP="00081885">
      <w:pPr>
        <w:pStyle w:val="Paragraphedeliste"/>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The PMCF plan shall be covered by the PMS plan</w:t>
      </w:r>
      <w:r w:rsidRPr="003015CD">
        <w:rPr>
          <w:rStyle w:val="Appelnotedebasdep"/>
          <w:rFonts w:asciiTheme="majorHAnsi" w:hAnsiTheme="majorHAnsi" w:cstheme="majorHAnsi"/>
          <w:color w:val="000000" w:themeColor="text1"/>
        </w:rPr>
        <w:footnoteReference w:id="85"/>
      </w:r>
      <w:r w:rsidRPr="003015CD">
        <w:rPr>
          <w:rFonts w:asciiTheme="majorHAnsi" w:hAnsiTheme="majorHAnsi" w:cstheme="majorHAnsi"/>
          <w:color w:val="000000" w:themeColor="text1"/>
        </w:rPr>
        <w:t xml:space="preserve"> (see Section</w:t>
      </w:r>
      <w:r w:rsidR="00E97077" w:rsidRPr="003015CD">
        <w:rPr>
          <w:rFonts w:asciiTheme="majorHAnsi" w:hAnsiTheme="majorHAnsi" w:cstheme="majorHAnsi"/>
          <w:color w:val="000000" w:themeColor="text1"/>
        </w:rPr>
        <w:t xml:space="preserve"> </w:t>
      </w:r>
      <w:r w:rsidR="0052434F" w:rsidRPr="003015CD">
        <w:rPr>
          <w:rFonts w:asciiTheme="majorHAnsi" w:hAnsiTheme="majorHAnsi" w:cstheme="majorHAnsi"/>
          <w:color w:val="000000" w:themeColor="text1"/>
        </w:rPr>
        <w:t>13)</w:t>
      </w:r>
      <w:r w:rsidR="00C81B24" w:rsidRPr="003015CD">
        <w:rPr>
          <w:rFonts w:asciiTheme="majorHAnsi" w:hAnsiTheme="majorHAnsi" w:cstheme="majorHAnsi"/>
          <w:color w:val="000000" w:themeColor="text1"/>
        </w:rPr>
        <w:t>.</w:t>
      </w:r>
      <w:r w:rsidR="0052434F" w:rsidRPr="003015CD">
        <w:rPr>
          <w:rFonts w:asciiTheme="majorHAnsi" w:hAnsiTheme="majorHAnsi" w:cstheme="majorHAnsi"/>
          <w:color w:val="000000" w:themeColor="text1"/>
        </w:rPr>
        <w:t xml:space="preserve"> The</w:t>
      </w:r>
      <w:r w:rsidRPr="003015CD">
        <w:rPr>
          <w:rFonts w:asciiTheme="majorHAnsi" w:hAnsiTheme="majorHAnsi" w:cstheme="majorHAnsi"/>
          <w:color w:val="000000" w:themeColor="text1"/>
        </w:rPr>
        <w:t xml:space="preserve"> manufacturer shall analyse the findings of the PMCF and document the results in a PMCF evaluation report that shall be part of the technical documentation</w:t>
      </w:r>
      <w:r w:rsidRPr="003015CD">
        <w:rPr>
          <w:rStyle w:val="Appelnotedebasdep"/>
          <w:rFonts w:asciiTheme="majorHAnsi" w:hAnsiTheme="majorHAnsi" w:cstheme="majorHAnsi"/>
          <w:color w:val="000000" w:themeColor="text1"/>
        </w:rPr>
        <w:footnoteReference w:id="86"/>
      </w:r>
      <w:r w:rsidRPr="003015CD">
        <w:rPr>
          <w:rFonts w:asciiTheme="majorHAnsi" w:hAnsiTheme="majorHAnsi" w:cstheme="majorHAnsi"/>
          <w:color w:val="000000" w:themeColor="text1"/>
        </w:rPr>
        <w:t xml:space="preserve">. 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_Ref164356469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8.1</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for clinical data identifiable through PMS and PMCF activities. </w:t>
      </w:r>
    </w:p>
    <w:p w14:paraId="0DF3C47A" w14:textId="77777777" w:rsidR="004171CC" w:rsidRPr="003015CD" w:rsidRDefault="004171CC" w:rsidP="00081885">
      <w:pPr>
        <w:pStyle w:val="Paragraphedeliste"/>
        <w:ind w:left="0"/>
        <w:jc w:val="both"/>
        <w:rPr>
          <w:rFonts w:asciiTheme="majorHAnsi" w:hAnsiTheme="majorHAnsi" w:cstheme="majorHAnsi"/>
          <w:color w:val="000000" w:themeColor="text1"/>
        </w:rPr>
      </w:pPr>
    </w:p>
    <w:p w14:paraId="5BC53D0F" w14:textId="0D079348" w:rsidR="004171CC" w:rsidRPr="003015CD" w:rsidRDefault="004171CC" w:rsidP="00081885">
      <w:pPr>
        <w:pStyle w:val="Paragraphedeliste"/>
        <w:ind w:left="0"/>
        <w:jc w:val="both"/>
        <w:rPr>
          <w:rFonts w:asciiTheme="majorHAnsi" w:hAnsiTheme="majorHAnsi" w:cstheme="majorHAnsi"/>
          <w:color w:val="000000" w:themeColor="text1"/>
        </w:rPr>
      </w:pPr>
      <w:r w:rsidRPr="003015CD">
        <w:rPr>
          <w:rFonts w:asciiTheme="majorHAnsi" w:hAnsiTheme="majorHAnsi" w:cstheme="majorHAnsi"/>
          <w:color w:val="000000" w:themeColor="text1"/>
        </w:rPr>
        <w:t>An update of the CER is required in cases where the PMS and/or PMCF results indicate that a change is needed.</w:t>
      </w:r>
    </w:p>
    <w:p w14:paraId="38C43FE4" w14:textId="7720D76A"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Aspects to be updated in the clinical evaluation are (not exhaustive list): </w:t>
      </w:r>
    </w:p>
    <w:p w14:paraId="5BD3E6B1" w14:textId="7128B98A"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new clinical data</w:t>
      </w:r>
      <w:r w:rsidRPr="003015CD">
        <w:rPr>
          <w:rFonts w:asciiTheme="majorHAnsi" w:hAnsiTheme="majorHAnsi" w:cstheme="majorHAnsi"/>
          <w:color w:val="000000" w:themeColor="text1"/>
          <w:vertAlign w:val="superscript"/>
        </w:rPr>
        <w:footnoteReference w:id="87"/>
      </w:r>
      <w:r w:rsidRPr="003015CD">
        <w:rPr>
          <w:rFonts w:asciiTheme="majorHAnsi" w:hAnsiTheme="majorHAnsi" w:cstheme="majorHAnsi"/>
          <w:color w:val="000000" w:themeColor="text1"/>
        </w:rPr>
        <w:t xml:space="preserve"> available for the device under evaluation</w:t>
      </w:r>
    </w:p>
    <w:p w14:paraId="6B45FE79" w14:textId="55DBCA30"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new clinical data available for equivalent devices (if equivalence is claimed)</w:t>
      </w:r>
    </w:p>
    <w:p w14:paraId="7740508E" w14:textId="77777777"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new knowledge about known and potential hazards, risks</w:t>
      </w:r>
      <w:r w:rsidRPr="003015CD">
        <w:rPr>
          <w:rFonts w:asciiTheme="majorHAnsi" w:hAnsiTheme="majorHAnsi" w:cstheme="majorHAnsi"/>
          <w:color w:val="000000" w:themeColor="text1"/>
          <w:vertAlign w:val="superscript"/>
        </w:rPr>
        <w:footnoteReference w:id="88"/>
      </w:r>
      <w:r w:rsidRPr="003015CD">
        <w:rPr>
          <w:rFonts w:asciiTheme="majorHAnsi" w:hAnsiTheme="majorHAnsi" w:cstheme="majorHAnsi"/>
          <w:color w:val="000000" w:themeColor="text1"/>
        </w:rPr>
        <w:t>, performance, benefits</w:t>
      </w:r>
      <w:r w:rsidRPr="003015CD">
        <w:rPr>
          <w:rFonts w:asciiTheme="majorHAnsi" w:hAnsiTheme="majorHAnsi" w:cstheme="majorHAnsi"/>
          <w:color w:val="000000" w:themeColor="text1"/>
          <w:vertAlign w:val="superscript"/>
        </w:rPr>
        <w:footnoteReference w:id="89"/>
      </w:r>
      <w:r w:rsidRPr="003015CD">
        <w:rPr>
          <w:rFonts w:asciiTheme="majorHAnsi" w:hAnsiTheme="majorHAnsi" w:cstheme="majorHAnsi"/>
          <w:color w:val="000000" w:themeColor="text1"/>
        </w:rPr>
        <w:t xml:space="preserve"> and claims</w:t>
      </w:r>
      <w:r w:rsidRPr="003015CD">
        <w:rPr>
          <w:rFonts w:asciiTheme="majorHAnsi" w:hAnsiTheme="majorHAnsi" w:cstheme="majorHAnsi"/>
          <w:color w:val="000000" w:themeColor="text1"/>
          <w:vertAlign w:val="superscript"/>
        </w:rPr>
        <w:footnoteReference w:id="90"/>
      </w:r>
      <w:r w:rsidRPr="003015CD">
        <w:rPr>
          <w:rFonts w:asciiTheme="majorHAnsi" w:hAnsiTheme="majorHAnsi" w:cstheme="majorHAnsi"/>
          <w:color w:val="000000" w:themeColor="text1"/>
        </w:rPr>
        <w:t>, including</w:t>
      </w:r>
    </w:p>
    <w:p w14:paraId="795F474D" w14:textId="7E08912D" w:rsidR="004171CC" w:rsidRPr="003015CD" w:rsidRDefault="004171CC" w:rsidP="00081885">
      <w:pPr>
        <w:pStyle w:val="List23"/>
        <w:numPr>
          <w:ilvl w:val="1"/>
          <w:numId w:val="9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data on clinical hazards seen in other products (e.g. hazard due to substances and technologies) </w:t>
      </w:r>
    </w:p>
    <w:p w14:paraId="573F4E95" w14:textId="51363F67" w:rsidR="004171CC" w:rsidRPr="003015CD" w:rsidRDefault="004171CC" w:rsidP="00081885">
      <w:pPr>
        <w:pStyle w:val="List23"/>
        <w:numPr>
          <w:ilvl w:val="1"/>
          <w:numId w:val="9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changes concerning the</w:t>
      </w:r>
      <w:r w:rsidR="006D182F" w:rsidRPr="003015CD">
        <w:rPr>
          <w:rFonts w:asciiTheme="majorHAnsi" w:hAnsiTheme="majorHAnsi" w:cstheme="majorHAnsi"/>
          <w:color w:val="000000" w:themeColor="text1"/>
        </w:rPr>
        <w:t xml:space="preserve"> SOTA</w:t>
      </w:r>
      <w:r w:rsidRPr="003015CD">
        <w:rPr>
          <w:rFonts w:asciiTheme="majorHAnsi" w:hAnsiTheme="majorHAnsi" w:cstheme="majorHAnsi"/>
          <w:color w:val="000000" w:themeColor="text1"/>
        </w:rPr>
        <w:t>, such as changes to applicable standards and guidance documents, new information relating to the medical condition managed with the device and its natural course, medical alternatives available to the target population</w:t>
      </w:r>
    </w:p>
    <w:p w14:paraId="32B67C7A" w14:textId="77777777"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other aspects identified during PMS.</w:t>
      </w:r>
    </w:p>
    <w:p w14:paraId="1DD21FB3" w14:textId="77777777" w:rsidR="004171CC" w:rsidRPr="003015CD" w:rsidRDefault="004171CC" w:rsidP="00081885">
      <w:pPr>
        <w:spacing w:before="12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When updating the clinical evaluation, the evaluators should verify: </w:t>
      </w:r>
    </w:p>
    <w:p w14:paraId="2116E587" w14:textId="521BE586"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if the benefit</w:t>
      </w:r>
      <w:r w:rsidR="00CE01B7"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risk profile, undesirable side-effects (whether previously known or newly emerged) and risk mitigation measures are still: </w:t>
      </w:r>
    </w:p>
    <w:p w14:paraId="06703B2C" w14:textId="5F30BEC4" w:rsidR="004171CC" w:rsidRPr="003015CD" w:rsidRDefault="004171CC" w:rsidP="00081885">
      <w:pPr>
        <w:pStyle w:val="List23"/>
        <w:numPr>
          <w:ilvl w:val="1"/>
          <w:numId w:val="9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compatible with a high level of protection of health and safety and acceptable taking into account the generally acknowledged</w:t>
      </w:r>
      <w:r w:rsidR="006D182F" w:rsidRPr="003015CD">
        <w:rPr>
          <w:rFonts w:asciiTheme="majorHAnsi" w:hAnsiTheme="majorHAnsi" w:cstheme="majorHAnsi"/>
          <w:color w:val="000000" w:themeColor="text1"/>
        </w:rPr>
        <w:t xml:space="preserve"> SOTA</w:t>
      </w:r>
    </w:p>
    <w:p w14:paraId="1A9AB345" w14:textId="20F03EED" w:rsidR="004171CC" w:rsidRPr="003015CD" w:rsidRDefault="004171CC" w:rsidP="00081885">
      <w:pPr>
        <w:pStyle w:val="List23"/>
        <w:numPr>
          <w:ilvl w:val="1"/>
          <w:numId w:val="9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correctly addressed in the information materials supplied by the manufacturer of the device</w:t>
      </w:r>
    </w:p>
    <w:p w14:paraId="3BDC1EF4" w14:textId="70113454" w:rsidR="004171CC" w:rsidRPr="003015CD" w:rsidRDefault="004171CC" w:rsidP="00081885">
      <w:pPr>
        <w:pStyle w:val="List23"/>
        <w:numPr>
          <w:ilvl w:val="1"/>
          <w:numId w:val="9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correctly addressed by the manufacturer's current PMS and PMCF plans</w:t>
      </w:r>
    </w:p>
    <w:p w14:paraId="069C5C06" w14:textId="3E0D1088"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if existing claims are still justified</w:t>
      </w:r>
    </w:p>
    <w:p w14:paraId="3782FC71" w14:textId="77777777" w:rsidR="004171CC" w:rsidRPr="003015CD" w:rsidRDefault="004171CC" w:rsidP="00081885">
      <w:pPr>
        <w:pStyle w:val="Sansinterligne"/>
        <w:jc w:val="both"/>
        <w:rPr>
          <w:rFonts w:asciiTheme="majorHAnsi" w:hAnsiTheme="majorHAnsi" w:cstheme="majorHAnsi"/>
          <w:color w:val="000000" w:themeColor="text1"/>
        </w:rPr>
      </w:pPr>
      <w:r w:rsidRPr="003015CD">
        <w:rPr>
          <w:rFonts w:asciiTheme="majorHAnsi" w:hAnsiTheme="majorHAnsi" w:cstheme="majorHAnsi"/>
          <w:color w:val="000000" w:themeColor="text1"/>
        </w:rPr>
        <w:t>if any new claims or conclusions the manufacturer intends to make are justified.</w:t>
      </w:r>
    </w:p>
    <w:p w14:paraId="371B3F9C" w14:textId="79F280E7" w:rsidR="004171CC" w:rsidRPr="003015CD" w:rsidRDefault="004171CC" w:rsidP="00081885">
      <w:pPr>
        <w:spacing w:before="120" w:after="0"/>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rPr>
        <w:t>When updating the clinical evaluation, if the manufacturer concludes there is not sufficient clinical evidence to be able to confirm conformity with the GSPR</w:t>
      </w:r>
      <w:r w:rsidR="00AE7F45"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 the manufacturer will need to</w:t>
      </w:r>
      <w:r w:rsidRPr="003015CD">
        <w:rPr>
          <w:rFonts w:asciiTheme="majorHAnsi" w:hAnsiTheme="majorHAnsi" w:cstheme="majorHAnsi"/>
          <w:color w:val="000000" w:themeColor="text1"/>
          <w:szCs w:val="22"/>
        </w:rPr>
        <w:t xml:space="preserve"> take necessary corrective and preventive actions</w:t>
      </w:r>
      <w:r w:rsidRPr="003015CD">
        <w:rPr>
          <w:rStyle w:val="Appelnotedebasdep"/>
          <w:rFonts w:asciiTheme="majorHAnsi" w:hAnsiTheme="majorHAnsi" w:cstheme="majorHAnsi"/>
          <w:color w:val="000000" w:themeColor="text1"/>
          <w:szCs w:val="22"/>
        </w:rPr>
        <w:footnoteReference w:id="91"/>
      </w:r>
      <w:r w:rsidRPr="003015CD">
        <w:rPr>
          <w:rFonts w:asciiTheme="majorHAnsi" w:hAnsiTheme="majorHAnsi" w:cstheme="majorHAnsi"/>
          <w:color w:val="000000" w:themeColor="text1"/>
        </w:rPr>
        <w:t xml:space="preserve">, which may include no longer </w:t>
      </w:r>
      <w:r w:rsidRPr="003015CD">
        <w:rPr>
          <w:rFonts w:asciiTheme="majorHAnsi" w:hAnsiTheme="majorHAnsi" w:cstheme="majorHAnsi"/>
          <w:color w:val="000000" w:themeColor="text1"/>
          <w:szCs w:val="22"/>
        </w:rPr>
        <w:t>placing the device on the market until conformity is restored.</w:t>
      </w:r>
    </w:p>
    <w:p w14:paraId="2B64253B" w14:textId="32AAAE6A" w:rsidR="004171CC" w:rsidRPr="003015CD" w:rsidRDefault="004171CC" w:rsidP="00081885">
      <w:pPr>
        <w:spacing w:before="12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While clinical evaluation requires data from PMS and</w:t>
      </w:r>
      <w:r w:rsidR="008950A2"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PMCF</w:t>
      </w:r>
      <w:r w:rsidRPr="003015CD" w:rsidDel="00E51A52">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activities, it also generates new information that may lead change in: </w:t>
      </w:r>
    </w:p>
    <w:p w14:paraId="3BF50EF1" w14:textId="1AB37B7A" w:rsidR="004171CC" w:rsidRPr="003015CD" w:rsidRDefault="004171CC" w:rsidP="00081885">
      <w:pPr>
        <w:pStyle w:val="List23"/>
        <w:numPr>
          <w:ilvl w:val="0"/>
          <w:numId w:val="98"/>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PMS and PMCF plan</w:t>
      </w:r>
    </w:p>
    <w:p w14:paraId="434B0A78" w14:textId="08E37718" w:rsidR="004171CC" w:rsidRPr="003015CD" w:rsidRDefault="004171CC" w:rsidP="00081885">
      <w:pPr>
        <w:pStyle w:val="List23"/>
        <w:numPr>
          <w:ilvl w:val="0"/>
          <w:numId w:val="98"/>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risk management process resulting in changes to the manufacturer’s risk management documents</w:t>
      </w:r>
    </w:p>
    <w:p w14:paraId="30DD6C0C" w14:textId="77777777" w:rsidR="004171CC" w:rsidRPr="003015CD" w:rsidRDefault="004171CC" w:rsidP="00081885">
      <w:pPr>
        <w:pStyle w:val="List23"/>
        <w:numPr>
          <w:ilvl w:val="0"/>
          <w:numId w:val="98"/>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information material to be supplied with the device.</w:t>
      </w:r>
    </w:p>
    <w:p w14:paraId="3986C2A8" w14:textId="1D0F988F" w:rsidR="004171CC" w:rsidRPr="003015CD" w:rsidRDefault="004171CC" w:rsidP="00081885">
      <w:pPr>
        <w:contextualSpacing/>
        <w:jc w:val="both"/>
        <w:rPr>
          <w:rFonts w:asciiTheme="majorHAnsi" w:hAnsiTheme="majorHAnsi" w:cstheme="majorHAnsi"/>
          <w:color w:val="000000" w:themeColor="text1"/>
        </w:rPr>
      </w:pPr>
      <w:r w:rsidRPr="003015CD">
        <w:rPr>
          <w:rFonts w:asciiTheme="majorHAnsi" w:hAnsiTheme="majorHAnsi" w:cstheme="majorHAnsi"/>
          <w:color w:val="000000" w:themeColor="text1"/>
        </w:rPr>
        <w:t>Moreover, MDR foresees that the SSCP</w:t>
      </w:r>
      <w:r w:rsidRPr="003015CD">
        <w:rPr>
          <w:rStyle w:val="Appelnotedebasdep"/>
          <w:rFonts w:asciiTheme="majorHAnsi" w:hAnsiTheme="majorHAnsi" w:cstheme="majorHAnsi"/>
          <w:color w:val="000000" w:themeColor="text1"/>
        </w:rPr>
        <w:footnoteReference w:id="92"/>
      </w:r>
      <w:r w:rsidRPr="003015CD">
        <w:rPr>
          <w:rFonts w:asciiTheme="majorHAnsi" w:hAnsiTheme="majorHAnsi" w:cstheme="majorHAnsi"/>
          <w:color w:val="000000" w:themeColor="text1"/>
        </w:rPr>
        <w:t>, which is required for class III and implantable devices, shall include the summary of clinical evaluation and relevant information on PMCF</w:t>
      </w:r>
      <w:r w:rsidRPr="003015CD">
        <w:rPr>
          <w:rStyle w:val="Appelnotedebasdep"/>
          <w:rFonts w:asciiTheme="majorHAnsi" w:hAnsiTheme="majorHAnsi" w:cstheme="majorHAnsi"/>
          <w:color w:val="000000" w:themeColor="text1"/>
        </w:rPr>
        <w:footnoteReference w:id="93"/>
      </w:r>
      <w:r w:rsidRPr="003015CD">
        <w:rPr>
          <w:rFonts w:asciiTheme="majorHAnsi" w:hAnsiTheme="majorHAnsi" w:cstheme="majorHAnsi"/>
          <w:color w:val="000000" w:themeColor="text1"/>
        </w:rPr>
        <w:t xml:space="preserve">. Therefore, the SSCP, if indicated, should be updated and aligned with the clinical evaluation, if needed. </w:t>
      </w:r>
    </w:p>
    <w:p w14:paraId="01E666A6" w14:textId="77777777" w:rsidR="004171CC" w:rsidRPr="003015CD" w:rsidRDefault="004171CC" w:rsidP="00081885">
      <w:pPr>
        <w:contextualSpacing/>
        <w:jc w:val="both"/>
        <w:rPr>
          <w:rFonts w:asciiTheme="majorHAnsi" w:hAnsiTheme="majorHAnsi" w:cstheme="majorHAnsi"/>
          <w:color w:val="000000" w:themeColor="text1"/>
        </w:rPr>
      </w:pPr>
    </w:p>
    <w:p w14:paraId="7EFCA9F2"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84" w:name="_Toc236912924"/>
      <w:r w:rsidRPr="003015CD">
        <w:rPr>
          <w:rFonts w:asciiTheme="majorHAnsi" w:hAnsiTheme="majorHAnsi" w:cstheme="majorHAnsi"/>
          <w:color w:val="000000" w:themeColor="text1"/>
        </w:rPr>
        <w:t>Frequency of updates</w:t>
      </w:r>
      <w:bookmarkEnd w:id="184"/>
    </w:p>
    <w:p w14:paraId="3E10993C" w14:textId="12C5116F" w:rsidR="004171CC" w:rsidRPr="003015CD" w:rsidRDefault="004171CC" w:rsidP="00081885">
      <w:pPr>
        <w:spacing w:before="120" w:after="0"/>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manufacturer should define and justify the frequency at which the clinical evaluation and related documentation need to be actively updated.  </w:t>
      </w:r>
    </w:p>
    <w:p w14:paraId="1DD367FE" w14:textId="2D3A79BC" w:rsidR="004171CC" w:rsidRPr="003015CD" w:rsidRDefault="004171CC" w:rsidP="00081885">
      <w:pPr>
        <w:spacing w:before="120" w:after="0"/>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t>Specific MDR requirements for frequency apply for:</w:t>
      </w:r>
    </w:p>
    <w:p w14:paraId="524942E7" w14:textId="77777777" w:rsidR="004171CC" w:rsidRPr="003015CD" w:rsidRDefault="004171CC" w:rsidP="00081885">
      <w:pPr>
        <w:numPr>
          <w:ilvl w:val="0"/>
          <w:numId w:val="25"/>
        </w:numPr>
        <w:spacing w:before="120" w:after="0"/>
        <w:ind w:left="567"/>
        <w:jc w:val="both"/>
        <w:rPr>
          <w:rFonts w:asciiTheme="majorHAnsi" w:hAnsiTheme="majorHAnsi" w:cstheme="majorHAnsi"/>
          <w:color w:val="000000" w:themeColor="text1"/>
        </w:rPr>
      </w:pPr>
      <w:r w:rsidRPr="003015CD">
        <w:rPr>
          <w:rFonts w:asciiTheme="majorHAnsi" w:hAnsiTheme="majorHAnsi" w:cstheme="majorHAnsi"/>
          <w:color w:val="000000" w:themeColor="text1"/>
        </w:rPr>
        <w:t>the PMCF evaluation report, that shall be updated at least annually for class III and implantable devices</w:t>
      </w:r>
      <w:r w:rsidRPr="003015CD">
        <w:rPr>
          <w:rFonts w:asciiTheme="majorHAnsi" w:hAnsiTheme="majorHAnsi" w:cstheme="majorHAnsi"/>
          <w:color w:val="000000" w:themeColor="text1"/>
          <w:vertAlign w:val="superscript"/>
        </w:rPr>
        <w:footnoteReference w:id="94"/>
      </w:r>
      <w:r w:rsidRPr="003015CD">
        <w:rPr>
          <w:rFonts w:asciiTheme="majorHAnsi" w:hAnsiTheme="majorHAnsi" w:cstheme="majorHAnsi"/>
          <w:color w:val="000000" w:themeColor="text1"/>
        </w:rPr>
        <w:t>;</w:t>
      </w:r>
    </w:p>
    <w:p w14:paraId="5F988AA2" w14:textId="77777777" w:rsidR="004171CC" w:rsidRPr="003015CD" w:rsidRDefault="004171CC" w:rsidP="00081885">
      <w:pPr>
        <w:numPr>
          <w:ilvl w:val="0"/>
          <w:numId w:val="25"/>
        </w:numPr>
        <w:spacing w:before="120" w:after="0"/>
        <w:ind w:left="567"/>
        <w:jc w:val="both"/>
        <w:rPr>
          <w:rFonts w:asciiTheme="majorHAnsi" w:hAnsiTheme="majorHAnsi" w:cstheme="majorHAnsi"/>
          <w:color w:val="000000" w:themeColor="text1"/>
        </w:rPr>
      </w:pPr>
      <w:r w:rsidRPr="003015CD">
        <w:rPr>
          <w:rFonts w:asciiTheme="majorHAnsi" w:hAnsiTheme="majorHAnsi" w:cstheme="majorHAnsi"/>
          <w:color w:val="000000" w:themeColor="text1"/>
        </w:rPr>
        <w:t>the PSUR, that shall be updated at least annually for class IIb and class III devices and at least every two years for class IIa devices</w:t>
      </w:r>
      <w:r w:rsidRPr="003015CD">
        <w:rPr>
          <w:rFonts w:asciiTheme="majorHAnsi" w:hAnsiTheme="majorHAnsi" w:cstheme="majorHAnsi"/>
          <w:color w:val="000000" w:themeColor="text1"/>
          <w:vertAlign w:val="superscript"/>
        </w:rPr>
        <w:footnoteReference w:id="95"/>
      </w:r>
      <w:r w:rsidRPr="003015CD">
        <w:rPr>
          <w:rFonts w:asciiTheme="majorHAnsi" w:hAnsiTheme="majorHAnsi" w:cstheme="majorHAnsi"/>
          <w:color w:val="000000" w:themeColor="text1"/>
        </w:rPr>
        <w:t>.</w:t>
      </w:r>
    </w:p>
    <w:p w14:paraId="7A0B4636" w14:textId="4A670912" w:rsidR="004171CC" w:rsidRPr="003015CD" w:rsidRDefault="004171CC" w:rsidP="00081885">
      <w:pPr>
        <w:spacing w:before="120" w:after="0"/>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t>The need for an update of the clinical evaluation and its documentation and of the SSCP should be considered, for class III and implantable devices, as a consequence of the findings of the PMCF evaluation report and PSUR annual update</w:t>
      </w:r>
      <w:r w:rsidRPr="003015CD">
        <w:rPr>
          <w:rStyle w:val="Appelnotedebasdep"/>
          <w:rFonts w:asciiTheme="majorHAnsi" w:hAnsiTheme="majorHAnsi" w:cstheme="majorHAnsi"/>
          <w:color w:val="000000" w:themeColor="text1"/>
        </w:rPr>
        <w:footnoteReference w:id="96"/>
      </w:r>
      <w:r w:rsidRPr="003015CD">
        <w:rPr>
          <w:rFonts w:asciiTheme="majorHAnsi" w:hAnsiTheme="majorHAnsi" w:cstheme="majorHAnsi"/>
          <w:color w:val="000000" w:themeColor="text1"/>
        </w:rPr>
        <w:t>.</w:t>
      </w:r>
    </w:p>
    <w:p w14:paraId="1D916BE6" w14:textId="44828BA7" w:rsidR="004171CC" w:rsidRPr="003015CD" w:rsidRDefault="004171CC" w:rsidP="00081885">
      <w:pPr>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szCs w:val="22"/>
        </w:rPr>
        <w:t xml:space="preserve">For other risk classes, irrespective </w:t>
      </w:r>
      <w:r w:rsidRPr="003015CD">
        <w:t>of the frequency of update defined by the manufacturer,</w:t>
      </w:r>
      <w:r w:rsidRPr="003015CD">
        <w:rPr>
          <w:rFonts w:asciiTheme="majorHAnsi" w:hAnsiTheme="majorHAnsi" w:cstheme="majorHAnsi"/>
          <w:color w:val="000000" w:themeColor="text1"/>
          <w:szCs w:val="22"/>
        </w:rPr>
        <w:t xml:space="preserve"> t</w:t>
      </w:r>
      <w:r w:rsidRPr="003015CD">
        <w:rPr>
          <w:rFonts w:asciiTheme="majorHAnsi" w:hAnsiTheme="majorHAnsi" w:cstheme="majorHAnsi"/>
          <w:color w:val="000000" w:themeColor="text1"/>
        </w:rPr>
        <w:t>he clinical evaluation needs to be actively updated when the manufacturer receives new information from PMS and PMCF that has the potential to change the current evaluation.</w:t>
      </w:r>
    </w:p>
    <w:p w14:paraId="6EE507C8" w14:textId="77777777" w:rsidR="004171CC" w:rsidRPr="003015CD" w:rsidRDefault="004171CC" w:rsidP="00081885">
      <w:pPr>
        <w:spacing w:before="120" w:after="0"/>
        <w:ind w:left="142"/>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When defining and justifying the clinical evaluation documentation frequency of updates, the manufacturer should typically consider:</w:t>
      </w:r>
    </w:p>
    <w:p w14:paraId="63686A75" w14:textId="77777777" w:rsidR="004171CC" w:rsidRPr="003015CD" w:rsidRDefault="004171CC" w:rsidP="00081885">
      <w:pPr>
        <w:pStyle w:val="Paragraphedeliste"/>
        <w:numPr>
          <w:ilvl w:val="0"/>
          <w:numId w:val="38"/>
        </w:numPr>
        <w:autoSpaceDE w:val="0"/>
        <w:autoSpaceDN w:val="0"/>
        <w:adjustRightInd w:val="0"/>
        <w:spacing w:before="80" w:after="80"/>
        <w:ind w:left="426"/>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rPr>
        <w:t>whether the device carries significant risks</w:t>
      </w:r>
    </w:p>
    <w:p w14:paraId="37C8EC70" w14:textId="77777777" w:rsidR="004171CC" w:rsidRPr="003015CD" w:rsidRDefault="004171CC" w:rsidP="00081885">
      <w:pPr>
        <w:autoSpaceDE w:val="0"/>
        <w:autoSpaceDN w:val="0"/>
        <w:adjustRightInd w:val="0"/>
        <w:spacing w:before="80" w:after="80"/>
        <w:ind w:left="426"/>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(e.g. based on design, materials, components, invasiveness, clinical procedures, high-risk anatomical locations, high-risk target and vulnerable populations (e.g. paediatrics, elderly), severity of disease/ treatment challenges).</w:t>
      </w:r>
    </w:p>
    <w:p w14:paraId="322347AD" w14:textId="5F344F79" w:rsidR="004171CC" w:rsidRPr="003015CD" w:rsidRDefault="004171CC" w:rsidP="00081885">
      <w:pPr>
        <w:pStyle w:val="Paragraphedeliste"/>
        <w:numPr>
          <w:ilvl w:val="0"/>
          <w:numId w:val="38"/>
        </w:numPr>
        <w:autoSpaceDE w:val="0"/>
        <w:autoSpaceDN w:val="0"/>
        <w:adjustRightInd w:val="0"/>
        <w:spacing w:before="80" w:after="80"/>
        <w:ind w:left="426"/>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rPr>
        <w:t>the likelihood</w:t>
      </w:r>
      <w:r w:rsidRPr="003015CD" w:rsidDel="003A59D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of the new information becoming available on the device, taking into consideration:</w:t>
      </w:r>
    </w:p>
    <w:p w14:paraId="0E817A2A" w14:textId="3D43B2E2" w:rsidR="004171CC" w:rsidRPr="003015CD" w:rsidRDefault="004171CC" w:rsidP="00081885">
      <w:pPr>
        <w:pStyle w:val="List23"/>
        <w:numPr>
          <w:ilvl w:val="0"/>
          <w:numId w:val="86"/>
        </w:numPr>
        <w:ind w:left="426"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novelty</w:t>
      </w:r>
    </w:p>
    <w:p w14:paraId="18384738" w14:textId="6932520E" w:rsidR="004171CC" w:rsidRPr="003015CD" w:rsidRDefault="004171CC" w:rsidP="00081885">
      <w:pPr>
        <w:pStyle w:val="List23"/>
        <w:numPr>
          <w:ilvl w:val="0"/>
          <w:numId w:val="86"/>
        </w:numPr>
        <w:ind w:left="426"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relevant changes in clinical sciences, materials sciences or other sciences related to the device under evaluation</w:t>
      </w:r>
    </w:p>
    <w:p w14:paraId="4210FE65" w14:textId="77777777" w:rsidR="004171CC" w:rsidRPr="003015CD" w:rsidRDefault="004171CC" w:rsidP="00081885">
      <w:pPr>
        <w:pStyle w:val="List23"/>
        <w:numPr>
          <w:ilvl w:val="0"/>
          <w:numId w:val="86"/>
        </w:numPr>
        <w:ind w:left="426"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the current level of confidence in the evaluation of clinical performance and clinical safety of the device; in particular, the manufacturer should consider</w:t>
      </w:r>
    </w:p>
    <w:p w14:paraId="20FC345F" w14:textId="4A82C7A4" w:rsidR="004171CC" w:rsidRPr="003015CD" w:rsidRDefault="004171CC" w:rsidP="00081885">
      <w:pPr>
        <w:pStyle w:val="Sansinterligne"/>
        <w:numPr>
          <w:ilvl w:val="0"/>
          <w:numId w:val="68"/>
        </w:numPr>
        <w:ind w:left="567"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available clinical data </w:t>
      </w:r>
    </w:p>
    <w:p w14:paraId="0671E586" w14:textId="0B1E0253" w:rsidR="004171CC" w:rsidRPr="003015CD" w:rsidRDefault="004171CC" w:rsidP="00081885">
      <w:pPr>
        <w:pStyle w:val="Sansinterligne"/>
        <w:numPr>
          <w:ilvl w:val="0"/>
          <w:numId w:val="68"/>
        </w:numPr>
        <w:ind w:left="567" w:hanging="142"/>
        <w:jc w:val="both"/>
        <w:rPr>
          <w:rFonts w:asciiTheme="majorHAnsi" w:hAnsiTheme="majorHAnsi" w:cstheme="majorHAnsi"/>
          <w:color w:val="000000" w:themeColor="text1"/>
        </w:rPr>
      </w:pPr>
      <w:r w:rsidRPr="003015CD">
        <w:rPr>
          <w:rFonts w:asciiTheme="majorHAnsi" w:hAnsiTheme="majorHAnsi" w:cstheme="majorHAnsi"/>
          <w:color w:val="000000" w:themeColor="text1"/>
        </w:rPr>
        <w:t>the total number of devices used so far in the market and expected reporting rates under the vigilance system</w:t>
      </w:r>
    </w:p>
    <w:p w14:paraId="5A7F0452" w14:textId="194BE13A" w:rsidR="004171CC" w:rsidRPr="003015CD" w:rsidRDefault="004171CC" w:rsidP="00081885">
      <w:pPr>
        <w:pStyle w:val="Paragraphedeliste"/>
        <w:numPr>
          <w:ilvl w:val="0"/>
          <w:numId w:val="38"/>
        </w:numPr>
        <w:autoSpaceDE w:val="0"/>
        <w:autoSpaceDN w:val="0"/>
        <w:adjustRightInd w:val="0"/>
        <w:spacing w:before="80" w:after="80"/>
        <w:ind w:left="426"/>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whether there are risks and uncertainties or unanswered questions, in the medium or long-term, that would influence the frequency of updates</w:t>
      </w:r>
    </w:p>
    <w:p w14:paraId="55D591EF" w14:textId="0F0C34F5" w:rsidR="004171CC" w:rsidRPr="003015CD" w:rsidRDefault="004171CC" w:rsidP="00081885">
      <w:pPr>
        <w:pStyle w:val="Paragraphedeliste"/>
        <w:numPr>
          <w:ilvl w:val="0"/>
          <w:numId w:val="38"/>
        </w:numPr>
        <w:autoSpaceDE w:val="0"/>
        <w:autoSpaceDN w:val="0"/>
        <w:adjustRightInd w:val="0"/>
        <w:spacing w:before="80" w:after="80"/>
        <w:ind w:left="426"/>
        <w:jc w:val="both"/>
        <w:rPr>
          <w:rFonts w:asciiTheme="majorHAnsi" w:hAnsiTheme="majorHAnsi" w:cstheme="majorHAnsi"/>
          <w:color w:val="000000" w:themeColor="text1"/>
        </w:rPr>
      </w:pPr>
      <w:bookmarkStart w:id="185" w:name="_Hlk169791372"/>
      <w:r w:rsidRPr="003015CD">
        <w:rPr>
          <w:rFonts w:asciiTheme="majorHAnsi" w:hAnsiTheme="majorHAnsi" w:cstheme="majorHAnsi"/>
          <w:color w:val="000000" w:themeColor="text1"/>
        </w:rPr>
        <w:t>whether design changes or changes to manufacturing procedures have been made (if any) which could impact the safety and/or performance of the device</w:t>
      </w:r>
      <w:r w:rsidR="00207A8F" w:rsidRPr="003015CD">
        <w:rPr>
          <w:rFonts w:asciiTheme="majorHAnsi" w:hAnsiTheme="majorHAnsi" w:cstheme="majorHAnsi"/>
          <w:color w:val="000000" w:themeColor="text1"/>
        </w:rPr>
        <w:t>.</w:t>
      </w:r>
    </w:p>
    <w:p w14:paraId="307462C9" w14:textId="77777777" w:rsidR="00207A8F" w:rsidRPr="003015CD" w:rsidRDefault="00207A8F" w:rsidP="00D02D7F">
      <w:pPr>
        <w:pStyle w:val="Paragraphedeliste"/>
        <w:autoSpaceDE w:val="0"/>
        <w:autoSpaceDN w:val="0"/>
        <w:adjustRightInd w:val="0"/>
        <w:spacing w:before="80" w:after="80"/>
        <w:ind w:left="426"/>
        <w:jc w:val="both"/>
        <w:rPr>
          <w:rFonts w:asciiTheme="majorHAnsi" w:hAnsiTheme="majorHAnsi" w:cstheme="majorHAnsi"/>
          <w:color w:val="000000" w:themeColor="text1"/>
        </w:rPr>
      </w:pPr>
    </w:p>
    <w:bookmarkEnd w:id="185"/>
    <w:p w14:paraId="12F33532" w14:textId="283867DA" w:rsidR="004171CC" w:rsidRPr="003015CD" w:rsidRDefault="004171CC" w:rsidP="00081885">
      <w:pPr>
        <w:spacing w:before="120" w:after="0"/>
        <w:ind w:left="142"/>
        <w:jc w:val="both"/>
        <w:rPr>
          <w:rFonts w:asciiTheme="majorHAnsi" w:hAnsiTheme="majorHAnsi" w:cstheme="majorHAnsi"/>
          <w:color w:val="000000" w:themeColor="text1"/>
        </w:rPr>
      </w:pP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_Ref172624032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b/>
          <w:bCs/>
          <w:color w:val="000000" w:themeColor="text1"/>
          <w:sz w:val="20"/>
        </w:rPr>
        <w:t>Table 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summarizes </w:t>
      </w:r>
      <w:r w:rsidR="005A55AF" w:rsidRPr="003015CD">
        <w:rPr>
          <w:rFonts w:asciiTheme="majorHAnsi" w:hAnsiTheme="majorHAnsi" w:cstheme="majorHAnsi"/>
          <w:color w:val="000000" w:themeColor="text1"/>
        </w:rPr>
        <w:t>the update</w:t>
      </w:r>
      <w:r w:rsidRPr="003015CD">
        <w:rPr>
          <w:rFonts w:asciiTheme="majorHAnsi" w:hAnsiTheme="majorHAnsi" w:cstheme="majorHAnsi"/>
          <w:color w:val="000000" w:themeColor="text1"/>
        </w:rPr>
        <w:t xml:space="preserve"> frequencies for clinical evaluation and related processes documentation. </w:t>
      </w:r>
    </w:p>
    <w:p w14:paraId="174C87EC" w14:textId="01A6A8F1" w:rsidR="004171CC" w:rsidRPr="003015CD" w:rsidRDefault="004171CC" w:rsidP="00081885">
      <w:pPr>
        <w:keepNext/>
        <w:ind w:left="142"/>
        <w:jc w:val="both"/>
        <w:rPr>
          <w:rFonts w:asciiTheme="majorHAnsi" w:hAnsiTheme="majorHAnsi" w:cstheme="majorHAnsi"/>
          <w:b/>
          <w:bCs/>
          <w:color w:val="000000" w:themeColor="text1"/>
          <w:sz w:val="20"/>
        </w:rPr>
      </w:pPr>
      <w:bookmarkStart w:id="186" w:name="_Ref172624032"/>
      <w:r w:rsidRPr="003015CD">
        <w:rPr>
          <w:rFonts w:asciiTheme="majorHAnsi" w:hAnsiTheme="majorHAnsi" w:cstheme="majorHAnsi"/>
          <w:b/>
          <w:bCs/>
          <w:color w:val="000000" w:themeColor="text1"/>
          <w:sz w:val="20"/>
        </w:rPr>
        <w:t xml:space="preserve">Table </w:t>
      </w:r>
      <w:r w:rsidRPr="003015CD">
        <w:rPr>
          <w:rFonts w:asciiTheme="majorHAnsi" w:hAnsiTheme="majorHAnsi" w:cstheme="majorHAnsi"/>
          <w:b/>
          <w:bCs/>
          <w:color w:val="000000" w:themeColor="text1"/>
          <w:sz w:val="20"/>
        </w:rPr>
        <w:fldChar w:fldCharType="begin"/>
      </w:r>
      <w:r w:rsidRPr="003015CD">
        <w:rPr>
          <w:rFonts w:asciiTheme="majorHAnsi" w:hAnsiTheme="majorHAnsi" w:cstheme="majorHAnsi"/>
          <w:b/>
          <w:bCs/>
          <w:color w:val="000000" w:themeColor="text1"/>
          <w:sz w:val="20"/>
        </w:rPr>
        <w:instrText xml:space="preserve"> SEQ Table \* ARABIC </w:instrText>
      </w:r>
      <w:r w:rsidRPr="003015CD">
        <w:rPr>
          <w:rFonts w:asciiTheme="majorHAnsi" w:hAnsiTheme="majorHAnsi" w:cstheme="majorHAnsi"/>
          <w:b/>
          <w:bCs/>
          <w:color w:val="000000" w:themeColor="text1"/>
          <w:sz w:val="20"/>
        </w:rPr>
        <w:fldChar w:fldCharType="separate"/>
      </w:r>
      <w:r w:rsidR="001D11FB" w:rsidRPr="003015CD">
        <w:rPr>
          <w:rFonts w:asciiTheme="majorHAnsi" w:hAnsiTheme="majorHAnsi" w:cstheme="majorHAnsi"/>
          <w:b/>
          <w:bCs/>
          <w:color w:val="000000" w:themeColor="text1"/>
          <w:sz w:val="20"/>
        </w:rPr>
        <w:t>2</w:t>
      </w:r>
      <w:r w:rsidRPr="003015CD">
        <w:rPr>
          <w:rFonts w:asciiTheme="majorHAnsi" w:hAnsiTheme="majorHAnsi" w:cstheme="majorHAnsi"/>
          <w:b/>
          <w:bCs/>
          <w:color w:val="000000" w:themeColor="text1"/>
          <w:sz w:val="20"/>
        </w:rPr>
        <w:fldChar w:fldCharType="end"/>
      </w:r>
      <w:r w:rsidRPr="003015CD">
        <w:rPr>
          <w:rFonts w:asciiTheme="majorHAnsi" w:hAnsiTheme="majorHAnsi" w:cstheme="majorHAnsi"/>
          <w:b/>
          <w:bCs/>
          <w:color w:val="000000" w:themeColor="text1"/>
          <w:sz w:val="20"/>
        </w:rPr>
        <w:t>.</w:t>
      </w:r>
      <w:bookmarkEnd w:id="186"/>
      <w:r w:rsidRPr="003015CD">
        <w:rPr>
          <w:rFonts w:asciiTheme="majorHAnsi" w:hAnsiTheme="majorHAnsi" w:cstheme="majorHAnsi"/>
          <w:b/>
          <w:bCs/>
          <w:color w:val="000000" w:themeColor="text1"/>
          <w:sz w:val="20"/>
        </w:rPr>
        <w:t xml:space="preserve"> Clinical evaluation and related processes documentation frequency of update</w:t>
      </w:r>
    </w:p>
    <w:tbl>
      <w:tblPr>
        <w:tblStyle w:val="Grilledutableau"/>
        <w:tblW w:w="9497" w:type="dxa"/>
        <w:tblInd w:w="137" w:type="dxa"/>
        <w:tblLook w:val="0420" w:firstRow="1" w:lastRow="0" w:firstColumn="0" w:lastColumn="0" w:noHBand="0" w:noVBand="1"/>
      </w:tblPr>
      <w:tblGrid>
        <w:gridCol w:w="2149"/>
        <w:gridCol w:w="2348"/>
        <w:gridCol w:w="5000"/>
      </w:tblGrid>
      <w:tr w:rsidR="004171CC" w:rsidRPr="003015CD" w14:paraId="48CFAF41" w14:textId="77777777" w:rsidTr="00B13691">
        <w:trPr>
          <w:trHeight w:val="549"/>
        </w:trPr>
        <w:tc>
          <w:tcPr>
            <w:tcW w:w="2149" w:type="dxa"/>
            <w:shd w:val="clear" w:color="auto" w:fill="BFBFBF" w:themeFill="background1" w:themeFillShade="BF"/>
            <w:hideMark/>
          </w:tcPr>
          <w:p w14:paraId="6E072A85" w14:textId="77777777" w:rsidR="004171CC" w:rsidRPr="003015CD" w:rsidRDefault="004171CC" w:rsidP="00081885">
            <w:pPr>
              <w:spacing w:before="120" w:after="0"/>
              <w:ind w:left="360"/>
              <w:jc w:val="both"/>
              <w:rPr>
                <w:rFonts w:asciiTheme="majorHAnsi" w:hAnsiTheme="majorHAnsi" w:cstheme="majorHAnsi"/>
                <w:b/>
                <w:color w:val="000000" w:themeColor="text1"/>
              </w:rPr>
            </w:pPr>
            <w:r w:rsidRPr="003015CD">
              <w:rPr>
                <w:rFonts w:asciiTheme="majorHAnsi" w:hAnsiTheme="majorHAnsi" w:cstheme="majorHAnsi"/>
                <w:b/>
                <w:bCs/>
                <w:color w:val="000000" w:themeColor="text1"/>
              </w:rPr>
              <w:t>Document</w:t>
            </w:r>
          </w:p>
        </w:tc>
        <w:tc>
          <w:tcPr>
            <w:tcW w:w="2348" w:type="dxa"/>
            <w:shd w:val="clear" w:color="auto" w:fill="BFBFBF" w:themeFill="background1" w:themeFillShade="BF"/>
            <w:hideMark/>
          </w:tcPr>
          <w:p w14:paraId="23F71C97" w14:textId="77777777" w:rsidR="004171CC" w:rsidRPr="003015CD" w:rsidRDefault="004171CC" w:rsidP="00081885">
            <w:pPr>
              <w:spacing w:before="120" w:after="0"/>
              <w:ind w:left="360"/>
              <w:jc w:val="both"/>
              <w:rPr>
                <w:rFonts w:asciiTheme="majorHAnsi" w:hAnsiTheme="majorHAnsi" w:cstheme="majorHAnsi"/>
                <w:b/>
                <w:color w:val="000000" w:themeColor="text1"/>
              </w:rPr>
            </w:pPr>
            <w:r w:rsidRPr="003015CD">
              <w:rPr>
                <w:rFonts w:asciiTheme="majorHAnsi" w:hAnsiTheme="majorHAnsi" w:cstheme="majorHAnsi"/>
                <w:b/>
                <w:bCs/>
                <w:color w:val="000000" w:themeColor="text1"/>
              </w:rPr>
              <w:t>Required for</w:t>
            </w:r>
          </w:p>
        </w:tc>
        <w:tc>
          <w:tcPr>
            <w:tcW w:w="5000" w:type="dxa"/>
            <w:shd w:val="clear" w:color="auto" w:fill="BFBFBF" w:themeFill="background1" w:themeFillShade="BF"/>
            <w:hideMark/>
          </w:tcPr>
          <w:p w14:paraId="5A109276" w14:textId="77777777" w:rsidR="004171CC" w:rsidRPr="003015CD" w:rsidRDefault="004171CC" w:rsidP="00081885">
            <w:pPr>
              <w:spacing w:before="120" w:after="0"/>
              <w:ind w:left="360" w:right="2172"/>
              <w:jc w:val="both"/>
              <w:rPr>
                <w:rFonts w:asciiTheme="majorHAnsi" w:hAnsiTheme="majorHAnsi" w:cstheme="majorHAnsi"/>
                <w:b/>
                <w:color w:val="000000" w:themeColor="text1"/>
              </w:rPr>
            </w:pPr>
            <w:r w:rsidRPr="003015CD">
              <w:rPr>
                <w:rFonts w:asciiTheme="majorHAnsi" w:hAnsiTheme="majorHAnsi" w:cstheme="majorHAnsi"/>
                <w:b/>
                <w:bCs/>
                <w:color w:val="000000" w:themeColor="text1"/>
              </w:rPr>
              <w:t>Frequency of update</w:t>
            </w:r>
          </w:p>
        </w:tc>
      </w:tr>
      <w:tr w:rsidR="004171CC" w:rsidRPr="003015CD" w14:paraId="6F116CF4" w14:textId="77777777" w:rsidTr="00B13691">
        <w:trPr>
          <w:trHeight w:val="584"/>
        </w:trPr>
        <w:tc>
          <w:tcPr>
            <w:tcW w:w="2149" w:type="dxa"/>
            <w:hideMark/>
          </w:tcPr>
          <w:p w14:paraId="62832A27" w14:textId="2CD78CBD"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b/>
                <w:bCs/>
                <w:color w:val="000000" w:themeColor="text1"/>
                <w:sz w:val="20"/>
              </w:rPr>
              <w:t>Clinical evaluation documentation (CEP, CER and related documents listed section 12.1)</w:t>
            </w:r>
          </w:p>
        </w:tc>
        <w:tc>
          <w:tcPr>
            <w:tcW w:w="2348" w:type="dxa"/>
            <w:hideMark/>
          </w:tcPr>
          <w:p w14:paraId="5CF4F654"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All devices</w:t>
            </w:r>
          </w:p>
        </w:tc>
        <w:tc>
          <w:tcPr>
            <w:tcW w:w="5000" w:type="dxa"/>
            <w:hideMark/>
          </w:tcPr>
          <w:p w14:paraId="3C9ADE64" w14:textId="643F0773" w:rsidR="004171CC" w:rsidRPr="003015CD" w:rsidRDefault="004171CC" w:rsidP="00081885">
            <w:pPr>
              <w:numPr>
                <w:ilvl w:val="0"/>
                <w:numId w:val="39"/>
              </w:numPr>
              <w:tabs>
                <w:tab w:val="clear" w:pos="720"/>
                <w:tab w:val="num" w:pos="360"/>
              </w:tabs>
              <w:spacing w:before="120" w:after="0"/>
              <w:ind w:left="70"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III and implantable: the necessity to update to be considered annually based on PMCF evaluation report and PSUR annual update.</w:t>
            </w:r>
          </w:p>
          <w:p w14:paraId="1C526F0F" w14:textId="77777777" w:rsidR="004171CC" w:rsidRPr="003015CD" w:rsidRDefault="004171CC" w:rsidP="00081885">
            <w:pPr>
              <w:numPr>
                <w:ilvl w:val="0"/>
                <w:numId w:val="39"/>
              </w:numPr>
              <w:tabs>
                <w:tab w:val="clear" w:pos="720"/>
                <w:tab w:val="num" w:pos="360"/>
              </w:tabs>
              <w:spacing w:before="120" w:after="0"/>
              <w:ind w:left="70"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other device classes: when necessary, depending on</w:t>
            </w:r>
          </w:p>
          <w:p w14:paraId="217B45ED" w14:textId="610DA9FB" w:rsidR="004171CC" w:rsidRPr="003015CD" w:rsidRDefault="004171CC" w:rsidP="00081885">
            <w:pPr>
              <w:pStyle w:val="Paragraphedeliste"/>
              <w:numPr>
                <w:ilvl w:val="0"/>
                <w:numId w:val="41"/>
              </w:numPr>
              <w:spacing w:before="120" w:after="0"/>
              <w:ind w:left="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 xml:space="preserve">- clinical data obtained from the implementation of the manufacturer's PMCF plan and PMS plan </w:t>
            </w:r>
          </w:p>
          <w:p w14:paraId="113666C6" w14:textId="77777777" w:rsidR="004171CC" w:rsidRPr="003015CD" w:rsidRDefault="004171CC" w:rsidP="00081885">
            <w:pPr>
              <w:pStyle w:val="Paragraphedeliste"/>
              <w:numPr>
                <w:ilvl w:val="0"/>
                <w:numId w:val="41"/>
              </w:numPr>
              <w:spacing w:before="120" w:after="0"/>
              <w:ind w:left="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 other aspects mentioned in the section.</w:t>
            </w:r>
          </w:p>
        </w:tc>
      </w:tr>
      <w:tr w:rsidR="004171CC" w:rsidRPr="003015CD" w14:paraId="49CE6C8A" w14:textId="77777777" w:rsidTr="00B13691">
        <w:trPr>
          <w:trHeight w:val="584"/>
        </w:trPr>
        <w:tc>
          <w:tcPr>
            <w:tcW w:w="2149" w:type="dxa"/>
          </w:tcPr>
          <w:p w14:paraId="0A8DC13C" w14:textId="77777777" w:rsidR="004171CC" w:rsidRPr="003015CD" w:rsidRDefault="004171CC" w:rsidP="00081885">
            <w:pPr>
              <w:spacing w:before="120" w:after="0"/>
              <w:jc w:val="both"/>
              <w:rPr>
                <w:rFonts w:asciiTheme="majorHAnsi" w:hAnsiTheme="majorHAnsi" w:cstheme="majorHAnsi"/>
                <w:b/>
                <w:bCs/>
                <w:color w:val="000000" w:themeColor="text1"/>
                <w:sz w:val="20"/>
              </w:rPr>
            </w:pPr>
            <w:r w:rsidRPr="003015CD">
              <w:rPr>
                <w:rFonts w:asciiTheme="majorHAnsi" w:hAnsiTheme="majorHAnsi" w:cstheme="majorHAnsi"/>
                <w:b/>
                <w:bCs/>
                <w:color w:val="000000" w:themeColor="text1"/>
                <w:sz w:val="20"/>
              </w:rPr>
              <w:t xml:space="preserve">PMCF plan </w:t>
            </w:r>
          </w:p>
        </w:tc>
        <w:tc>
          <w:tcPr>
            <w:tcW w:w="2348" w:type="dxa"/>
          </w:tcPr>
          <w:p w14:paraId="7B3AC02F" w14:textId="7A663D9F"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All devices (unless a justification as to why a PMCF is not applicable is provided (see Section</w:t>
            </w:r>
            <w:r w:rsidR="00C23A0E" w:rsidRPr="003015CD">
              <w:rPr>
                <w:rFonts w:asciiTheme="majorHAnsi" w:hAnsiTheme="majorHAnsi" w:cstheme="majorHAnsi"/>
                <w:color w:val="000000" w:themeColor="text1"/>
                <w:sz w:val="20"/>
              </w:rPr>
              <w:t xml:space="preserve"> </w:t>
            </w:r>
            <w:r w:rsidR="002B4338" w:rsidRPr="003015CD">
              <w:rPr>
                <w:rFonts w:asciiTheme="majorHAnsi" w:hAnsiTheme="majorHAnsi" w:cstheme="majorHAnsi"/>
                <w:color w:val="000000" w:themeColor="text1"/>
                <w:sz w:val="20"/>
              </w:rPr>
              <w:t>13</w:t>
            </w:r>
            <w:r w:rsidRPr="003015CD">
              <w:rPr>
                <w:rFonts w:asciiTheme="majorHAnsi" w:hAnsiTheme="majorHAnsi" w:cstheme="majorHAnsi"/>
                <w:color w:val="000000" w:themeColor="text1"/>
                <w:sz w:val="20"/>
              </w:rPr>
              <w:t>)</w:t>
            </w:r>
          </w:p>
        </w:tc>
        <w:tc>
          <w:tcPr>
            <w:tcW w:w="5000" w:type="dxa"/>
          </w:tcPr>
          <w:p w14:paraId="17EBBD6B" w14:textId="77777777" w:rsidR="004171CC" w:rsidRPr="003015CD" w:rsidRDefault="004171CC" w:rsidP="00081885">
            <w:pPr>
              <w:spacing w:before="120" w:after="0"/>
              <w:ind w:left="7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 xml:space="preserve">When necessary, depending on clinical data obtained from the implementation of the previous manufacturer's PMCF plan and the PMS plan </w:t>
            </w:r>
          </w:p>
        </w:tc>
      </w:tr>
      <w:tr w:rsidR="004171CC" w:rsidRPr="003015CD" w14:paraId="65B43B7E" w14:textId="77777777" w:rsidTr="00B13691">
        <w:trPr>
          <w:trHeight w:val="584"/>
        </w:trPr>
        <w:tc>
          <w:tcPr>
            <w:tcW w:w="2149" w:type="dxa"/>
            <w:hideMark/>
          </w:tcPr>
          <w:p w14:paraId="0F26CC98"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b/>
                <w:bCs/>
                <w:color w:val="000000" w:themeColor="text1"/>
                <w:sz w:val="20"/>
              </w:rPr>
              <w:t>PMCF evaluation report</w:t>
            </w:r>
          </w:p>
        </w:tc>
        <w:tc>
          <w:tcPr>
            <w:tcW w:w="2348" w:type="dxa"/>
            <w:hideMark/>
          </w:tcPr>
          <w:p w14:paraId="5E838A41" w14:textId="56310436"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All devices (unless a justification as to why a PMCF is not applicable is provided (see Section</w:t>
            </w:r>
            <w:r w:rsidR="006107D3" w:rsidRPr="003015CD">
              <w:rPr>
                <w:rFonts w:asciiTheme="majorHAnsi" w:hAnsiTheme="majorHAnsi" w:cstheme="majorHAnsi"/>
                <w:color w:val="000000" w:themeColor="text1"/>
                <w:sz w:val="20"/>
              </w:rPr>
              <w:t xml:space="preserve"> </w:t>
            </w:r>
            <w:r w:rsidR="002B4338" w:rsidRPr="003015CD">
              <w:rPr>
                <w:rFonts w:asciiTheme="majorHAnsi" w:hAnsiTheme="majorHAnsi" w:cstheme="majorHAnsi"/>
                <w:color w:val="000000" w:themeColor="text1"/>
                <w:sz w:val="20"/>
              </w:rPr>
              <w:t>13</w:t>
            </w:r>
            <w:r w:rsidRPr="003015CD">
              <w:rPr>
                <w:rFonts w:asciiTheme="majorHAnsi" w:hAnsiTheme="majorHAnsi" w:cstheme="majorHAnsi"/>
                <w:color w:val="000000" w:themeColor="text1"/>
                <w:sz w:val="20"/>
              </w:rPr>
              <w:t>)</w:t>
            </w:r>
          </w:p>
        </w:tc>
        <w:tc>
          <w:tcPr>
            <w:tcW w:w="5000" w:type="dxa"/>
            <w:hideMark/>
          </w:tcPr>
          <w:p w14:paraId="775BD1CD" w14:textId="77777777" w:rsidR="004171CC" w:rsidRPr="003015CD" w:rsidRDefault="004171CC" w:rsidP="00081885">
            <w:pPr>
              <w:numPr>
                <w:ilvl w:val="0"/>
                <w:numId w:val="39"/>
              </w:numPr>
              <w:tabs>
                <w:tab w:val="clear" w:pos="720"/>
                <w:tab w:val="num" w:pos="360"/>
              </w:tabs>
              <w:spacing w:before="120" w:after="0"/>
              <w:ind w:left="70"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III and implantable devices: annually</w:t>
            </w:r>
          </w:p>
          <w:p w14:paraId="188C9EC9" w14:textId="77777777" w:rsidR="004171CC" w:rsidRPr="003015CD" w:rsidRDefault="004171CC" w:rsidP="00081885">
            <w:pPr>
              <w:numPr>
                <w:ilvl w:val="0"/>
                <w:numId w:val="39"/>
              </w:numPr>
              <w:tabs>
                <w:tab w:val="clear" w:pos="720"/>
                <w:tab w:val="num" w:pos="360"/>
              </w:tabs>
              <w:spacing w:before="120" w:after="0"/>
              <w:ind w:left="70"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Other devices: as determined by the manufacturer in the PMCF plan</w:t>
            </w:r>
          </w:p>
        </w:tc>
      </w:tr>
      <w:tr w:rsidR="004171CC" w:rsidRPr="003015CD" w14:paraId="518CC2FA" w14:textId="77777777" w:rsidTr="00B13691">
        <w:trPr>
          <w:trHeight w:val="584"/>
        </w:trPr>
        <w:tc>
          <w:tcPr>
            <w:tcW w:w="2149" w:type="dxa"/>
          </w:tcPr>
          <w:p w14:paraId="4E5B2CA3"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b/>
                <w:bCs/>
                <w:color w:val="000000" w:themeColor="text1"/>
                <w:sz w:val="20"/>
              </w:rPr>
              <w:t>PSUR</w:t>
            </w:r>
          </w:p>
        </w:tc>
        <w:tc>
          <w:tcPr>
            <w:tcW w:w="2348" w:type="dxa"/>
          </w:tcPr>
          <w:p w14:paraId="1ACC3738"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IIa, IIb and III</w:t>
            </w:r>
          </w:p>
        </w:tc>
        <w:tc>
          <w:tcPr>
            <w:tcW w:w="5000" w:type="dxa"/>
          </w:tcPr>
          <w:p w14:paraId="276F1631" w14:textId="77777777" w:rsidR="004171CC" w:rsidRPr="003015CD" w:rsidRDefault="004171CC" w:rsidP="00081885">
            <w:pPr>
              <w:numPr>
                <w:ilvl w:val="0"/>
                <w:numId w:val="39"/>
              </w:numPr>
              <w:tabs>
                <w:tab w:val="clear" w:pos="720"/>
                <w:tab w:val="num" w:pos="360"/>
              </w:tabs>
              <w:spacing w:before="120" w:after="0"/>
              <w:ind w:left="70"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IIb and III: at least annually</w:t>
            </w:r>
          </w:p>
          <w:p w14:paraId="6BB32E24" w14:textId="77777777" w:rsidR="004171CC" w:rsidRPr="003015CD" w:rsidRDefault="004171CC" w:rsidP="00081885">
            <w:pPr>
              <w:numPr>
                <w:ilvl w:val="0"/>
                <w:numId w:val="39"/>
              </w:numPr>
              <w:tabs>
                <w:tab w:val="clear" w:pos="720"/>
                <w:tab w:val="num" w:pos="360"/>
              </w:tabs>
              <w:spacing w:before="120" w:after="0"/>
              <w:ind w:left="70"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IIa: at least every 2 years</w:t>
            </w:r>
          </w:p>
          <w:p w14:paraId="53FDFAD6" w14:textId="77777777" w:rsidR="004171CC" w:rsidRPr="003015CD" w:rsidRDefault="004171CC" w:rsidP="00081885">
            <w:pPr>
              <w:spacing w:before="120" w:after="0"/>
              <w:ind w:left="360"/>
              <w:jc w:val="both"/>
              <w:rPr>
                <w:rFonts w:asciiTheme="majorHAnsi" w:hAnsiTheme="majorHAnsi" w:cstheme="majorHAnsi"/>
                <w:color w:val="000000" w:themeColor="text1"/>
                <w:sz w:val="20"/>
              </w:rPr>
            </w:pPr>
          </w:p>
        </w:tc>
      </w:tr>
      <w:tr w:rsidR="004171CC" w:rsidRPr="003015CD" w14:paraId="26DE9AE9" w14:textId="77777777" w:rsidTr="00B13691">
        <w:trPr>
          <w:trHeight w:val="432"/>
        </w:trPr>
        <w:tc>
          <w:tcPr>
            <w:tcW w:w="2149" w:type="dxa"/>
          </w:tcPr>
          <w:p w14:paraId="2020C57E" w14:textId="5D600343"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b/>
                <w:bCs/>
                <w:color w:val="000000" w:themeColor="text1"/>
                <w:sz w:val="20"/>
              </w:rPr>
              <w:t>PMS report</w:t>
            </w:r>
          </w:p>
        </w:tc>
        <w:tc>
          <w:tcPr>
            <w:tcW w:w="2348" w:type="dxa"/>
          </w:tcPr>
          <w:p w14:paraId="24452FFE"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w:t>
            </w:r>
          </w:p>
        </w:tc>
        <w:tc>
          <w:tcPr>
            <w:tcW w:w="5000" w:type="dxa"/>
          </w:tcPr>
          <w:p w14:paraId="0D4EE61D"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 xml:space="preserve">When necessary </w:t>
            </w:r>
          </w:p>
        </w:tc>
      </w:tr>
      <w:tr w:rsidR="004171CC" w:rsidRPr="003015CD" w14:paraId="45715893" w14:textId="77777777" w:rsidTr="00B13691">
        <w:trPr>
          <w:trHeight w:val="584"/>
        </w:trPr>
        <w:tc>
          <w:tcPr>
            <w:tcW w:w="2149" w:type="dxa"/>
          </w:tcPr>
          <w:p w14:paraId="44E9B536"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b/>
                <w:bCs/>
                <w:color w:val="000000" w:themeColor="text1"/>
                <w:sz w:val="20"/>
              </w:rPr>
              <w:t>SSCP</w:t>
            </w:r>
          </w:p>
        </w:tc>
        <w:tc>
          <w:tcPr>
            <w:tcW w:w="2348" w:type="dxa"/>
          </w:tcPr>
          <w:p w14:paraId="54D9A6EB" w14:textId="77777777"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Class III and implantable devices</w:t>
            </w:r>
          </w:p>
        </w:tc>
        <w:tc>
          <w:tcPr>
            <w:tcW w:w="5000" w:type="dxa"/>
          </w:tcPr>
          <w:p w14:paraId="3CE55818" w14:textId="4769F808" w:rsidR="004171CC" w:rsidRPr="003015CD" w:rsidRDefault="004171CC" w:rsidP="00081885">
            <w:pPr>
              <w:spacing w:before="120" w:after="0"/>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 xml:space="preserve">The necessity to update to be considered annually based on PMCF evaluation report and PSUR annual update. </w:t>
            </w:r>
          </w:p>
        </w:tc>
      </w:tr>
    </w:tbl>
    <w:p w14:paraId="285FE0A9" w14:textId="77777777" w:rsidR="004171CC" w:rsidRPr="003015CD" w:rsidRDefault="004171CC" w:rsidP="00081885">
      <w:pPr>
        <w:jc w:val="both"/>
        <w:rPr>
          <w:rFonts w:asciiTheme="majorHAnsi" w:hAnsiTheme="majorHAnsi" w:cstheme="majorHAnsi"/>
          <w:color w:val="000000" w:themeColor="text1"/>
        </w:rPr>
      </w:pPr>
    </w:p>
    <w:p w14:paraId="306BC3F6" w14:textId="6E76583E" w:rsidR="001615A6" w:rsidRPr="003015CD" w:rsidRDefault="001615A6">
      <w:pPr>
        <w:spacing w:before="0" w:after="0"/>
        <w:rPr>
          <w:rFonts w:asciiTheme="majorHAnsi" w:hAnsiTheme="majorHAnsi" w:cstheme="majorHAnsi"/>
          <w:b/>
          <w:bCs/>
          <w:color w:val="000000" w:themeColor="text1"/>
          <w:sz w:val="32"/>
          <w:szCs w:val="28"/>
        </w:rPr>
      </w:pPr>
      <w:bookmarkStart w:id="187" w:name="_Toc446499050"/>
      <w:bookmarkStart w:id="188" w:name="_Hlk145430929"/>
    </w:p>
    <w:p w14:paraId="5BA45707" w14:textId="77777777" w:rsidR="00207A8F" w:rsidRPr="003015CD" w:rsidRDefault="00207A8F">
      <w:pPr>
        <w:spacing w:before="0" w:after="0"/>
        <w:rPr>
          <w:rFonts w:asciiTheme="majorHAnsi" w:hAnsiTheme="majorHAnsi" w:cstheme="majorHAnsi"/>
          <w:b/>
          <w:bCs/>
          <w:color w:val="000000" w:themeColor="text1"/>
          <w:sz w:val="32"/>
          <w:szCs w:val="28"/>
        </w:rPr>
      </w:pPr>
      <w:r w:rsidRPr="003015CD">
        <w:rPr>
          <w:rFonts w:asciiTheme="majorHAnsi" w:hAnsiTheme="majorHAnsi" w:cstheme="majorHAnsi"/>
          <w:color w:val="000000" w:themeColor="text1"/>
        </w:rPr>
        <w:br w:type="page"/>
      </w:r>
    </w:p>
    <w:p w14:paraId="590DC7DE" w14:textId="5E9A2C5A" w:rsidR="004171CC" w:rsidRPr="003015CD" w:rsidRDefault="004171CC" w:rsidP="00D02D7F">
      <w:pPr>
        <w:pStyle w:val="Titre1"/>
        <w:ind w:left="426"/>
        <w:jc w:val="both"/>
        <w:rPr>
          <w:rFonts w:asciiTheme="majorHAnsi" w:hAnsiTheme="majorHAnsi" w:cstheme="majorHAnsi"/>
          <w:color w:val="000000" w:themeColor="text1"/>
        </w:rPr>
      </w:pPr>
      <w:bookmarkStart w:id="189" w:name="_Toc236912925"/>
      <w:r w:rsidRPr="003015CD">
        <w:rPr>
          <w:rFonts w:asciiTheme="majorHAnsi" w:hAnsiTheme="majorHAnsi" w:cstheme="majorHAnsi"/>
          <w:color w:val="000000" w:themeColor="text1"/>
        </w:rPr>
        <w:t xml:space="preserve">The role of the notified body </w:t>
      </w:r>
      <w:bookmarkStart w:id="190" w:name="_Hlk167800612"/>
      <w:r w:rsidRPr="003015CD">
        <w:rPr>
          <w:rFonts w:asciiTheme="majorHAnsi" w:hAnsiTheme="majorHAnsi" w:cstheme="majorHAnsi"/>
          <w:color w:val="000000" w:themeColor="text1"/>
        </w:rPr>
        <w:t>in the assessment of clinical evaluation reports</w:t>
      </w:r>
      <w:bookmarkEnd w:id="187"/>
      <w:bookmarkEnd w:id="189"/>
      <w:r w:rsidRPr="003015CD">
        <w:rPr>
          <w:rFonts w:asciiTheme="majorHAnsi" w:hAnsiTheme="majorHAnsi" w:cstheme="majorHAnsi"/>
          <w:color w:val="000000" w:themeColor="text1"/>
        </w:rPr>
        <w:t xml:space="preserve"> </w:t>
      </w:r>
      <w:bookmarkEnd w:id="190"/>
    </w:p>
    <w:p w14:paraId="00B984D7" w14:textId="326F8769"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notified body plays a key role in the assessment and verification of clinical evaluation reports and supporting documentation provided by manufacturers to support demonstration of conformity of a device with the GSPR</w:t>
      </w:r>
      <w:r w:rsidR="00D42D3F" w:rsidRPr="003015CD">
        <w:rPr>
          <w:rFonts w:asciiTheme="majorHAnsi" w:hAnsiTheme="majorHAnsi" w:cstheme="majorHAnsi"/>
          <w:color w:val="000000" w:themeColor="text1"/>
        </w:rPr>
        <w:t xml:space="preserve">s </w:t>
      </w:r>
      <w:r w:rsidR="00D02D7F" w:rsidRPr="003015CD">
        <w:rPr>
          <w:rFonts w:asciiTheme="majorHAnsi" w:hAnsiTheme="majorHAnsi" w:cstheme="majorHAnsi"/>
          <w:color w:val="000000" w:themeColor="text1"/>
        </w:rPr>
        <w:t>of MDR</w:t>
      </w:r>
      <w:r w:rsidRPr="003015CD">
        <w:rPr>
          <w:rFonts w:asciiTheme="majorHAnsi" w:hAnsiTheme="majorHAnsi" w:cstheme="majorHAnsi"/>
          <w:color w:val="000000" w:themeColor="text1"/>
        </w:rPr>
        <w:t xml:space="preserve">. </w:t>
      </w:r>
    </w:p>
    <w:p w14:paraId="6829E2E0" w14:textId="63995C1C"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MDCG documents which include best practice guides, checklists and forms in relation to the activities of Notified Bodies, such MDCG 2020-13</w:t>
      </w:r>
      <w:r w:rsidR="00951561" w:rsidRPr="003015CD">
        <w:rPr>
          <w:rStyle w:val="Appelnotedebasdep"/>
          <w:rFonts w:asciiTheme="majorHAnsi" w:hAnsiTheme="majorHAnsi" w:cstheme="majorHAnsi"/>
          <w:color w:val="000000" w:themeColor="text1"/>
        </w:rPr>
        <w:footnoteReference w:id="97"/>
      </w:r>
      <w:r w:rsidR="002736D2"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should be consulted.</w:t>
      </w:r>
    </w:p>
    <w:p w14:paraId="29F1A31D" w14:textId="3A7B8E6C"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When assessing the clinical evaluation as part of the conformity assessment procedure, the notified body shall consider the requirements in Section 4.5.5 of Annex VII to MDR. </w:t>
      </w:r>
    </w:p>
    <w:p w14:paraId="360B5884" w14:textId="2457EF64"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Where demonstration of conformity with </w:t>
      </w:r>
      <w:r w:rsidR="0034391C" w:rsidRPr="003015CD">
        <w:rPr>
          <w:rFonts w:asciiTheme="majorHAnsi" w:hAnsiTheme="majorHAnsi" w:cstheme="majorHAnsi"/>
          <w:color w:val="000000" w:themeColor="text1"/>
        </w:rPr>
        <w:t xml:space="preserve">the relevant </w:t>
      </w:r>
      <w:r w:rsidRPr="003015CD">
        <w:rPr>
          <w:rFonts w:asciiTheme="majorHAnsi" w:hAnsiTheme="majorHAnsi" w:cstheme="majorHAnsi"/>
          <w:color w:val="000000" w:themeColor="text1"/>
        </w:rPr>
        <w:t>GSPR</w:t>
      </w:r>
      <w:r w:rsidR="0034391C"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 xml:space="preserve"> based on clinical data is not deemed appropriate, this must be adequately justified by the manufacturer (see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_Ref164526539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7.2.6</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The notified body must review the manufacturer’s justification, the adequacy of data presented and whether or not conformity is demonstrated. Nevertheless, a clinical evaluation is still required and the above information and an evidenced justification should be presented in the CER for the device in question (see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_Ref164526539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7.2.6</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w:t>
      </w:r>
    </w:p>
    <w:p w14:paraId="6C4F96A5" w14:textId="77777777" w:rsidR="004171CC" w:rsidRPr="003015CD" w:rsidRDefault="004171CC" w:rsidP="00081885">
      <w:pPr>
        <w:pStyle w:val="Titre2"/>
        <w:ind w:left="0" w:firstLine="0"/>
        <w:jc w:val="both"/>
        <w:rPr>
          <w:rFonts w:asciiTheme="majorHAnsi" w:hAnsiTheme="majorHAnsi" w:cstheme="majorHAnsi"/>
          <w:color w:val="000000" w:themeColor="text1"/>
        </w:rPr>
      </w:pPr>
      <w:bookmarkStart w:id="191" w:name="_Toc236912926"/>
      <w:r w:rsidRPr="003015CD">
        <w:rPr>
          <w:rFonts w:asciiTheme="majorHAnsi" w:hAnsiTheme="majorHAnsi" w:cstheme="majorHAnsi"/>
          <w:color w:val="000000" w:themeColor="text1"/>
        </w:rPr>
        <w:t>Art 54 (1) devices: Clinical evaluation consultation procedure</w:t>
      </w:r>
      <w:bookmarkEnd w:id="191"/>
    </w:p>
    <w:p w14:paraId="445317DA"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Article 54 of MDR outlines a mandatory clinical evaluation consultation procedure (CECP) for certain medical devices.</w:t>
      </w:r>
    </w:p>
    <w:p w14:paraId="42C6CCDA" w14:textId="77777777" w:rsidR="004171CC" w:rsidRPr="003015CD" w:rsidRDefault="004171CC" w:rsidP="00081885">
      <w:pPr>
        <w:jc w:val="both"/>
        <w:rPr>
          <w:rFonts w:asciiTheme="majorHAnsi" w:hAnsiTheme="majorHAnsi" w:cstheme="majorHAnsi"/>
          <w:color w:val="000000" w:themeColor="text1"/>
        </w:rPr>
      </w:pPr>
    </w:p>
    <w:p w14:paraId="5FADAC0C" w14:textId="77777777" w:rsidR="004171CC" w:rsidRPr="003015CD" w:rsidRDefault="004171CC" w:rsidP="00081885">
      <w:pPr>
        <w:keepNext/>
        <w:jc w:val="center"/>
      </w:pPr>
      <w:r w:rsidRPr="003015CD">
        <w:rPr>
          <w:rFonts w:asciiTheme="majorHAnsi" w:hAnsiTheme="majorHAnsi" w:cstheme="majorHAnsi"/>
          <w:noProof/>
          <w:color w:val="000000" w:themeColor="text1"/>
          <w:lang w:eastAsia="es-ES"/>
        </w:rPr>
        <w:drawing>
          <wp:inline distT="0" distB="0" distL="0" distR="0" wp14:anchorId="0B7713ED" wp14:editId="72442C0F">
            <wp:extent cx="5614670" cy="3060700"/>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4670" cy="3060700"/>
                    </a:xfrm>
                    <a:prstGeom prst="rect">
                      <a:avLst/>
                    </a:prstGeom>
                    <a:noFill/>
                  </pic:spPr>
                </pic:pic>
              </a:graphicData>
            </a:graphic>
          </wp:inline>
        </w:drawing>
      </w:r>
    </w:p>
    <w:p w14:paraId="24AE34EF" w14:textId="0C8904AB" w:rsidR="004171CC" w:rsidRPr="003015CD" w:rsidRDefault="004171CC" w:rsidP="00081885">
      <w:pPr>
        <w:pStyle w:val="Lgende"/>
        <w:jc w:val="center"/>
        <w:rPr>
          <w:rFonts w:asciiTheme="majorHAnsi" w:hAnsiTheme="majorHAnsi" w:cstheme="majorHAnsi"/>
          <w:color w:val="000000" w:themeColor="text1"/>
        </w:rPr>
      </w:pPr>
      <w:r w:rsidRPr="003015CD">
        <w:t xml:space="preserve">Figure </w:t>
      </w:r>
      <w:r w:rsidRPr="003015CD">
        <w:fldChar w:fldCharType="begin"/>
      </w:r>
      <w:r w:rsidRPr="003015CD">
        <w:instrText xml:space="preserve"> SEQ Figure \* ARABIC </w:instrText>
      </w:r>
      <w:r w:rsidRPr="003015CD">
        <w:fldChar w:fldCharType="separate"/>
      </w:r>
      <w:r w:rsidR="001D11FB" w:rsidRPr="003015CD">
        <w:t>2</w:t>
      </w:r>
      <w:r w:rsidRPr="003015CD">
        <w:fldChar w:fldCharType="end"/>
      </w:r>
      <w:r w:rsidRPr="003015CD">
        <w:rPr>
          <w:rFonts w:asciiTheme="majorHAnsi" w:hAnsiTheme="majorHAnsi" w:cstheme="majorHAnsi"/>
          <w:color w:val="000000" w:themeColor="text1"/>
        </w:rPr>
        <w:t>: Schematic overview of the Clinical Evaluation Consultation Procedure</w:t>
      </w:r>
    </w:p>
    <w:p w14:paraId="4A316FDE"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As a first step, the notified body needs to consider whether the device under evaluation falls into the risk classes and types</w:t>
      </w:r>
      <w:r w:rsidRPr="003015CD">
        <w:rPr>
          <w:rStyle w:val="Appelnotedebasdep"/>
          <w:rFonts w:asciiTheme="majorHAnsi" w:hAnsiTheme="majorHAnsi" w:cstheme="majorHAnsi"/>
          <w:color w:val="000000" w:themeColor="text1"/>
        </w:rPr>
        <w:footnoteReference w:id="98"/>
      </w:r>
      <w:r w:rsidRPr="003015CD">
        <w:rPr>
          <w:rFonts w:asciiTheme="majorHAnsi" w:hAnsiTheme="majorHAnsi" w:cstheme="majorHAnsi"/>
          <w:color w:val="000000" w:themeColor="text1"/>
        </w:rPr>
        <w:t xml:space="preserve"> that qualify for consultation by expert panels in regard to aspects of clinical evaluation assessment, i.e., class III implantable medical devices and class IIb active devices intended to administer and/or remove a medicinal product (“ARMP”).</w:t>
      </w:r>
    </w:p>
    <w:p w14:paraId="659D7695" w14:textId="0E34DF40"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If the qualification criteria are fulfilled, the notified body then needs to consider the three exemption criteria described in Article 54(2) </w:t>
      </w:r>
      <w:r w:rsidR="00D02D7F" w:rsidRPr="003015CD">
        <w:rPr>
          <w:rFonts w:asciiTheme="majorHAnsi" w:hAnsiTheme="majorHAnsi" w:cstheme="majorHAnsi"/>
          <w:color w:val="000000" w:themeColor="text1"/>
        </w:rPr>
        <w:t>of MDR</w:t>
      </w:r>
      <w:r w:rsidRPr="003015CD">
        <w:rPr>
          <w:rFonts w:asciiTheme="majorHAnsi" w:hAnsiTheme="majorHAnsi" w:cstheme="majorHAnsi"/>
          <w:color w:val="000000" w:themeColor="text1"/>
        </w:rPr>
        <w:t xml:space="preserve">. The CECP is not required if any of these 3 criteria are fulfilled. The document MDCG 2019-3 rev.1 “Clinical evaluation consultation procedure exemptions Interpretation of article 54(2)b” </w:t>
      </w:r>
      <w:r w:rsidR="000D3EC3" w:rsidRPr="003015CD">
        <w:rPr>
          <w:rFonts w:asciiTheme="majorHAnsi" w:hAnsiTheme="majorHAnsi" w:cstheme="majorHAnsi"/>
          <w:color w:val="000000" w:themeColor="text1"/>
        </w:rPr>
        <w:t>provides</w:t>
      </w:r>
      <w:r w:rsidRPr="003015CD">
        <w:rPr>
          <w:rFonts w:asciiTheme="majorHAnsi" w:hAnsiTheme="majorHAnsi" w:cstheme="majorHAnsi"/>
          <w:color w:val="000000" w:themeColor="text1"/>
        </w:rPr>
        <w:t xml:space="preserve"> guidance on the exemption criteria listed under Article 54 paragraph (2)(b).</w:t>
      </w:r>
    </w:p>
    <w:p w14:paraId="64DB1149"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Having considered the qualification criteria and the exemption criteria, the notified body needs to notify the competent authorities, the authority responsible for notified bodies and the Commission whether or not the CECP is to be applied (Article 54(3)).</w:t>
      </w:r>
    </w:p>
    <w:p w14:paraId="43331195" w14:textId="16F4EAA4" w:rsidR="004171CC" w:rsidRPr="003015CD" w:rsidRDefault="00F70473"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Should</w:t>
      </w:r>
      <w:r w:rsidR="004171CC" w:rsidRPr="003015CD">
        <w:rPr>
          <w:rFonts w:asciiTheme="majorHAnsi" w:hAnsiTheme="majorHAnsi" w:cstheme="majorHAnsi"/>
          <w:color w:val="000000" w:themeColor="text1"/>
        </w:rPr>
        <w:t xml:space="preserve"> a device qualifies for and requires a CECP, the notified body must follow the procedure outlined in MDR Annex IX Section 5.1 (also referenced in Section 6, Annex X to MDR) and transmit the CECP dossier to the Secretariat of the expert panels in the field of medical devices designated by the Commission Implementing Decision (EU) 2019/1396. The dossier will include the documents outlined in point 5.1(a) of Annex IX to MDR, along with the administrative documents requested by the Secretariat. </w:t>
      </w:r>
    </w:p>
    <w:p w14:paraId="193668D5" w14:textId="5403AD1E"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As part of this dossier, the notified body will submit a final CEAR, i.e. only necessary changes as outlined below that do not modify the clinical evaluation assessment are possible after this submission. All applicable sections of this should be completed, relevant conclusions reached and corresponding boxes ticked for the report to be complete. MDR Annex VII point 4.6 mandates that the CEAR clearly documents the conclusions of the assessment of the manufacturer’s clinical evaluation. Furthermore, the CEAR will be based on a standard format containing a minimum set of elements determined by the MDCG. MDCG 2020-13 “Clinical evaluation assessment report template” represents the minimum content for a CEAR. The CEAR will also make a recommendation to support a final review, and a final decision to be taken by the notified body.</w:t>
      </w:r>
    </w:p>
    <w:p w14:paraId="576075D7"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Expert panels who are conducting a clinical evaluation consultation procedure will assess the CEAR, however they do not have access to the complete conformity assessment for the device and associated procedures and documentation. To enable the expert panel work, the CEAR must provide sufficient information with respect to the clinical evidence provided by the manufacturer, in particular concerning the benefit-risk determination, the consistency of that evidence with the intended purpose, including the indications, and the PMCF plan.</w:t>
      </w:r>
    </w:p>
    <w:p w14:paraId="2A95975E"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Notified bodies will be informed about the result of the panel consultations via upload of:</w:t>
      </w:r>
    </w:p>
    <w:p w14:paraId="47DCB7F5" w14:textId="77777777" w:rsidR="004171CC" w:rsidRPr="003015CD" w:rsidRDefault="004171CC" w:rsidP="00081885">
      <w:pPr>
        <w:pStyle w:val="Paragraphedeliste"/>
        <w:numPr>
          <w:ilvl w:val="0"/>
          <w:numId w:val="87"/>
        </w:numPr>
        <w:ind w:left="426"/>
        <w:jc w:val="both"/>
        <w:rPr>
          <w:rFonts w:asciiTheme="majorHAnsi" w:hAnsiTheme="majorHAnsi" w:cstheme="majorHAnsi"/>
          <w:color w:val="000000" w:themeColor="text1"/>
        </w:rPr>
      </w:pPr>
      <w:r w:rsidRPr="003015CD">
        <w:rPr>
          <w:rFonts w:asciiTheme="majorHAnsi" w:hAnsiTheme="majorHAnsi" w:cstheme="majorHAnsi"/>
          <w:color w:val="000000" w:themeColor="text1"/>
        </w:rPr>
        <w:t>the decision report of the screening experts in cases where no opinion is needed;</w:t>
      </w:r>
    </w:p>
    <w:p w14:paraId="7989FE6D" w14:textId="77777777" w:rsidR="004171CC" w:rsidRPr="003015CD" w:rsidRDefault="004171CC" w:rsidP="00081885">
      <w:pPr>
        <w:pStyle w:val="Paragraphedeliste"/>
        <w:numPr>
          <w:ilvl w:val="0"/>
          <w:numId w:val="87"/>
        </w:numPr>
        <w:ind w:left="426"/>
        <w:jc w:val="both"/>
        <w:rPr>
          <w:rFonts w:asciiTheme="majorHAnsi" w:hAnsiTheme="majorHAnsi" w:cstheme="majorHAnsi"/>
          <w:color w:val="000000" w:themeColor="text1"/>
        </w:rPr>
      </w:pPr>
      <w:r w:rsidRPr="003015CD">
        <w:rPr>
          <w:rFonts w:asciiTheme="majorHAnsi" w:hAnsiTheme="majorHAnsi" w:cstheme="majorHAnsi"/>
          <w:color w:val="000000" w:themeColor="text1"/>
        </w:rPr>
        <w:t>the opinion report of the respective thematic panel or sub-group at the end of the process in cases where an opinion is needed.</w:t>
      </w:r>
    </w:p>
    <w:p w14:paraId="3DF2A64A" w14:textId="77777777" w:rsidR="004171CC" w:rsidRPr="003015CD" w:rsidRDefault="004171CC"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If an opinion is received within the 60-days timeline, the notified body is obliged to give due consideration to the expert panel scientific opinion. The notified body will, where applicable and as appropriate, take the measures outlined in MDR Annex IX point 5.1(g). </w:t>
      </w:r>
    </w:p>
    <w:p w14:paraId="20E2471E" w14:textId="7EBB5610" w:rsidR="004171CC" w:rsidRPr="003015CD" w:rsidRDefault="004171CC" w:rsidP="00081885">
      <w:pPr>
        <w:jc w:val="both"/>
        <w:rPr>
          <w:rFonts w:asciiTheme="majorHAnsi" w:hAnsiTheme="majorHAnsi" w:cstheme="majorHAnsi"/>
          <w:color w:val="000000" w:themeColor="text1"/>
        </w:rPr>
      </w:pPr>
      <w:bookmarkStart w:id="192" w:name="_Toc161933207"/>
      <w:r w:rsidRPr="003015CD">
        <w:rPr>
          <w:rFonts w:asciiTheme="majorHAnsi" w:hAnsiTheme="majorHAnsi" w:cstheme="majorHAnsi"/>
          <w:color w:val="000000" w:themeColor="text1"/>
        </w:rPr>
        <w:t xml:space="preserve">In order to take into </w:t>
      </w:r>
      <w:r w:rsidR="00C70F6B" w:rsidRPr="003015CD">
        <w:rPr>
          <w:rFonts w:asciiTheme="majorHAnsi" w:hAnsiTheme="majorHAnsi" w:cstheme="majorHAnsi"/>
          <w:color w:val="000000" w:themeColor="text1"/>
        </w:rPr>
        <w:t>account</w:t>
      </w:r>
      <w:r w:rsidRPr="003015CD">
        <w:rPr>
          <w:rFonts w:asciiTheme="majorHAnsi" w:hAnsiTheme="majorHAnsi" w:cstheme="majorHAnsi"/>
          <w:color w:val="000000" w:themeColor="text1"/>
        </w:rPr>
        <w:t xml:space="preserve"> the opinion of the expert panel, </w:t>
      </w:r>
      <w:r w:rsidR="001440C2" w:rsidRPr="003015CD">
        <w:rPr>
          <w:rFonts w:asciiTheme="majorHAnsi" w:hAnsiTheme="majorHAnsi" w:cstheme="majorHAnsi"/>
          <w:color w:val="000000" w:themeColor="text1"/>
        </w:rPr>
        <w:t xml:space="preserve">or in order to reflect changes covering the elements described in indent (g) of point 5.1 of Annex IX to MDR </w:t>
      </w:r>
      <w:r w:rsidRPr="003015CD">
        <w:rPr>
          <w:rFonts w:asciiTheme="majorHAnsi" w:hAnsiTheme="majorHAnsi" w:cstheme="majorHAnsi"/>
          <w:color w:val="000000" w:themeColor="text1"/>
        </w:rPr>
        <w:t>the notified body may only modify “Section I” of the CEAR after receiving the result of the consultation. At this stage, the notified body may not further modify the CEAR based on supplemental clinical data and evidence submitted by the manufacturer after the delivery of an opinion. However, the notified body may decide not to follow the advice or to follow only part of it</w:t>
      </w:r>
      <w:r w:rsidR="00C70F6B"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In this case, it will need to provide a full justification outlining the reasons which will be published together with the opinion</w:t>
      </w:r>
      <w:bookmarkStart w:id="193" w:name="_Toc446499051"/>
      <w:bookmarkEnd w:id="188"/>
      <w:bookmarkEnd w:id="192"/>
    </w:p>
    <w:bookmarkEnd w:id="193"/>
    <w:p w14:paraId="23CF0265" w14:textId="77777777" w:rsidR="004171CC" w:rsidRPr="003015CD" w:rsidRDefault="004171CC" w:rsidP="00081885">
      <w:pPr>
        <w:jc w:val="both"/>
        <w:rPr>
          <w:rFonts w:asciiTheme="majorHAnsi" w:hAnsiTheme="majorHAnsi" w:cstheme="majorHAnsi"/>
          <w:color w:val="000000" w:themeColor="text1"/>
        </w:rPr>
      </w:pPr>
    </w:p>
    <w:p w14:paraId="579BB4E2" w14:textId="77777777" w:rsidR="004171CC" w:rsidRPr="003015CD" w:rsidRDefault="004171CC" w:rsidP="00081885">
      <w:pPr>
        <w:jc w:val="both"/>
        <w:rPr>
          <w:rFonts w:asciiTheme="majorHAnsi" w:hAnsiTheme="majorHAnsi" w:cstheme="majorHAnsi"/>
          <w:color w:val="000000" w:themeColor="text1"/>
        </w:rPr>
      </w:pPr>
    </w:p>
    <w:p w14:paraId="7EDDA183" w14:textId="77777777" w:rsidR="00FD03E5" w:rsidRPr="003015CD" w:rsidRDefault="00FD03E5" w:rsidP="00081885">
      <w:pPr>
        <w:pStyle w:val="App1"/>
        <w:pageBreakBefore/>
        <w:jc w:val="both"/>
        <w:rPr>
          <w:rFonts w:asciiTheme="majorHAnsi" w:hAnsiTheme="majorHAnsi" w:cstheme="majorHAnsi"/>
          <w:color w:val="000000" w:themeColor="text1"/>
        </w:rPr>
      </w:pPr>
      <w:bookmarkStart w:id="194" w:name="_Toc236912927"/>
      <w:r w:rsidRPr="003015CD">
        <w:rPr>
          <w:rFonts w:asciiTheme="majorHAnsi" w:hAnsiTheme="majorHAnsi" w:cstheme="majorHAnsi"/>
          <w:color w:val="000000" w:themeColor="text1"/>
        </w:rPr>
        <w:t>Appendices</w:t>
      </w:r>
      <w:bookmarkEnd w:id="194"/>
      <w:r w:rsidRPr="003015CD">
        <w:rPr>
          <w:rFonts w:asciiTheme="majorHAnsi" w:hAnsiTheme="majorHAnsi" w:cstheme="majorHAnsi"/>
          <w:color w:val="000000" w:themeColor="text1"/>
        </w:rPr>
        <w:t xml:space="preserve"> </w:t>
      </w:r>
    </w:p>
    <w:p w14:paraId="178A1A00" w14:textId="5B44270C" w:rsidR="00FD03E5" w:rsidRPr="003015CD" w:rsidRDefault="00FD03E5" w:rsidP="00081885">
      <w:pPr>
        <w:pStyle w:val="App2"/>
        <w:tabs>
          <w:tab w:val="clear" w:pos="567"/>
          <w:tab w:val="clear" w:pos="709"/>
          <w:tab w:val="left" w:pos="284"/>
        </w:tabs>
        <w:ind w:left="426"/>
        <w:jc w:val="both"/>
        <w:rPr>
          <w:rFonts w:asciiTheme="majorHAnsi" w:hAnsiTheme="majorHAnsi" w:cstheme="majorHAnsi"/>
          <w:color w:val="000000" w:themeColor="text1"/>
        </w:rPr>
      </w:pPr>
      <w:bookmarkStart w:id="195" w:name="_Ref164071682"/>
      <w:bookmarkStart w:id="196" w:name="_Ref164530083"/>
      <w:bookmarkStart w:id="197" w:name="_Ref164534091"/>
      <w:bookmarkStart w:id="198" w:name="_Ref164861953"/>
      <w:bookmarkStart w:id="199" w:name="_Ref165982333"/>
      <w:bookmarkStart w:id="200" w:name="_Ref166597808"/>
      <w:bookmarkStart w:id="201" w:name="_Ref166607233"/>
      <w:bookmarkStart w:id="202" w:name="_Ref170832415"/>
      <w:bookmarkStart w:id="203" w:name="_Ref172553404"/>
      <w:bookmarkStart w:id="204" w:name="_Ref172554081"/>
      <w:bookmarkStart w:id="205" w:name="_Ref172555065"/>
      <w:bookmarkStart w:id="206" w:name="_Ref172558574"/>
      <w:bookmarkStart w:id="207" w:name="_Ref172637416"/>
      <w:bookmarkStart w:id="208" w:name="_Ref172637667"/>
      <w:bookmarkStart w:id="209" w:name="_Ref172731640"/>
      <w:bookmarkStart w:id="210" w:name="_Ref172731801"/>
      <w:bookmarkStart w:id="211" w:name="_Ref233282644"/>
      <w:bookmarkStart w:id="212" w:name="_Toc236912928"/>
      <w:bookmarkStart w:id="213" w:name="_Ref433633423"/>
      <w:bookmarkStart w:id="214" w:name="_Toc446499052"/>
      <w:bookmarkStart w:id="215" w:name="_Ref433633264"/>
      <w:bookmarkStart w:id="216" w:name="_Ref433190420"/>
      <w:r w:rsidRPr="003015CD">
        <w:rPr>
          <w:rFonts w:asciiTheme="majorHAnsi" w:hAnsiTheme="majorHAnsi" w:cstheme="majorHAnsi"/>
          <w:color w:val="000000" w:themeColor="text1"/>
        </w:rPr>
        <w:t>State of the art</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3015CD">
        <w:rPr>
          <w:rFonts w:asciiTheme="majorHAnsi" w:hAnsiTheme="majorHAnsi" w:cstheme="majorHAnsi"/>
          <w:color w:val="000000" w:themeColor="text1"/>
        </w:rPr>
        <w:t xml:space="preserve"> for the clinical evaluation</w:t>
      </w:r>
      <w:bookmarkEnd w:id="211"/>
      <w:bookmarkEnd w:id="212"/>
    </w:p>
    <w:p w14:paraId="28142BC6" w14:textId="44A0C6E1"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 literature review that identifies and describes</w:t>
      </w:r>
      <w:r w:rsidR="006501F3" w:rsidRPr="003015CD">
        <w:rPr>
          <w:rFonts w:asciiTheme="majorHAnsi" w:hAnsiTheme="majorHAnsi" w:cstheme="majorHAnsi"/>
          <w:color w:val="000000" w:themeColor="text1"/>
        </w:rPr>
        <w:t xml:space="preserve"> </w:t>
      </w:r>
      <w:r w:rsidR="00C87592" w:rsidRPr="003015CD">
        <w:rPr>
          <w:rFonts w:asciiTheme="majorHAnsi" w:hAnsiTheme="majorHAnsi" w:cstheme="majorHAnsi"/>
          <w:color w:val="000000" w:themeColor="text1"/>
        </w:rPr>
        <w:t>SOTA</w:t>
      </w:r>
      <w:r w:rsidRPr="003015CD">
        <w:rPr>
          <w:rStyle w:val="Appelnotedebasdep"/>
          <w:rFonts w:asciiTheme="majorHAnsi" w:hAnsiTheme="majorHAnsi" w:cstheme="majorHAnsi"/>
          <w:color w:val="000000" w:themeColor="text1"/>
        </w:rPr>
        <w:footnoteReference w:id="99"/>
      </w:r>
      <w:r w:rsidRPr="003015CD">
        <w:rPr>
          <w:rFonts w:asciiTheme="majorHAnsi" w:hAnsiTheme="majorHAnsi" w:cstheme="majorHAnsi"/>
          <w:color w:val="000000" w:themeColor="text1"/>
        </w:rPr>
        <w:t xml:space="preserve"> in medicine should be prepared for the clinical evaluation. The focus of this review should be on</w:t>
      </w:r>
      <w:r w:rsidR="00047BB6" w:rsidRPr="003015CD">
        <w:rPr>
          <w:rFonts w:asciiTheme="majorHAnsi" w:hAnsiTheme="majorHAnsi" w:cstheme="majorHAnsi"/>
          <w:color w:val="000000" w:themeColor="text1"/>
        </w:rPr>
        <w:t>:</w:t>
      </w:r>
    </w:p>
    <w:p w14:paraId="28E00021" w14:textId="77777777" w:rsidR="00FD03E5" w:rsidRPr="003015CD" w:rsidRDefault="00FD03E5" w:rsidP="00081885">
      <w:pPr>
        <w:pStyle w:val="Paragraphedeliste"/>
        <w:numPr>
          <w:ilvl w:val="0"/>
          <w:numId w:val="308"/>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clinical condition(s) and/or medical purpose(s) for which the device under evaluation is intended to be used (the clinical background), and </w:t>
      </w:r>
    </w:p>
    <w:p w14:paraId="3471CA7B" w14:textId="77777777" w:rsidR="00FD03E5" w:rsidRPr="003015CD" w:rsidRDefault="00FD03E5" w:rsidP="00081885">
      <w:pPr>
        <w:pStyle w:val="Paragraphedeliste"/>
        <w:numPr>
          <w:ilvl w:val="0"/>
          <w:numId w:val="308"/>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(ii) the current technical capabilities or medical options that are relevant in this context. </w:t>
      </w:r>
    </w:p>
    <w:p w14:paraId="0C719805" w14:textId="77777777" w:rsidR="00FD03E5" w:rsidRPr="003015CD" w:rsidRDefault="00FD03E5" w:rsidP="00081885">
      <w:pPr>
        <w:ind w:left="60"/>
        <w:jc w:val="both"/>
        <w:rPr>
          <w:rFonts w:asciiTheme="majorHAnsi" w:hAnsiTheme="majorHAnsi" w:cstheme="majorBidi"/>
          <w:color w:val="000000" w:themeColor="text1"/>
        </w:rPr>
      </w:pPr>
      <w:r w:rsidRPr="003015CD">
        <w:rPr>
          <w:rFonts w:asciiTheme="majorHAnsi" w:hAnsiTheme="majorHAnsi" w:cstheme="majorBidi"/>
          <w:color w:val="000000" w:themeColor="text1"/>
        </w:rPr>
        <w:t>The SOTA description should include a comprehensive overview of relevant medical options that address the same intended purpose as the device under evaluation in current clinical practice. This includes (non-exhaustive list) conservative management, non-surgical options (e.g., physical therapy, physiotherapy, pharmaceuticals), and interventional options (e.g., interventional radiology etc.), as well as the absence of any available medical option. In addition, combinations of several therapies, treatments, diagnostic devices, procedures and technologies may be relevant. A specification of parameters that are used in the current clinical practice to evaluate, qualitatively and quantitatively, the safety and performance of the available medical options</w:t>
      </w:r>
      <w:r w:rsidRPr="003015CD" w:rsidDel="0060287F">
        <w:rPr>
          <w:rFonts w:asciiTheme="majorHAnsi" w:hAnsiTheme="majorHAnsi" w:cstheme="majorBidi"/>
          <w:color w:val="000000" w:themeColor="text1"/>
        </w:rPr>
        <w:t xml:space="preserve"> </w:t>
      </w:r>
      <w:r w:rsidRPr="003015CD">
        <w:rPr>
          <w:rFonts w:asciiTheme="majorHAnsi" w:hAnsiTheme="majorHAnsi" w:cstheme="majorBidi"/>
          <w:color w:val="000000" w:themeColor="text1"/>
        </w:rPr>
        <w:t>should be included in the SOTA description. These parameters shall be used in the clinical evaluation to determine the acceptability of the benefit-risk ratio for the various indications and for the intended purpose or purposes of the device under evaluation</w:t>
      </w:r>
      <w:r w:rsidRPr="003015CD">
        <w:rPr>
          <w:rStyle w:val="Appelnotedebasdep"/>
          <w:rFonts w:asciiTheme="majorHAnsi" w:hAnsiTheme="majorHAnsi" w:cstheme="majorHAnsi"/>
          <w:color w:val="000000" w:themeColor="text1"/>
        </w:rPr>
        <w:footnoteReference w:id="100"/>
      </w:r>
      <w:r w:rsidRPr="003015CD">
        <w:rPr>
          <w:rFonts w:asciiTheme="majorHAnsi" w:hAnsiTheme="majorHAnsi" w:cstheme="majorBidi"/>
          <w:color w:val="000000" w:themeColor="text1"/>
        </w:rPr>
        <w:t xml:space="preserve">. </w:t>
      </w:r>
    </w:p>
    <w:p w14:paraId="7CE1A84B"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There is no single database or registry that defines what is considered SOTA in medicine. It is important to acknowledge that although in some scenarios there may be “a gold standard” that is well agreed among the international clinical community, SOTA in most cases would consist of multiple alternative options. In addition, what is considered SOTA may be subject to regional or contextual differences, which needs to be considered. </w:t>
      </w:r>
    </w:p>
    <w:p w14:paraId="78023316" w14:textId="0E15BE1F" w:rsidR="00FD03E5" w:rsidRPr="003015CD" w:rsidRDefault="00FD03E5" w:rsidP="00081885">
      <w:pPr>
        <w:spacing w:after="0"/>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Establishing and describing SOTA is central to the clinical evaluation, and it is used as a reference throughout the clinical evaluation. Clinical evaluators (and in general, manufacturers, developers) must have a strong understanding of the SOTA relating to the device under evaluation. </w:t>
      </w:r>
    </w:p>
    <w:p w14:paraId="076EDE4A" w14:textId="77777777" w:rsidR="00FD03E5" w:rsidRPr="003015CD" w:rsidRDefault="00FD03E5" w:rsidP="00081885">
      <w:pPr>
        <w:spacing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Note that results from SOTA literature review does not meet the definition of clinical data. </w:t>
      </w:r>
    </w:p>
    <w:p w14:paraId="3B23B134" w14:textId="77777777" w:rsidR="003F6DC1" w:rsidRPr="003015CD" w:rsidRDefault="003F6DC1" w:rsidP="00081885">
      <w:pPr>
        <w:spacing w:after="0"/>
        <w:jc w:val="both"/>
        <w:rPr>
          <w:rFonts w:asciiTheme="majorHAnsi" w:hAnsiTheme="majorHAnsi" w:cstheme="majorHAnsi"/>
          <w:color w:val="000000" w:themeColor="text1"/>
        </w:rPr>
      </w:pPr>
    </w:p>
    <w:p w14:paraId="435263C5" w14:textId="27DB4CF0" w:rsidR="00FD03E5" w:rsidRPr="003015CD" w:rsidRDefault="00D1093B" w:rsidP="00D02D7F">
      <w:pPr>
        <w:pStyle w:val="Titre2"/>
        <w:numPr>
          <w:ilvl w:val="0"/>
          <w:numId w:val="0"/>
        </w:numPr>
        <w:jc w:val="both"/>
        <w:rPr>
          <w:rFonts w:asciiTheme="majorHAnsi" w:hAnsiTheme="majorHAnsi" w:cstheme="majorHAnsi"/>
          <w:color w:val="000000" w:themeColor="text1"/>
        </w:rPr>
      </w:pPr>
      <w:bookmarkStart w:id="217" w:name="_Toc158730989"/>
      <w:bookmarkStart w:id="218" w:name="_Toc236912929"/>
      <w:bookmarkStart w:id="219" w:name="_Toc153173208"/>
      <w:r w:rsidRPr="003015CD">
        <w:rPr>
          <w:rFonts w:asciiTheme="majorHAnsi" w:hAnsiTheme="majorHAnsi" w:cstheme="majorHAnsi"/>
          <w:color w:val="000000" w:themeColor="text1"/>
        </w:rPr>
        <w:t xml:space="preserve">A1.1 </w:t>
      </w:r>
      <w:r w:rsidR="00FD03E5" w:rsidRPr="003015CD">
        <w:rPr>
          <w:rFonts w:asciiTheme="majorHAnsi" w:hAnsiTheme="majorHAnsi" w:cstheme="majorHAnsi"/>
          <w:color w:val="000000" w:themeColor="text1"/>
        </w:rPr>
        <w:t>When to identify S</w:t>
      </w:r>
      <w:bookmarkEnd w:id="217"/>
      <w:r w:rsidR="00DC0CAB" w:rsidRPr="003015CD">
        <w:rPr>
          <w:rFonts w:asciiTheme="majorHAnsi" w:hAnsiTheme="majorHAnsi" w:cstheme="majorHAnsi"/>
          <w:color w:val="000000" w:themeColor="text1"/>
        </w:rPr>
        <w:t>tate of the Art</w:t>
      </w:r>
      <w:bookmarkEnd w:id="218"/>
      <w:r w:rsidR="00DC0CAB" w:rsidRPr="003015CD">
        <w:rPr>
          <w:rFonts w:asciiTheme="majorHAnsi" w:hAnsiTheme="majorHAnsi" w:cstheme="majorHAnsi"/>
          <w:color w:val="000000" w:themeColor="text1"/>
        </w:rPr>
        <w:t xml:space="preserve"> </w:t>
      </w:r>
    </w:p>
    <w:p w14:paraId="4ACA60D2" w14:textId="1078A3E9"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evaluation is typically initiated during device development. Considering the importance of SOTA in the development process, the work to identify and describe it should also be initiated early during product development. SOTA is, however, dynamic, and may change with development of new technologies but also as new information emerges regarding the natural course of the medical condition (if any) that is managed/diagnosed. SOTA revision should be considered when updating the clinical evaluation (see section 14) to ensure that any relevant changes are reflected in the documentation.</w:t>
      </w:r>
      <w:bookmarkEnd w:id="219"/>
    </w:p>
    <w:p w14:paraId="3DB42884" w14:textId="77777777" w:rsidR="003F6DC1" w:rsidRPr="003015CD" w:rsidRDefault="003F6DC1" w:rsidP="00081885">
      <w:pPr>
        <w:jc w:val="both"/>
        <w:rPr>
          <w:rFonts w:asciiTheme="majorHAnsi" w:hAnsiTheme="majorHAnsi" w:cstheme="majorHAnsi"/>
          <w:color w:val="000000" w:themeColor="text1"/>
        </w:rPr>
      </w:pPr>
    </w:p>
    <w:p w14:paraId="50F1337A" w14:textId="57741576" w:rsidR="00FD03E5" w:rsidRPr="003015CD" w:rsidRDefault="007F21FE" w:rsidP="00D02D7F">
      <w:pPr>
        <w:pStyle w:val="Titre2"/>
        <w:numPr>
          <w:ilvl w:val="0"/>
          <w:numId w:val="0"/>
        </w:numPr>
        <w:jc w:val="both"/>
        <w:rPr>
          <w:rFonts w:asciiTheme="majorHAnsi" w:hAnsiTheme="majorHAnsi" w:cstheme="majorHAnsi"/>
          <w:color w:val="000000" w:themeColor="text1"/>
        </w:rPr>
      </w:pPr>
      <w:bookmarkStart w:id="220" w:name="_Toc236912930"/>
      <w:r w:rsidRPr="003015CD">
        <w:rPr>
          <w:rFonts w:asciiTheme="majorHAnsi" w:hAnsiTheme="majorHAnsi" w:cstheme="majorHAnsi"/>
          <w:color w:val="000000" w:themeColor="text1"/>
        </w:rPr>
        <w:t xml:space="preserve">A1.2 </w:t>
      </w:r>
      <w:r w:rsidR="00FD03E5" w:rsidRPr="003015CD">
        <w:rPr>
          <w:rFonts w:asciiTheme="majorHAnsi" w:hAnsiTheme="majorHAnsi" w:cstheme="majorHAnsi"/>
          <w:color w:val="000000" w:themeColor="text1"/>
        </w:rPr>
        <w:t>Identification of data and information (literature searches)</w:t>
      </w:r>
      <w:bookmarkEnd w:id="220"/>
    </w:p>
    <w:p w14:paraId="5050AB55" w14:textId="1C3AF667" w:rsidR="00FD03E5" w:rsidRPr="003015CD" w:rsidRDefault="00FD03E5" w:rsidP="00081885">
      <w:pPr>
        <w:jc w:val="both"/>
        <w:rPr>
          <w:rFonts w:asciiTheme="majorHAnsi" w:hAnsiTheme="majorHAnsi" w:cstheme="majorHAnsi"/>
          <w:color w:val="000000" w:themeColor="text1"/>
          <w:shd w:val="clear" w:color="auto" w:fill="EEECE1" w:themeFill="background2"/>
        </w:rPr>
      </w:pPr>
      <w:r w:rsidRPr="003015CD">
        <w:rPr>
          <w:rFonts w:asciiTheme="majorHAnsi" w:hAnsiTheme="majorHAnsi" w:cstheme="majorHAnsi"/>
          <w:color w:val="000000" w:themeColor="text1"/>
        </w:rPr>
        <w:t xml:space="preserve">Relevant data and information for the SOTA description could come from several different sources, such as academic databases, government and organisations websites and include (list not exhaustive) systematic reviews, meta-analyses, clinical practice guidelines, consensus statements and recommendations speciality medical societies, </w:t>
      </w:r>
      <w:r w:rsidR="00F50609" w:rsidRPr="003015CD">
        <w:rPr>
          <w:rFonts w:asciiTheme="majorHAnsi" w:hAnsiTheme="majorHAnsi" w:cstheme="majorHAnsi"/>
          <w:color w:val="000000" w:themeColor="text1"/>
        </w:rPr>
        <w:t xml:space="preserve">international </w:t>
      </w:r>
      <w:r w:rsidRPr="003015CD">
        <w:rPr>
          <w:rFonts w:asciiTheme="majorHAnsi" w:hAnsiTheme="majorHAnsi" w:cstheme="majorHAnsi"/>
          <w:color w:val="000000" w:themeColor="text1"/>
        </w:rPr>
        <w:t xml:space="preserve">standards, and Health technology assessment (HTA) reports. Literature searches are likely to need a broad scope, and several different searches would typically need to be conducted. Screening citations in other documents, such as guidelines, represents another important approach to identifying relevant data. </w:t>
      </w:r>
    </w:p>
    <w:p w14:paraId="41C9B7D1" w14:textId="7FEB2D05" w:rsidR="00FD03E5" w:rsidRPr="003015CD" w:rsidRDefault="00FD03E5" w:rsidP="00081885">
      <w:pPr>
        <w:spacing w:line="259" w:lineRule="auto"/>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In a similar manner to </w:t>
      </w:r>
      <w:r w:rsidR="005B3DCC" w:rsidRPr="003015CD">
        <w:rPr>
          <w:rFonts w:asciiTheme="majorHAnsi" w:hAnsiTheme="majorHAnsi" w:cstheme="majorBidi"/>
          <w:color w:val="000000" w:themeColor="text1"/>
        </w:rPr>
        <w:t xml:space="preserve">the documentation of </w:t>
      </w:r>
      <w:r w:rsidRPr="003015CD">
        <w:rPr>
          <w:rFonts w:asciiTheme="majorHAnsi" w:hAnsiTheme="majorHAnsi" w:cstheme="majorBidi"/>
          <w:color w:val="000000" w:themeColor="text1"/>
        </w:rPr>
        <w:t>the literature search for clinical data (see section 8), a specific SOTA literature search protocol that specifies the scope, objective and methods for identification, selection, and collection of the relevant information should be compiled. The timeframe selected in the literature search protocol should be clearly justified. Search results should be documented in a SOTA literature search report, including sources used, search questions, search terms, and applied selection criteria, quality control measures, results, number and type of literature found to be relevant. For more information about search procedures, see section</w:t>
      </w:r>
      <w:r w:rsidR="008D30B1" w:rsidRPr="003015CD">
        <w:rPr>
          <w:rFonts w:asciiTheme="majorHAnsi" w:hAnsiTheme="majorHAnsi" w:cstheme="majorBidi"/>
          <w:color w:val="000000" w:themeColor="text1"/>
        </w:rPr>
        <w:t xml:space="preserve"> Appendix</w:t>
      </w:r>
      <w:r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_Ref167459476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A6</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 which, although focusing on clinical data, contains some generally applicable considerations.</w:t>
      </w:r>
    </w:p>
    <w:p w14:paraId="729DA1E4" w14:textId="77777777" w:rsidR="00FD03E5" w:rsidRPr="003015CD" w:rsidRDefault="00FD03E5" w:rsidP="00081885">
      <w:pPr>
        <w:jc w:val="both"/>
      </w:pPr>
    </w:p>
    <w:p w14:paraId="2458A748" w14:textId="43F018FC" w:rsidR="00FD03E5" w:rsidRPr="003015CD" w:rsidRDefault="007F21FE" w:rsidP="009C47CE">
      <w:pPr>
        <w:pStyle w:val="Titre2"/>
        <w:numPr>
          <w:ilvl w:val="0"/>
          <w:numId w:val="0"/>
        </w:numPr>
        <w:jc w:val="both"/>
        <w:rPr>
          <w:rFonts w:asciiTheme="majorHAnsi" w:hAnsiTheme="majorHAnsi" w:cstheme="majorHAnsi"/>
          <w:color w:val="000000" w:themeColor="text1"/>
        </w:rPr>
      </w:pPr>
      <w:bookmarkStart w:id="221" w:name="_Toc236912931"/>
      <w:r w:rsidRPr="003015CD">
        <w:rPr>
          <w:rFonts w:asciiTheme="majorHAnsi" w:hAnsiTheme="majorHAnsi" w:cstheme="majorHAnsi"/>
          <w:color w:val="000000" w:themeColor="text1"/>
        </w:rPr>
        <w:t xml:space="preserve">A1.3 </w:t>
      </w:r>
      <w:r w:rsidR="00FD03E5" w:rsidRPr="003015CD">
        <w:rPr>
          <w:rFonts w:asciiTheme="majorHAnsi" w:hAnsiTheme="majorHAnsi" w:cstheme="majorHAnsi"/>
          <w:color w:val="000000" w:themeColor="text1"/>
        </w:rPr>
        <w:t>Documenting</w:t>
      </w:r>
      <w:bookmarkEnd w:id="221"/>
      <w:r w:rsidR="00FD03E5" w:rsidRPr="003015CD">
        <w:rPr>
          <w:rFonts w:asciiTheme="majorHAnsi" w:hAnsiTheme="majorHAnsi" w:cstheme="majorHAnsi"/>
          <w:color w:val="000000" w:themeColor="text1"/>
        </w:rPr>
        <w:t xml:space="preserve"> </w:t>
      </w:r>
    </w:p>
    <w:p w14:paraId="78164DF1" w14:textId="504A523C" w:rsidR="00FD03E5" w:rsidRPr="003015CD" w:rsidRDefault="00FD03E5" w:rsidP="00081885">
      <w:pPr>
        <w:spacing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The work to identify SOTA should be documented separately from the literature review on the</w:t>
      </w:r>
      <w:r w:rsidR="000A486C" w:rsidRPr="003015CD">
        <w:rPr>
          <w:rFonts w:asciiTheme="majorHAnsi" w:hAnsiTheme="majorHAnsi" w:cstheme="majorHAnsi"/>
          <w:color w:val="000000" w:themeColor="text1"/>
        </w:rPr>
        <w:t xml:space="preserve"> clinical data of the device under evaluation</w:t>
      </w:r>
      <w:r w:rsidRPr="003015CD">
        <w:rPr>
          <w:rFonts w:asciiTheme="majorHAnsi" w:hAnsiTheme="majorHAnsi" w:cstheme="majorHAnsi"/>
          <w:color w:val="000000" w:themeColor="text1"/>
        </w:rPr>
        <w:t xml:space="preserve"> or equivalent device. The SOTA literature search protocol and report, and the SOTA description should be documented in dedicated documents or sections of the CEP or of the CER. If in separate documents, they should be clearly referenced in the CEP and CER. </w:t>
      </w:r>
    </w:p>
    <w:p w14:paraId="0AB9201F" w14:textId="77777777" w:rsidR="00FD03E5" w:rsidRPr="003015CD" w:rsidRDefault="00FD03E5" w:rsidP="00081885">
      <w:pPr>
        <w:spacing w:after="0"/>
        <w:jc w:val="both"/>
        <w:rPr>
          <w:rFonts w:asciiTheme="majorHAnsi" w:hAnsiTheme="majorHAnsi" w:cstheme="majorBidi"/>
          <w:color w:val="000000" w:themeColor="text1"/>
          <w:shd w:val="clear" w:color="auto" w:fill="EEECE1" w:themeFill="background2"/>
        </w:rPr>
      </w:pPr>
      <w:r w:rsidRPr="003015CD">
        <w:rPr>
          <w:rFonts w:asciiTheme="majorHAnsi" w:hAnsiTheme="majorHAnsi" w:cstheme="majorBidi"/>
          <w:color w:val="000000" w:themeColor="text1"/>
        </w:rPr>
        <w:t>The content of the SOTA description should cover the following:</w:t>
      </w:r>
      <w:r w:rsidRPr="003015CD">
        <w:rPr>
          <w:rFonts w:asciiTheme="majorHAnsi" w:hAnsiTheme="majorHAnsi" w:cstheme="majorBidi"/>
          <w:color w:val="000000" w:themeColor="text1"/>
          <w:shd w:val="clear" w:color="auto" w:fill="EEECE1" w:themeFill="background2"/>
        </w:rPr>
        <w:t xml:space="preserve"> </w:t>
      </w:r>
    </w:p>
    <w:p w14:paraId="7B120B9E" w14:textId="3D4C2F2B" w:rsidR="00FD03E5" w:rsidRPr="003015CD" w:rsidRDefault="00FD03E5" w:rsidP="00081885">
      <w:pPr>
        <w:pStyle w:val="Paragraphedeliste"/>
        <w:numPr>
          <w:ilvl w:val="0"/>
          <w:numId w:val="89"/>
        </w:numPr>
        <w:spacing w:before="0" w:after="160" w:line="259" w:lineRule="auto"/>
        <w:ind w:left="1429"/>
        <w:jc w:val="both"/>
        <w:rPr>
          <w:rFonts w:asciiTheme="majorHAnsi" w:hAnsiTheme="majorHAnsi" w:cstheme="majorHAnsi"/>
          <w:color w:val="000000" w:themeColor="text1"/>
        </w:rPr>
      </w:pPr>
      <w:r w:rsidRPr="003015CD">
        <w:rPr>
          <w:rFonts w:asciiTheme="majorHAnsi" w:hAnsiTheme="majorHAnsi" w:cstheme="majorHAnsi"/>
          <w:color w:val="000000" w:themeColor="text1"/>
        </w:rPr>
        <w:t>brief summary of the literature search strategy and search results</w:t>
      </w:r>
    </w:p>
    <w:p w14:paraId="7E549BBD" w14:textId="00071CF8" w:rsidR="00FD03E5" w:rsidRPr="003015CD" w:rsidRDefault="00FD03E5" w:rsidP="00081885">
      <w:pPr>
        <w:pStyle w:val="Paragraphedeliste"/>
        <w:numPr>
          <w:ilvl w:val="0"/>
          <w:numId w:val="89"/>
        </w:numPr>
        <w:spacing w:before="0" w:after="160" w:line="259" w:lineRule="auto"/>
        <w:ind w:left="1429"/>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natural course and consequences of the medical conditions concerned</w:t>
      </w:r>
      <w:r w:rsidR="00504E31" w:rsidRPr="003015CD">
        <w:rPr>
          <w:rFonts w:asciiTheme="majorHAnsi" w:hAnsiTheme="majorHAnsi" w:cstheme="majorHAnsi"/>
          <w:color w:val="000000" w:themeColor="text1"/>
        </w:rPr>
        <w:t xml:space="preserve"> including the </w:t>
      </w:r>
      <w:r w:rsidRPr="003015CD">
        <w:rPr>
          <w:rFonts w:asciiTheme="majorHAnsi" w:hAnsiTheme="majorHAnsi" w:cstheme="majorHAnsi"/>
          <w:color w:val="000000" w:themeColor="text1"/>
        </w:rPr>
        <w:t>different clinical forms, stages and severities of the conditions</w:t>
      </w:r>
      <w:r w:rsidR="00504E31" w:rsidRPr="003015CD">
        <w:rPr>
          <w:rFonts w:asciiTheme="majorHAnsi" w:hAnsiTheme="majorHAnsi" w:cstheme="majorHAnsi"/>
          <w:color w:val="000000" w:themeColor="text1"/>
        </w:rPr>
        <w:t xml:space="preserve"> if appropriate</w:t>
      </w:r>
      <w:r w:rsidRPr="003015CD">
        <w:rPr>
          <w:rFonts w:asciiTheme="majorHAnsi" w:hAnsiTheme="majorHAnsi" w:cstheme="majorHAnsi"/>
          <w:color w:val="000000" w:themeColor="text1"/>
        </w:rPr>
        <w:t>. If applicable, frequency (incidence/prevalence) in the general population, by age group, gender, ethnicity, familiar predispositions</w:t>
      </w:r>
      <w:r w:rsidR="009D61DE" w:rsidRPr="003015CD">
        <w:rPr>
          <w:rFonts w:asciiTheme="majorHAnsi" w:hAnsiTheme="majorHAnsi" w:cstheme="majorHAnsi"/>
          <w:color w:val="000000" w:themeColor="text1"/>
        </w:rPr>
        <w:t xml:space="preserve"> and</w:t>
      </w:r>
      <w:r w:rsidRPr="003015CD">
        <w:rPr>
          <w:rFonts w:asciiTheme="majorHAnsi" w:hAnsiTheme="majorHAnsi" w:cstheme="majorHAnsi"/>
          <w:color w:val="000000" w:themeColor="text1"/>
        </w:rPr>
        <w:t xml:space="preserve"> genetic aspects</w:t>
      </w:r>
      <w:r w:rsidR="009D61DE" w:rsidRPr="003015CD">
        <w:rPr>
          <w:rFonts w:asciiTheme="majorHAnsi" w:hAnsiTheme="majorHAnsi" w:cstheme="majorHAnsi"/>
          <w:color w:val="000000" w:themeColor="text1"/>
        </w:rPr>
        <w:t xml:space="preserve"> should be considered</w:t>
      </w:r>
      <w:r w:rsidRPr="003015CD">
        <w:rPr>
          <w:rFonts w:asciiTheme="majorHAnsi" w:hAnsiTheme="majorHAnsi" w:cstheme="majorHAnsi"/>
          <w:color w:val="000000" w:themeColor="text1"/>
        </w:rPr>
        <w:t>. The relation of these aspects to the intended purpose of the device under evaluation should also be described</w:t>
      </w:r>
    </w:p>
    <w:p w14:paraId="0EE79EDE" w14:textId="04FD9700" w:rsidR="00FD03E5" w:rsidRPr="003015CD" w:rsidRDefault="00FD03E5" w:rsidP="00081885">
      <w:pPr>
        <w:pStyle w:val="Paragraphedeliste"/>
        <w:numPr>
          <w:ilvl w:val="0"/>
          <w:numId w:val="89"/>
        </w:numPr>
        <w:spacing w:before="0" w:after="160" w:line="259" w:lineRule="auto"/>
        <w:ind w:left="1429"/>
        <w:jc w:val="both"/>
        <w:rPr>
          <w:rFonts w:asciiTheme="majorHAnsi" w:hAnsiTheme="majorHAnsi" w:cstheme="majorHAnsi"/>
          <w:color w:val="000000" w:themeColor="text1"/>
        </w:rPr>
      </w:pPr>
      <w:r w:rsidRPr="003015CD">
        <w:rPr>
          <w:rFonts w:asciiTheme="majorHAnsi" w:hAnsiTheme="majorHAnsi" w:cstheme="majorHAnsi"/>
          <w:color w:val="000000" w:themeColor="text1"/>
        </w:rPr>
        <w:t>historical context and developments in the field, if relevant</w:t>
      </w:r>
    </w:p>
    <w:p w14:paraId="66C67234" w14:textId="49A8837B" w:rsidR="00FD03E5" w:rsidRPr="003015CD" w:rsidRDefault="00FD03E5" w:rsidP="00081885">
      <w:pPr>
        <w:pStyle w:val="Paragraphedeliste"/>
        <w:numPr>
          <w:ilvl w:val="0"/>
          <w:numId w:val="89"/>
        </w:numPr>
        <w:spacing w:before="0" w:after="160" w:line="259" w:lineRule="auto"/>
        <w:ind w:left="1429"/>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applicable </w:t>
      </w:r>
      <w:r w:rsidR="00EF3089" w:rsidRPr="003015CD">
        <w:rPr>
          <w:rFonts w:asciiTheme="majorHAnsi" w:hAnsiTheme="majorHAnsi" w:cstheme="majorHAnsi"/>
          <w:color w:val="000000" w:themeColor="text1"/>
        </w:rPr>
        <w:t>c</w:t>
      </w:r>
      <w:r w:rsidRPr="003015CD">
        <w:rPr>
          <w:rFonts w:asciiTheme="majorHAnsi" w:hAnsiTheme="majorHAnsi" w:cstheme="majorHAnsi"/>
          <w:color w:val="000000" w:themeColor="text1"/>
        </w:rPr>
        <w:t xml:space="preserve">ommon </w:t>
      </w:r>
      <w:r w:rsidR="00EF3089" w:rsidRPr="003015CD">
        <w:rPr>
          <w:rFonts w:asciiTheme="majorHAnsi" w:hAnsiTheme="majorHAnsi" w:cstheme="majorHAnsi"/>
          <w:color w:val="000000" w:themeColor="text1"/>
        </w:rPr>
        <w:t>s</w:t>
      </w:r>
      <w:r w:rsidRPr="003015CD">
        <w:rPr>
          <w:rFonts w:asciiTheme="majorHAnsi" w:hAnsiTheme="majorHAnsi" w:cstheme="majorHAnsi"/>
          <w:color w:val="000000" w:themeColor="text1"/>
        </w:rPr>
        <w:t>pecifications, standards and guidance documents, including medical society guidelines,</w:t>
      </w:r>
      <w:r w:rsidR="00EF3089" w:rsidRPr="003015CD">
        <w:rPr>
          <w:rFonts w:asciiTheme="majorHAnsi" w:hAnsiTheme="majorHAnsi" w:cstheme="majorHAnsi"/>
          <w:color w:val="000000" w:themeColor="text1"/>
        </w:rPr>
        <w:t xml:space="preserve"> that are</w:t>
      </w:r>
      <w:r w:rsidRPr="003015CD">
        <w:rPr>
          <w:rFonts w:asciiTheme="majorHAnsi" w:hAnsiTheme="majorHAnsi" w:cstheme="majorHAnsi"/>
          <w:color w:val="000000" w:themeColor="text1"/>
        </w:rPr>
        <w:t xml:space="preserve"> relevant for the clinical evaluation</w:t>
      </w:r>
      <w:r w:rsidRPr="003015CD" w:rsidDel="00CE3455">
        <w:rPr>
          <w:rFonts w:asciiTheme="majorHAnsi" w:hAnsiTheme="majorHAnsi" w:cstheme="majorHAnsi"/>
          <w:color w:val="000000" w:themeColor="text1"/>
        </w:rPr>
        <w:t xml:space="preserve"> </w:t>
      </w:r>
    </w:p>
    <w:p w14:paraId="661820A3" w14:textId="1BE44E48" w:rsidR="00FD03E5" w:rsidRPr="003015CD" w:rsidRDefault="00FD03E5" w:rsidP="00081885">
      <w:pPr>
        <w:pStyle w:val="Paragraphedeliste"/>
        <w:numPr>
          <w:ilvl w:val="0"/>
          <w:numId w:val="89"/>
        </w:numPr>
        <w:spacing w:before="0" w:after="160" w:line="259" w:lineRule="auto"/>
        <w:ind w:left="1429"/>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identified alternative medical options (e.g., available therapeutic, management, diagnostic options)</w:t>
      </w:r>
      <w:r w:rsidR="003F6DC1" w:rsidRPr="003015CD">
        <w:rPr>
          <w:rFonts w:asciiTheme="majorHAnsi" w:hAnsiTheme="majorHAnsi" w:cstheme="majorHAnsi"/>
          <w:color w:val="000000" w:themeColor="text1"/>
        </w:rPr>
        <w:t>:</w:t>
      </w:r>
    </w:p>
    <w:p w14:paraId="46A8EEB2" w14:textId="2019C2B0" w:rsidR="00FD03E5" w:rsidRPr="003015CD" w:rsidRDefault="00FD03E5" w:rsidP="00081885">
      <w:pPr>
        <w:pStyle w:val="Paragraphedeliste"/>
        <w:numPr>
          <w:ilvl w:val="0"/>
          <w:numId w:val="309"/>
        </w:numPr>
        <w:spacing w:before="0" w:after="160" w:line="259"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summary of advantages and disadvantages of the different medical options </w:t>
      </w:r>
    </w:p>
    <w:p w14:paraId="1C877DB7" w14:textId="27B5D726" w:rsidR="00FD03E5" w:rsidRPr="003015CD" w:rsidRDefault="00FD03E5" w:rsidP="00081885">
      <w:pPr>
        <w:pStyle w:val="Paragraphedeliste"/>
        <w:numPr>
          <w:ilvl w:val="0"/>
          <w:numId w:val="309"/>
        </w:numPr>
        <w:spacing w:before="0" w:after="160" w:line="259"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the expected benefits and risks (nature, extent, probability, duration, frequency)</w:t>
      </w:r>
    </w:p>
    <w:p w14:paraId="14EEA38F" w14:textId="2CF3CD9E" w:rsidR="00FD03E5" w:rsidRPr="003015CD" w:rsidRDefault="00FD03E5" w:rsidP="00081885">
      <w:pPr>
        <w:pStyle w:val="Paragraphedeliste"/>
        <w:numPr>
          <w:ilvl w:val="0"/>
          <w:numId w:val="309"/>
        </w:numPr>
        <w:spacing w:before="0" w:after="160" w:line="259"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undesirable side-effects and other risks (including the nature, severity, probability and duration of acceptable harm)</w:t>
      </w:r>
    </w:p>
    <w:p w14:paraId="7EF5E97F" w14:textId="655AD1A4" w:rsidR="00C71C00" w:rsidRPr="003015CD" w:rsidRDefault="00FD03E5" w:rsidP="00081885">
      <w:pPr>
        <w:pStyle w:val="Paragraphedeliste"/>
        <w:numPr>
          <w:ilvl w:val="0"/>
          <w:numId w:val="309"/>
        </w:numPr>
        <w:spacing w:before="0" w:after="160" w:line="259"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potential hazards (e.g., resulting from technologies, substances, manufacturing procedures, and impurity profiles) and approaches to minimize such risks </w:t>
      </w:r>
    </w:p>
    <w:p w14:paraId="220562C4" w14:textId="1F175727" w:rsidR="00FD03E5" w:rsidRPr="003015CD" w:rsidRDefault="00C71C00" w:rsidP="00FE3690">
      <w:pPr>
        <w:pStyle w:val="Paragraphedeliste"/>
        <w:numPr>
          <w:ilvl w:val="0"/>
          <w:numId w:val="309"/>
        </w:numPr>
        <w:rPr>
          <w:rFonts w:asciiTheme="majorHAnsi" w:hAnsiTheme="majorHAnsi" w:cstheme="majorHAnsi"/>
          <w:color w:val="000000" w:themeColor="text1"/>
        </w:rPr>
      </w:pPr>
      <w:r w:rsidRPr="003015CD">
        <w:rPr>
          <w:rFonts w:asciiTheme="majorHAnsi" w:hAnsiTheme="majorHAnsi" w:cstheme="majorHAnsi"/>
          <w:color w:val="000000" w:themeColor="text1"/>
        </w:rPr>
        <w:t>benefit-risk profiles and limitations of these options in relation to the different clinical forms, stages, and severities of the medical conditions and in relation to different target populations</w:t>
      </w:r>
    </w:p>
    <w:p w14:paraId="43AACD6C" w14:textId="77777777" w:rsidR="00FD03E5" w:rsidRPr="003015CD" w:rsidRDefault="00FD03E5" w:rsidP="00081885">
      <w:pPr>
        <w:pStyle w:val="Paragraphedeliste"/>
        <w:numPr>
          <w:ilvl w:val="0"/>
          <w:numId w:val="309"/>
        </w:numPr>
        <w:spacing w:before="0" w:after="160" w:line="259"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diverging opinions of healthcare professionals as to the use of the different medical options, if applicable </w:t>
      </w:r>
    </w:p>
    <w:p w14:paraId="0A97885F" w14:textId="5D951905" w:rsidR="00FD03E5" w:rsidRPr="003015CD" w:rsidRDefault="00FD03E5" w:rsidP="00081885">
      <w:pPr>
        <w:pStyle w:val="Paragraphedeliste"/>
        <w:numPr>
          <w:ilvl w:val="0"/>
          <w:numId w:val="309"/>
        </w:numPr>
        <w:spacing w:before="0" w:after="160" w:line="259" w:lineRule="auto"/>
        <w:jc w:val="both"/>
        <w:rPr>
          <w:rFonts w:asciiTheme="majorHAnsi" w:hAnsiTheme="majorHAnsi" w:cstheme="majorHAnsi"/>
          <w:color w:val="000000" w:themeColor="text1"/>
        </w:rPr>
      </w:pPr>
      <w:r w:rsidRPr="003015CD">
        <w:rPr>
          <w:rFonts w:asciiTheme="majorHAnsi" w:hAnsiTheme="majorHAnsi" w:cstheme="majorHAnsi"/>
          <w:color w:val="000000" w:themeColor="text1"/>
        </w:rPr>
        <w:t>types of users</w:t>
      </w:r>
      <w:r w:rsidR="003F6DC1" w:rsidRPr="003015CD">
        <w:rPr>
          <w:rFonts w:asciiTheme="majorHAnsi" w:hAnsiTheme="majorHAnsi" w:cstheme="majorHAnsi"/>
          <w:color w:val="000000" w:themeColor="text1"/>
        </w:rPr>
        <w:t>.</w:t>
      </w:r>
    </w:p>
    <w:p w14:paraId="725759B5" w14:textId="77777777" w:rsidR="00FD03E5" w:rsidRPr="003015CD" w:rsidRDefault="00FD03E5" w:rsidP="00081885">
      <w:pPr>
        <w:pStyle w:val="Paragraphedeliste"/>
        <w:numPr>
          <w:ilvl w:val="0"/>
          <w:numId w:val="89"/>
        </w:numPr>
        <w:spacing w:before="0" w:after="160" w:line="259" w:lineRule="auto"/>
        <w:ind w:left="1429"/>
        <w:jc w:val="both"/>
        <w:rPr>
          <w:rFonts w:asciiTheme="majorHAnsi" w:hAnsiTheme="majorHAnsi" w:cstheme="majorHAnsi"/>
          <w:color w:val="000000" w:themeColor="text1"/>
        </w:rPr>
      </w:pPr>
      <w:r w:rsidRPr="003015CD">
        <w:rPr>
          <w:rFonts w:asciiTheme="majorHAnsi" w:hAnsiTheme="majorHAnsi" w:cstheme="majorHAnsi"/>
          <w:color w:val="000000" w:themeColor="text1"/>
        </w:rPr>
        <w:t>an indicative list of parameters that will be used to determine the acceptability of the benefit-risk ratio for the device under evaluation. This list should be based on the information collected through the SOTA literature review.</w:t>
      </w:r>
    </w:p>
    <w:p w14:paraId="1C19739C" w14:textId="77777777" w:rsidR="00FD03E5" w:rsidRPr="003015CD" w:rsidRDefault="00FD03E5" w:rsidP="00081885">
      <w:pPr>
        <w:jc w:val="both"/>
        <w:rPr>
          <w:rFonts w:asciiTheme="majorHAnsi" w:hAnsiTheme="majorHAnsi" w:cstheme="majorHAnsi"/>
          <w:color w:val="000000" w:themeColor="text1"/>
        </w:rPr>
      </w:pPr>
    </w:p>
    <w:p w14:paraId="14DEC0BE" w14:textId="77777777" w:rsidR="007B01C2" w:rsidRPr="003015CD" w:rsidRDefault="007B01C2" w:rsidP="00081885">
      <w:pPr>
        <w:jc w:val="both"/>
        <w:rPr>
          <w:rFonts w:asciiTheme="majorHAnsi" w:hAnsiTheme="majorHAnsi" w:cstheme="majorHAnsi"/>
          <w:color w:val="000000" w:themeColor="text1"/>
        </w:rPr>
      </w:pPr>
    </w:p>
    <w:p w14:paraId="4E08F97F" w14:textId="77777777" w:rsidR="007B01C2" w:rsidRPr="003015CD" w:rsidRDefault="007B01C2" w:rsidP="00081885">
      <w:pPr>
        <w:jc w:val="both"/>
        <w:rPr>
          <w:rFonts w:asciiTheme="majorHAnsi" w:hAnsiTheme="majorHAnsi" w:cstheme="majorHAnsi"/>
          <w:color w:val="000000" w:themeColor="text1"/>
        </w:rPr>
      </w:pPr>
    </w:p>
    <w:p w14:paraId="0F26396A" w14:textId="6D6488B0" w:rsidR="00DD7637" w:rsidRPr="003015CD" w:rsidRDefault="00DD7637">
      <w:pPr>
        <w:spacing w:before="0" w:after="0"/>
        <w:rPr>
          <w:rFonts w:asciiTheme="majorHAnsi" w:hAnsiTheme="majorHAnsi" w:cstheme="majorHAnsi"/>
          <w:color w:val="000000" w:themeColor="text1"/>
        </w:rPr>
      </w:pPr>
      <w:r w:rsidRPr="003015CD">
        <w:rPr>
          <w:rFonts w:asciiTheme="majorHAnsi" w:hAnsiTheme="majorHAnsi" w:cstheme="majorHAnsi"/>
          <w:color w:val="000000" w:themeColor="text1"/>
        </w:rPr>
        <w:br w:type="page"/>
      </w:r>
    </w:p>
    <w:p w14:paraId="1774EF15" w14:textId="77777777" w:rsidR="00FD03E5" w:rsidRPr="003015CD" w:rsidRDefault="00FD03E5" w:rsidP="00081885">
      <w:pPr>
        <w:pStyle w:val="App2"/>
        <w:tabs>
          <w:tab w:val="clear" w:pos="567"/>
          <w:tab w:val="clear" w:pos="709"/>
          <w:tab w:val="left" w:pos="284"/>
        </w:tabs>
        <w:ind w:left="426"/>
        <w:jc w:val="both"/>
        <w:rPr>
          <w:rFonts w:asciiTheme="majorHAnsi" w:hAnsiTheme="majorHAnsi" w:cstheme="majorHAnsi"/>
          <w:color w:val="000000" w:themeColor="text1"/>
        </w:rPr>
      </w:pPr>
      <w:bookmarkStart w:id="222" w:name="_Toc446499054"/>
      <w:bookmarkStart w:id="223" w:name="_Ref164257912"/>
      <w:bookmarkStart w:id="224" w:name="_Ref164529750"/>
      <w:bookmarkStart w:id="225" w:name="_Ref164533901"/>
      <w:bookmarkStart w:id="226" w:name="_Ref166607076"/>
      <w:bookmarkStart w:id="227" w:name="_Ref233288598"/>
      <w:bookmarkStart w:id="228" w:name="_Toc236912932"/>
      <w:r w:rsidRPr="003015CD">
        <w:rPr>
          <w:rFonts w:asciiTheme="majorHAnsi" w:hAnsiTheme="majorHAnsi" w:cstheme="majorHAnsi"/>
          <w:color w:val="000000" w:themeColor="text1"/>
        </w:rPr>
        <w:t>Device description - typical contents</w:t>
      </w:r>
      <w:bookmarkEnd w:id="222"/>
      <w:bookmarkEnd w:id="223"/>
      <w:bookmarkEnd w:id="224"/>
      <w:bookmarkEnd w:id="225"/>
      <w:bookmarkEnd w:id="226"/>
      <w:bookmarkEnd w:id="227"/>
      <w:bookmarkEnd w:id="228"/>
    </w:p>
    <w:p w14:paraId="5AE3B2A0" w14:textId="70A54E74" w:rsidR="00FD03E5" w:rsidRPr="003015CD" w:rsidRDefault="00FD03E5" w:rsidP="00081885">
      <w:pPr>
        <w:jc w:val="both"/>
        <w:rPr>
          <w:rFonts w:asciiTheme="majorHAnsi" w:hAnsiTheme="majorHAnsi" w:cstheme="majorHAnsi"/>
          <w:color w:val="000000" w:themeColor="text1"/>
        </w:rPr>
      </w:pPr>
      <w:bookmarkStart w:id="229" w:name="_Hlk225180448"/>
      <w:r w:rsidRPr="003015CD">
        <w:rPr>
          <w:rFonts w:asciiTheme="majorHAnsi" w:hAnsiTheme="majorHAnsi" w:cstheme="majorHAnsi"/>
          <w:color w:val="000000" w:themeColor="text1"/>
        </w:rPr>
        <w:t>The description</w:t>
      </w:r>
      <w:r w:rsidR="00E85BAC" w:rsidRPr="003015CD">
        <w:rPr>
          <w:rFonts w:asciiTheme="majorHAnsi" w:hAnsiTheme="majorHAnsi" w:cstheme="majorHAnsi"/>
          <w:color w:val="000000" w:themeColor="text1"/>
        </w:rPr>
        <w:t xml:space="preserve"> of the device under evaluation</w:t>
      </w:r>
      <w:r w:rsidRPr="003015CD">
        <w:rPr>
          <w:rFonts w:asciiTheme="majorHAnsi" w:hAnsiTheme="majorHAnsi" w:cstheme="majorHAnsi"/>
          <w:color w:val="000000" w:themeColor="text1"/>
        </w:rPr>
        <w:t xml:space="preserve"> should be detailed enough to allow for a valid evaluation of the state of compliance with GSPRs, the retrieval of meaningful literature data and, if applicable, the assessment of equivalence. A non-exhaustive list of typical content to consider, if applicable, is:</w:t>
      </w:r>
    </w:p>
    <w:p w14:paraId="6C48895A" w14:textId="5410A5EB" w:rsidR="00FD03E5" w:rsidRPr="003015CD" w:rsidRDefault="002A3536" w:rsidP="00081885">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n</w:t>
      </w:r>
      <w:r w:rsidR="00FD03E5" w:rsidRPr="003015CD">
        <w:rPr>
          <w:rFonts w:asciiTheme="majorHAnsi" w:hAnsiTheme="majorHAnsi" w:cstheme="majorHAnsi"/>
          <w:color w:val="000000" w:themeColor="text1"/>
        </w:rPr>
        <w:t>ame, trade name and, if available, alternative brand name, the Basic UDI-DI where applicable, models/</w:t>
      </w:r>
      <w:r w:rsidR="00FD03E5" w:rsidRPr="003015CD">
        <w:t xml:space="preserve"> </w:t>
      </w:r>
      <w:r w:rsidR="00FD03E5" w:rsidRPr="003015CD">
        <w:rPr>
          <w:rFonts w:asciiTheme="majorHAnsi" w:hAnsiTheme="majorHAnsi" w:cstheme="majorHAnsi"/>
          <w:color w:val="000000" w:themeColor="text1"/>
        </w:rPr>
        <w:t xml:space="preserve">various configurations/variants, version, sizes, parts/components of the device, including software and accessories </w:t>
      </w:r>
    </w:p>
    <w:p w14:paraId="35CA2ABF" w14:textId="4CDA6441" w:rsidR="00FD03E5" w:rsidRPr="003015CD" w:rsidRDefault="00FD03E5" w:rsidP="00081885">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device risk class and applied classification rules</w:t>
      </w:r>
    </w:p>
    <w:p w14:paraId="27D6AE57" w14:textId="7144E0CF" w:rsidR="00FD03E5" w:rsidRPr="003015CD" w:rsidRDefault="00FD03E5" w:rsidP="00081885">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generic device group to which the device belongs (e.g. biological artificial aortic valve)</w:t>
      </w:r>
    </w:p>
    <w:p w14:paraId="71EB07FC" w14:textId="7A71652C" w:rsidR="00FD03E5" w:rsidRPr="003015CD" w:rsidRDefault="00FD03E5" w:rsidP="00081885">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device is being developed/ undergoing initial CE-marking/ is CE-marked</w:t>
      </w:r>
    </w:p>
    <w:p w14:paraId="609E3A38" w14:textId="096B05A3" w:rsidR="00FD03E5" w:rsidRPr="003015CD" w:rsidRDefault="00FD03E5" w:rsidP="00081885">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device is currently on the market in the Union or outside the Union,</w:t>
      </w:r>
      <w:r w:rsidR="005A26A2" w:rsidRPr="003015CD">
        <w:rPr>
          <w:rFonts w:asciiTheme="majorHAnsi" w:hAnsiTheme="majorHAnsi" w:cstheme="majorHAnsi"/>
          <w:color w:val="000000" w:themeColor="text1"/>
        </w:rPr>
        <w:t xml:space="preserve"> and for how long;</w:t>
      </w:r>
      <w:r w:rsidRPr="003015CD">
        <w:rPr>
          <w:rFonts w:asciiTheme="majorHAnsi" w:hAnsiTheme="majorHAnsi" w:cstheme="majorHAnsi"/>
          <w:color w:val="000000" w:themeColor="text1"/>
        </w:rPr>
        <w:t xml:space="preserve"> justification if it is considered </w:t>
      </w:r>
      <w:r w:rsidR="00BF530F" w:rsidRPr="003015CD">
        <w:rPr>
          <w:rFonts w:asciiTheme="majorHAnsi" w:hAnsiTheme="majorHAnsi" w:cstheme="majorHAnsi"/>
          <w:color w:val="000000" w:themeColor="text1"/>
        </w:rPr>
        <w:t xml:space="preserve">that </w:t>
      </w:r>
      <w:r w:rsidR="00502401" w:rsidRPr="003015CD">
        <w:rPr>
          <w:rFonts w:asciiTheme="majorHAnsi" w:hAnsiTheme="majorHAnsi" w:cstheme="majorHAnsi"/>
          <w:color w:val="000000" w:themeColor="text1"/>
        </w:rPr>
        <w:t>the</w:t>
      </w:r>
      <w:r w:rsidR="00BF530F" w:rsidRPr="003015CD">
        <w:rPr>
          <w:rFonts w:asciiTheme="majorHAnsi" w:hAnsiTheme="majorHAnsi" w:cstheme="majorHAnsi"/>
          <w:color w:val="000000" w:themeColor="text1"/>
        </w:rPr>
        <w:t xml:space="preserve"> device belongs to </w:t>
      </w:r>
      <w:r w:rsidRPr="003015CD">
        <w:rPr>
          <w:rFonts w:asciiTheme="majorHAnsi" w:hAnsiTheme="majorHAnsi" w:cstheme="majorHAnsi"/>
          <w:color w:val="000000" w:themeColor="text1"/>
        </w:rPr>
        <w:t xml:space="preserve">a well-established </w:t>
      </w:r>
      <w:r w:rsidR="00BF530F" w:rsidRPr="003015CD">
        <w:rPr>
          <w:rFonts w:asciiTheme="majorHAnsi" w:hAnsiTheme="majorHAnsi" w:cstheme="majorHAnsi"/>
          <w:color w:val="000000" w:themeColor="text1"/>
        </w:rPr>
        <w:t xml:space="preserve">technology </w:t>
      </w:r>
      <w:r w:rsidRPr="003015CD">
        <w:rPr>
          <w:rFonts w:asciiTheme="majorHAnsi" w:hAnsiTheme="majorHAnsi" w:cstheme="majorHAnsi"/>
          <w:color w:val="000000" w:themeColor="text1"/>
        </w:rPr>
        <w:t>and device history: description of all clinically relevant changes, with rationale for the change</w:t>
      </w:r>
    </w:p>
    <w:p w14:paraId="312C50EF" w14:textId="77777777" w:rsidR="00FD03E5" w:rsidRPr="003015CD" w:rsidRDefault="00FD03E5" w:rsidP="00081885">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intended purpose of the device, including:</w:t>
      </w:r>
    </w:p>
    <w:p w14:paraId="0C29AB75" w14:textId="3A732E81"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exact indication (if applicable)/ identification of medical fields concerned/ name of disease or relevant medical condition/ clinical form, stage, severity/ symptoms or specific medical purposes (e.g. aspects to be treated, managed or diagnosed) </w:t>
      </w:r>
    </w:p>
    <w:p w14:paraId="35A357AF" w14:textId="65F56817"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target group/ patient populations (e.g. adults/</w:t>
      </w:r>
      <w:r w:rsidRPr="003015CD" w:rsidDel="00FB55A7">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children / infants/ elderly or specific age group, pregnant/ breastfeeding women or, other aspects)</w:t>
      </w:r>
    </w:p>
    <w:p w14:paraId="5667A68B" w14:textId="73969835"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intended user (for professional user / lay user)</w:t>
      </w:r>
    </w:p>
    <w:p w14:paraId="616D17C2" w14:textId="1154EDEA"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organs / parts of the body / tissues or body fluids contacted by the device</w:t>
      </w:r>
    </w:p>
    <w:p w14:paraId="31355195" w14:textId="6D3A326C"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duration of use or contact with the body</w:t>
      </w:r>
    </w:p>
    <w:p w14:paraId="65878E61" w14:textId="77777777"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device lifetime </w:t>
      </w:r>
    </w:p>
    <w:p w14:paraId="1C6E037F" w14:textId="77777777"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repeated applications, including any restrictions as to the number or duration of re-applications</w:t>
      </w:r>
    </w:p>
    <w:p w14:paraId="4388D3F6" w14:textId="1E628BD2"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contact with mucous membranes/ invasiveness/ implantatio</w:t>
      </w:r>
      <w:r w:rsidR="009F5860" w:rsidRPr="003015CD">
        <w:rPr>
          <w:rFonts w:asciiTheme="majorHAnsi" w:hAnsiTheme="majorHAnsi" w:cstheme="majorHAnsi"/>
          <w:color w:val="000000" w:themeColor="text1"/>
        </w:rPr>
        <w:t>n</w:t>
      </w:r>
    </w:p>
    <w:p w14:paraId="73386060" w14:textId="2B0FDB87"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contraindications</w:t>
      </w:r>
    </w:p>
    <w:p w14:paraId="54D6452D" w14:textId="6DAB1E59"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precautions required by the manufacturer</w:t>
      </w:r>
    </w:p>
    <w:p w14:paraId="3B28A464" w14:textId="1C8DFA1D"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single use / reusable</w:t>
      </w:r>
      <w:r w:rsidR="009F5860" w:rsidRPr="003015CD">
        <w:rPr>
          <w:rFonts w:asciiTheme="majorHAnsi" w:hAnsiTheme="majorHAnsi" w:cstheme="majorHAnsi"/>
          <w:color w:val="000000" w:themeColor="text1"/>
        </w:rPr>
        <w:t>.</w:t>
      </w:r>
    </w:p>
    <w:p w14:paraId="66DF5A8F" w14:textId="1C47A576" w:rsidR="00FD03E5" w:rsidRPr="003015CD" w:rsidRDefault="00FD03E5" w:rsidP="00FE3690">
      <w:pPr>
        <w:pStyle w:val="Sansinterligne"/>
        <w:numPr>
          <w:ilvl w:val="0"/>
          <w:numId w:val="4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general description of the medical device including: </w:t>
      </w:r>
    </w:p>
    <w:p w14:paraId="5E62E745" w14:textId="44C96F44" w:rsidR="00FD03E5" w:rsidRPr="003015CD" w:rsidRDefault="00FD03E5" w:rsidP="00341BEC">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key functional elements, e.g. its parts/components (including a concise physical and chemical description, software, if appropriate), its formulation, its composition, its functionality and, where relevant, its qualitative and quantitative composition</w:t>
      </w:r>
    </w:p>
    <w:p w14:paraId="134F1C6F" w14:textId="6CF042BD"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the technical specifications, mechanical characteristics</w:t>
      </w:r>
    </w:p>
    <w:p w14:paraId="5D02840C" w14:textId="6B7DCB48"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sterility</w:t>
      </w:r>
    </w:p>
    <w:p w14:paraId="4490A344" w14:textId="4414D1BA"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radioactivity</w:t>
      </w:r>
    </w:p>
    <w:p w14:paraId="7BD4388C" w14:textId="0B078D17"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how the device achieves its intended purpose/</w:t>
      </w:r>
      <w:r w:rsidRPr="003015CD">
        <w:t xml:space="preserve"> </w:t>
      </w:r>
      <w:r w:rsidRPr="003015CD">
        <w:rPr>
          <w:rFonts w:asciiTheme="majorHAnsi" w:hAnsiTheme="majorHAnsi" w:cstheme="majorHAnsi"/>
          <w:color w:val="000000" w:themeColor="text1"/>
        </w:rPr>
        <w:t>treatment and management options</w:t>
      </w:r>
    </w:p>
    <w:p w14:paraId="178A52B1" w14:textId="619D9A33"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principles of operation/ mechanism of action scientifically demonstrated</w:t>
      </w:r>
    </w:p>
    <w:p w14:paraId="3092FF48" w14:textId="36A4C1D1"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materials used in the device with focus on materials coming in contact (directly or indirectly) with the patient/ user, description of body parts concerned</w:t>
      </w:r>
    </w:p>
    <w:p w14:paraId="125842BA" w14:textId="39979AEA"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device incorporates a medicinal substance (already on the market or new), animal tissues, blood components, the purpose of the component</w:t>
      </w:r>
    </w:p>
    <w:p w14:paraId="5F049DAE" w14:textId="5F2D95AC"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device incorporates electronic programmable systems, including software, or software that are devices in themselves</w:t>
      </w:r>
    </w:p>
    <w:p w14:paraId="4F21FA52" w14:textId="6D33FD5C"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device incorporates or consisting of nanomaterial</w:t>
      </w:r>
    </w:p>
    <w:p w14:paraId="658CFB05" w14:textId="3E26EF61" w:rsidR="00FD03E5" w:rsidRPr="003015CD" w:rsidRDefault="00FD03E5" w:rsidP="00081885">
      <w:pPr>
        <w:pStyle w:val="List23"/>
        <w:numPr>
          <w:ilvl w:val="0"/>
          <w:numId w:val="65"/>
        </w:numPr>
        <w:ind w:left="567" w:hanging="11"/>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device is composed of substances or combinations of substances</w:t>
      </w:r>
    </w:p>
    <w:p w14:paraId="6C86E9D9" w14:textId="33387F22" w:rsidR="00FD03E5" w:rsidRPr="003015CD" w:rsidRDefault="00FD03E5" w:rsidP="00081885">
      <w:pPr>
        <w:numPr>
          <w:ilvl w:val="0"/>
          <w:numId w:val="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medical alternatives to the device with reference to the SOTA description</w:t>
      </w:r>
      <w:r w:rsidRPr="003015CD">
        <w:t xml:space="preserve"> </w:t>
      </w:r>
    </w:p>
    <w:p w14:paraId="0EC60D6A" w14:textId="2BFF0D72" w:rsidR="00FD03E5" w:rsidRPr="003015CD" w:rsidRDefault="00FD03E5" w:rsidP="00081885">
      <w:pPr>
        <w:numPr>
          <w:ilvl w:val="0"/>
          <w:numId w:val="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the degree of novelty and the innovative aspects of the device</w:t>
      </w:r>
    </w:p>
    <w:p w14:paraId="06B8A9B6" w14:textId="5F3AA397" w:rsidR="005F7C78" w:rsidRPr="003015CD" w:rsidRDefault="00FD03E5" w:rsidP="00081885">
      <w:pPr>
        <w:numPr>
          <w:ilvl w:val="0"/>
          <w:numId w:val="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the </w:t>
      </w:r>
      <w:r w:rsidRPr="003015CD">
        <w:rPr>
          <w:rFonts w:asciiTheme="majorHAnsi" w:hAnsiTheme="majorHAnsi" w:cstheme="majorBidi"/>
          <w:color w:val="000000" w:themeColor="text1"/>
        </w:rPr>
        <w:t xml:space="preserve">device </w:t>
      </w:r>
      <w:r w:rsidRPr="003015CD">
        <w:rPr>
          <w:rFonts w:asciiTheme="majorHAnsi" w:hAnsiTheme="majorHAnsi" w:cstheme="majorHAnsi"/>
          <w:color w:val="000000" w:themeColor="text1"/>
        </w:rPr>
        <w:t>is intended to cover</w:t>
      </w:r>
      <w:r w:rsidRPr="003015CD">
        <w:rPr>
          <w:rFonts w:asciiTheme="majorHAnsi" w:hAnsiTheme="majorHAnsi" w:cstheme="majorBidi"/>
          <w:color w:val="000000" w:themeColor="text1"/>
        </w:rPr>
        <w:t xml:space="preserve"> unmet medical needs with consideration to its </w:t>
      </w:r>
      <w:r w:rsidRPr="003015CD">
        <w:rPr>
          <w:rFonts w:asciiTheme="majorHAnsi" w:hAnsiTheme="majorHAnsi" w:cstheme="majorHAnsi"/>
          <w:color w:val="000000" w:themeColor="text1"/>
        </w:rPr>
        <w:t>orphan or  breakthrough device status, if relevant</w:t>
      </w:r>
    </w:p>
    <w:p w14:paraId="04B4D237" w14:textId="7A4AAA3B" w:rsidR="00FD03E5" w:rsidRPr="003015CD" w:rsidRDefault="00FD03E5" w:rsidP="00F72810">
      <w:pPr>
        <w:numPr>
          <w:ilvl w:val="0"/>
          <w:numId w:val="4"/>
        </w:numPr>
        <w:jc w:val="both"/>
      </w:pPr>
      <w:r w:rsidRPr="003015CD">
        <w:rPr>
          <w:rFonts w:asciiTheme="majorHAnsi" w:hAnsiTheme="majorHAnsi" w:cstheme="majorHAnsi"/>
          <w:color w:val="000000" w:themeColor="text1"/>
        </w:rPr>
        <w:t>if the device is equivalent to an existing device for which following information should be given</w:t>
      </w:r>
      <w:r w:rsidRPr="003015CD">
        <w:rPr>
          <w:rStyle w:val="Appelnotedebasdep"/>
          <w:rFonts w:asciiTheme="majorHAnsi" w:hAnsiTheme="majorHAnsi" w:cstheme="majorHAnsi"/>
          <w:color w:val="000000" w:themeColor="text1"/>
        </w:rPr>
        <w:footnoteReference w:id="101"/>
      </w:r>
      <w:r w:rsidRPr="003015CD">
        <w:t>:</w:t>
      </w:r>
    </w:p>
    <w:p w14:paraId="27F1304B" w14:textId="3CBC71F2" w:rsidR="00FD03E5" w:rsidRPr="003015CD" w:rsidRDefault="00FD03E5" w:rsidP="00F72810">
      <w:pPr>
        <w:numPr>
          <w:ilvl w:val="0"/>
          <w:numId w:val="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name or trade name(s), models, sizes, settings components, including software and accessories</w:t>
      </w:r>
    </w:p>
    <w:p w14:paraId="6AD67C71" w14:textId="37C670F0" w:rsidR="00FD03E5" w:rsidRPr="003015CD" w:rsidRDefault="00FD03E5" w:rsidP="00081885">
      <w:pPr>
        <w:numPr>
          <w:ilvl w:val="0"/>
          <w:numId w:val="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intended performance, including the technical performance of the device intended by the manufacturer, the intended clinical benefits, claims regarding clinical performance and clinical safety that the manufacturer intends to use</w:t>
      </w:r>
    </w:p>
    <w:p w14:paraId="4170FB07" w14:textId="77777777" w:rsidR="00FD03E5" w:rsidRPr="003015CD" w:rsidRDefault="00FD03E5" w:rsidP="00081885">
      <w:pPr>
        <w:numPr>
          <w:ilvl w:val="0"/>
          <w:numId w:val="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for devices based on predecessor devices: Name, models, sizes of the predecessor device, whether the predecessor device is still on the market, description of the modifications, date of the modifications.</w:t>
      </w:r>
    </w:p>
    <w:bookmarkEnd w:id="229"/>
    <w:p w14:paraId="265B1EAD" w14:textId="0F57307C" w:rsidR="00EF36D2" w:rsidRPr="003015CD" w:rsidRDefault="00EF36D2">
      <w:pPr>
        <w:spacing w:before="0" w:after="0"/>
        <w:rPr>
          <w:rFonts w:asciiTheme="majorHAnsi" w:hAnsiTheme="majorHAnsi" w:cstheme="majorHAnsi"/>
          <w:color w:val="000000" w:themeColor="text1"/>
        </w:rPr>
      </w:pPr>
      <w:r w:rsidRPr="003015CD">
        <w:rPr>
          <w:rFonts w:asciiTheme="majorHAnsi" w:hAnsiTheme="majorHAnsi" w:cstheme="majorHAnsi"/>
          <w:color w:val="000000" w:themeColor="text1"/>
        </w:rPr>
        <w:br w:type="page"/>
      </w:r>
    </w:p>
    <w:p w14:paraId="0F660FA9" w14:textId="77777777" w:rsidR="00FD03E5" w:rsidRPr="003015CD" w:rsidRDefault="00FD03E5" w:rsidP="00081885">
      <w:pPr>
        <w:pStyle w:val="App2"/>
        <w:tabs>
          <w:tab w:val="clear" w:pos="567"/>
          <w:tab w:val="clear" w:pos="709"/>
          <w:tab w:val="left" w:pos="284"/>
        </w:tabs>
        <w:ind w:left="426"/>
        <w:jc w:val="both"/>
        <w:rPr>
          <w:rFonts w:asciiTheme="majorHAnsi" w:hAnsiTheme="majorHAnsi" w:cstheme="majorHAnsi"/>
          <w:color w:val="000000" w:themeColor="text1"/>
        </w:rPr>
      </w:pPr>
      <w:bookmarkStart w:id="230" w:name="_Ref164529753"/>
      <w:bookmarkStart w:id="231" w:name="_Ref165303152"/>
      <w:bookmarkStart w:id="232" w:name="_Ref167309998"/>
      <w:bookmarkStart w:id="233" w:name="_Toc236912933"/>
      <w:bookmarkStart w:id="234" w:name="_Hlk164627990"/>
      <w:r w:rsidRPr="003015CD">
        <w:t>Clinical evaluation plan typical content</w:t>
      </w:r>
      <w:bookmarkEnd w:id="230"/>
      <w:bookmarkEnd w:id="231"/>
      <w:bookmarkEnd w:id="232"/>
      <w:bookmarkEnd w:id="233"/>
    </w:p>
    <w:p w14:paraId="59738376"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Depending on the stage in the lifecycle of the product, the following aspects should be considered for inclusion in the CEP. Mandatory aspects foreseen by MDR are indicated with “*”.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FD03E5" w:rsidRPr="003015CD" w14:paraId="3E0ED1F8" w14:textId="77777777">
        <w:tc>
          <w:tcPr>
            <w:tcW w:w="9067" w:type="dxa"/>
            <w:shd w:val="clear" w:color="auto" w:fill="D9D9D9" w:themeFill="background1" w:themeFillShade="D9"/>
          </w:tcPr>
          <w:p w14:paraId="3F872121" w14:textId="77777777" w:rsidR="00FD03E5" w:rsidRPr="003015CD" w:rsidRDefault="00FD03E5" w:rsidP="00081885">
            <w:pPr>
              <w:keepNext/>
              <w:keepLines/>
              <w:jc w:val="both"/>
              <w:rPr>
                <w:rFonts w:asciiTheme="majorHAnsi" w:hAnsiTheme="majorHAnsi" w:cstheme="majorHAnsi"/>
                <w:b/>
                <w:color w:val="000000" w:themeColor="text1"/>
              </w:rPr>
            </w:pPr>
            <w:bookmarkStart w:id="235" w:name="_Hlk165376151"/>
            <w:bookmarkEnd w:id="234"/>
            <w:r w:rsidRPr="003015CD">
              <w:rPr>
                <w:rFonts w:asciiTheme="majorHAnsi" w:hAnsiTheme="majorHAnsi" w:cstheme="majorHAnsi"/>
                <w:b/>
                <w:color w:val="000000" w:themeColor="text1"/>
              </w:rPr>
              <w:t>Aspects (not an exhaustive list)</w:t>
            </w:r>
          </w:p>
        </w:tc>
      </w:tr>
      <w:tr w:rsidR="00FD03E5" w:rsidRPr="003015CD" w14:paraId="016F35FE" w14:textId="77777777">
        <w:tc>
          <w:tcPr>
            <w:tcW w:w="9067" w:type="dxa"/>
          </w:tcPr>
          <w:p w14:paraId="5999EEE9" w14:textId="0AD1294A" w:rsidR="00FD03E5" w:rsidRPr="003015CD" w:rsidRDefault="00FD03E5" w:rsidP="00081885">
            <w:pPr>
              <w:keepNext/>
              <w:keepLines/>
              <w:numPr>
                <w:ilvl w:val="0"/>
                <w:numId w:val="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Identification and description of the device covering all sizes, variants, models, accessories and configurations. For additional information,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_Ref164257912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A2</w:t>
            </w:r>
            <w:r w:rsidRPr="003015CD">
              <w:rPr>
                <w:rFonts w:asciiTheme="majorHAnsi" w:hAnsiTheme="majorHAnsi" w:cstheme="majorHAnsi"/>
                <w:color w:val="000000" w:themeColor="text1"/>
              </w:rPr>
              <w:fldChar w:fldCharType="end"/>
            </w:r>
            <w:r w:rsidR="00662882" w:rsidRPr="003015CD">
              <w:rPr>
                <w:rFonts w:asciiTheme="majorHAnsi" w:hAnsiTheme="majorHAnsi" w:cstheme="majorHAnsi"/>
                <w:color w:val="000000" w:themeColor="text1"/>
              </w:rPr>
              <w:t>.</w:t>
            </w:r>
          </w:p>
        </w:tc>
      </w:tr>
      <w:tr w:rsidR="00FD03E5" w:rsidRPr="003015CD" w14:paraId="4A5A32CB" w14:textId="77777777">
        <w:tc>
          <w:tcPr>
            <w:tcW w:w="9067" w:type="dxa"/>
          </w:tcPr>
          <w:p w14:paraId="2277007B" w14:textId="7D269A42" w:rsidR="00FD03E5" w:rsidRPr="003015CD" w:rsidRDefault="00FD03E5" w:rsidP="00081885">
            <w:pPr>
              <w:keepNext/>
              <w:keepLines/>
              <w:numPr>
                <w:ilvl w:val="0"/>
                <w:numId w:val="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 specification of the intended purpose of the device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_Ref164257912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for more information on the intended purpose content) *.</w:t>
            </w:r>
          </w:p>
        </w:tc>
      </w:tr>
      <w:tr w:rsidR="00FD03E5" w:rsidRPr="003015CD" w14:paraId="2E31B3E8" w14:textId="77777777">
        <w:tc>
          <w:tcPr>
            <w:tcW w:w="9067" w:type="dxa"/>
          </w:tcPr>
          <w:p w14:paraId="015B7F5D" w14:textId="77777777" w:rsidR="00FD03E5" w:rsidRPr="003015CD" w:rsidRDefault="00FD03E5" w:rsidP="00081885">
            <w:pPr>
              <w:keepNext/>
              <w:keepLines/>
              <w:numPr>
                <w:ilvl w:val="0"/>
                <w:numId w:val="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 clear specification of intended target groups with clear indications and contra-indications, where applicable*</w:t>
            </w:r>
          </w:p>
        </w:tc>
      </w:tr>
      <w:tr w:rsidR="00FD03E5" w:rsidRPr="003015CD" w14:paraId="2CD48F23" w14:textId="77777777">
        <w:tc>
          <w:tcPr>
            <w:tcW w:w="9067" w:type="dxa"/>
          </w:tcPr>
          <w:p w14:paraId="43CF89B3" w14:textId="77777777" w:rsidR="00FD03E5" w:rsidRPr="003015CD" w:rsidRDefault="00FD03E5" w:rsidP="00081885">
            <w:pPr>
              <w:keepNext/>
              <w:keepLines/>
              <w:numPr>
                <w:ilvl w:val="0"/>
                <w:numId w:val="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whether:</w:t>
            </w:r>
          </w:p>
          <w:p w14:paraId="0BE262C6" w14:textId="77777777" w:rsidR="00FD03E5" w:rsidRPr="003015CD" w:rsidRDefault="00FD03E5" w:rsidP="00081885">
            <w:pPr>
              <w:keepNext/>
              <w:keepLines/>
              <w:numPr>
                <w:ilvl w:val="0"/>
                <w:numId w:val="30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clinical evaluation is based on clinical data of the device under evaluation and/or an equivalent device</w:t>
            </w:r>
          </w:p>
          <w:p w14:paraId="06F3ED59"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or</w:t>
            </w:r>
          </w:p>
          <w:p w14:paraId="56E51146" w14:textId="77777777" w:rsidR="00FD03E5" w:rsidRPr="003015CD" w:rsidRDefault="00FD03E5" w:rsidP="00081885">
            <w:pPr>
              <w:keepNext/>
              <w:keepLines/>
              <w:numPr>
                <w:ilvl w:val="0"/>
                <w:numId w:val="30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demonstration of conformity with GSPRs based on clinical data is not deemed appropriate.</w:t>
            </w:r>
          </w:p>
        </w:tc>
      </w:tr>
      <w:tr w:rsidR="00FD03E5" w:rsidRPr="003015CD" w14:paraId="6CB45232" w14:textId="77777777">
        <w:tc>
          <w:tcPr>
            <w:tcW w:w="9067" w:type="dxa"/>
          </w:tcPr>
          <w:p w14:paraId="7183E9FC" w14:textId="6E7B109D" w:rsidR="00FD03E5" w:rsidRPr="003015CD" w:rsidRDefault="00FD03E5" w:rsidP="00081885">
            <w:pPr>
              <w:numPr>
                <w:ilvl w:val="0"/>
                <w:numId w:val="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Description of the SOTA, including the planned steps to identify it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_Ref233282644 \r \h </w:instrText>
            </w:r>
            <w:r w:rsidR="00F835AB" w:rsidRPr="003015CD">
              <w:rPr>
                <w:rFonts w:asciiTheme="majorHAnsi" w:hAnsiTheme="majorHAnsi" w:cstheme="majorHAnsi"/>
                <w:color w:val="000000" w:themeColor="text1"/>
              </w:rPr>
              <w:instrText xml:space="preserve">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A1</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Note that the SOTA analysis may also be documented in the CER or in a dedicated document. The SOTA literature search protocol and report may also be in separate documents</w:t>
            </w:r>
          </w:p>
        </w:tc>
      </w:tr>
      <w:tr w:rsidR="00FD03E5" w:rsidRPr="003015CD" w14:paraId="601F42DB" w14:textId="77777777">
        <w:tc>
          <w:tcPr>
            <w:tcW w:w="9067" w:type="dxa"/>
          </w:tcPr>
          <w:p w14:paraId="1784E3AE" w14:textId="7DE432A2" w:rsidR="00FD03E5" w:rsidRPr="003015CD" w:rsidRDefault="00FD03E5" w:rsidP="00F72810">
            <w:pPr>
              <w:pStyle w:val="Paragraphedeliste"/>
              <w:numPr>
                <w:ilvl w:val="0"/>
                <w:numId w:val="3"/>
              </w:numPr>
              <w:rPr>
                <w:rFonts w:asciiTheme="majorHAnsi" w:hAnsiTheme="majorHAnsi" w:cstheme="majorHAnsi"/>
                <w:color w:val="000000" w:themeColor="text1"/>
              </w:rPr>
            </w:pPr>
            <w:r w:rsidRPr="003015CD">
              <w:rPr>
                <w:rFonts w:asciiTheme="majorHAnsi" w:hAnsiTheme="majorHAnsi" w:cstheme="majorHAnsi"/>
                <w:color w:val="000000" w:themeColor="text1"/>
              </w:rPr>
              <w:t>If equivalence will be claimed, demonstration of equivalence is documented in the CEP, in the CER or in a dedicated document (see MDCG 2020-5 for more information on equivalence).</w:t>
            </w:r>
          </w:p>
        </w:tc>
      </w:tr>
      <w:tr w:rsidR="00FD03E5" w:rsidRPr="003015CD" w14:paraId="0E317685" w14:textId="77777777">
        <w:tc>
          <w:tcPr>
            <w:tcW w:w="9067" w:type="dxa"/>
          </w:tcPr>
          <w:p w14:paraId="2A54B1B0" w14:textId="49DD50BA" w:rsidR="00FD03E5" w:rsidRPr="003015CD" w:rsidRDefault="00FD03E5" w:rsidP="00081885">
            <w:pPr>
              <w:pStyle w:val="Paragraphedeliste"/>
              <w:numPr>
                <w:ilvl w:val="0"/>
                <w:numId w:val="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 detailed description of intended clinical benefits to patients with relevant and specified clinical outcome parameters*. </w:t>
            </w:r>
          </w:p>
        </w:tc>
      </w:tr>
      <w:tr w:rsidR="00FD03E5" w:rsidRPr="003015CD" w14:paraId="030187DA" w14:textId="77777777">
        <w:tc>
          <w:tcPr>
            <w:tcW w:w="9067" w:type="dxa"/>
          </w:tcPr>
          <w:p w14:paraId="1A9C8E08" w14:textId="2FB1CF7B" w:rsidR="00FD03E5" w:rsidRPr="003015CD" w:rsidRDefault="00FD03E5" w:rsidP="00081885">
            <w:pPr>
              <w:pStyle w:val="Paragraphedeliste"/>
              <w:numPr>
                <w:ilvl w:val="0"/>
                <w:numId w:val="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an identification of the GSPRs that require support from relevant clinical data*. See appendix A9</w:t>
            </w:r>
            <w:r w:rsidR="00530EC2"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 xml:space="preserve">for </w:t>
            </w:r>
            <w:r w:rsidR="00530EC2" w:rsidRPr="003015CD">
              <w:rPr>
                <w:rFonts w:asciiTheme="majorHAnsi" w:hAnsiTheme="majorHAnsi" w:cstheme="majorHAnsi"/>
                <w:color w:val="000000" w:themeColor="text1"/>
              </w:rPr>
              <w:t xml:space="preserve">more </w:t>
            </w:r>
            <w:r w:rsidRPr="003015CD">
              <w:rPr>
                <w:rFonts w:asciiTheme="majorHAnsi" w:hAnsiTheme="majorHAnsi" w:cstheme="majorHAnsi"/>
                <w:color w:val="000000" w:themeColor="text1"/>
              </w:rPr>
              <w:t>information</w:t>
            </w:r>
            <w:r w:rsidR="00530EC2" w:rsidRPr="003015CD">
              <w:rPr>
                <w:rFonts w:asciiTheme="majorHAnsi" w:hAnsiTheme="majorHAnsi" w:cstheme="majorHAnsi"/>
                <w:color w:val="000000" w:themeColor="text1"/>
              </w:rPr>
              <w:t>.</w:t>
            </w:r>
          </w:p>
        </w:tc>
      </w:tr>
      <w:tr w:rsidR="00FD03E5" w:rsidRPr="003015CD" w14:paraId="6A06D917" w14:textId="77777777">
        <w:tc>
          <w:tcPr>
            <w:tcW w:w="9067" w:type="dxa"/>
          </w:tcPr>
          <w:p w14:paraId="6CC5597C" w14:textId="77777777" w:rsidR="00FD03E5" w:rsidRPr="003015CD" w:rsidRDefault="00FD03E5" w:rsidP="00081885">
            <w:pPr>
              <w:numPr>
                <w:ilvl w:val="0"/>
                <w:numId w:val="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there are any design features of the device, or any indications or target populations, that require specific attention. The clinical evaluation should cover any design features that pose specific performance or safety concerns (e.g. presence of medicinal, human or animal components), the intended purpose and application of the device (e.g. target treatment group and disease, proposed warnings, contraindications, precautions, and method of application) and the specific claims made by the manufacturer about the clinical performance and clinical safety of the device. </w:t>
            </w:r>
          </w:p>
        </w:tc>
      </w:tr>
      <w:tr w:rsidR="00FD03E5" w:rsidRPr="003015CD" w14:paraId="598C844F" w14:textId="77777777">
        <w:tc>
          <w:tcPr>
            <w:tcW w:w="9067" w:type="dxa"/>
          </w:tcPr>
          <w:p w14:paraId="23C33F9E" w14:textId="77777777" w:rsidR="00FD03E5" w:rsidRPr="003015CD" w:rsidRDefault="00FD03E5" w:rsidP="00081885">
            <w:pPr>
              <w:numPr>
                <w:ilvl w:val="0"/>
                <w:numId w:val="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For CE marked devices, whether the manufacturer has introduced/ intends to introduce any relevant</w:t>
            </w:r>
            <w:r w:rsidRPr="003015CD">
              <w:rPr>
                <w:rStyle w:val="Appelnotedebasdep"/>
                <w:rFonts w:asciiTheme="majorHAnsi" w:hAnsiTheme="majorHAnsi" w:cstheme="majorHAnsi"/>
                <w:color w:val="000000" w:themeColor="text1"/>
              </w:rPr>
              <w:footnoteReference w:id="102"/>
            </w:r>
            <w:r w:rsidRPr="003015CD">
              <w:rPr>
                <w:rFonts w:asciiTheme="majorHAnsi" w:hAnsiTheme="majorHAnsi" w:cstheme="majorHAnsi"/>
                <w:color w:val="000000" w:themeColor="text1"/>
              </w:rPr>
              <w:t xml:space="preserve"> changes, including</w:t>
            </w:r>
          </w:p>
          <w:p w14:paraId="146C5855" w14:textId="77777777" w:rsidR="00FD03E5" w:rsidRPr="003015CD" w:rsidRDefault="00FD03E5" w:rsidP="00081885">
            <w:pPr>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design changes,</w:t>
            </w:r>
          </w:p>
          <w:p w14:paraId="1B8576BE" w14:textId="77777777" w:rsidR="00FD03E5" w:rsidRPr="003015CD" w:rsidRDefault="00FD03E5" w:rsidP="00081885">
            <w:pPr>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changes to materials and manufacturing procedures,</w:t>
            </w:r>
          </w:p>
          <w:p w14:paraId="6A2923E6" w14:textId="77777777" w:rsidR="00FD03E5" w:rsidRPr="003015CD" w:rsidRDefault="00FD03E5" w:rsidP="00081885">
            <w:pPr>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changes to the information materials supplied by the manufacturer (label, IFU, available promotional materials including accompanying documents possibly foreseen by the manufacturer) or other claims, </w:t>
            </w:r>
          </w:p>
          <w:p w14:paraId="47531655" w14:textId="77777777" w:rsidR="00FD03E5" w:rsidRPr="003015CD" w:rsidRDefault="00FD03E5" w:rsidP="00081885">
            <w:pPr>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and whether the claim of equivalence to an existing device is still appropriate. </w:t>
            </w:r>
          </w:p>
        </w:tc>
      </w:tr>
      <w:tr w:rsidR="00FD03E5" w:rsidRPr="003015CD" w14:paraId="260C934A" w14:textId="77777777">
        <w:tc>
          <w:tcPr>
            <w:tcW w:w="9067" w:type="dxa"/>
          </w:tcPr>
          <w:p w14:paraId="7EBCA4D6" w14:textId="77777777" w:rsidR="00FD03E5" w:rsidRPr="003015CD" w:rsidRDefault="00FD03E5" w:rsidP="00081885">
            <w:pPr>
              <w:numPr>
                <w:ilvl w:val="0"/>
                <w:numId w:val="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For CE marked devices, whether there are any specific clinical concerns that have newly emerged and need to be addressed. </w:t>
            </w:r>
          </w:p>
        </w:tc>
      </w:tr>
      <w:tr w:rsidR="0092243E" w:rsidRPr="003015CD" w14:paraId="5238DEA0" w14:textId="77777777">
        <w:tc>
          <w:tcPr>
            <w:tcW w:w="9067" w:type="dxa"/>
          </w:tcPr>
          <w:p w14:paraId="428DF662" w14:textId="77777777" w:rsidR="00D26146" w:rsidRPr="003015CD" w:rsidRDefault="00D26146" w:rsidP="00D26146">
            <w:pPr>
              <w:numPr>
                <w:ilvl w:val="0"/>
                <w:numId w:val="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Planning of clinical evaluation stages 1-3:</w:t>
            </w:r>
          </w:p>
          <w:p w14:paraId="5B31EEEF" w14:textId="67B7EFEA" w:rsidR="00D26146" w:rsidRPr="003015CD" w:rsidRDefault="00D26146" w:rsidP="00D26146">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Methods for clinical data identification, specifying </w:t>
            </w:r>
            <w:r w:rsidR="002756AE" w:rsidRPr="003015CD">
              <w:rPr>
                <w:rFonts w:asciiTheme="majorHAnsi" w:hAnsiTheme="majorHAnsi" w:cstheme="majorHAnsi"/>
                <w:color w:val="000000" w:themeColor="text1"/>
              </w:rPr>
              <w:t>the</w:t>
            </w:r>
            <w:r w:rsidRPr="003015CD">
              <w:rPr>
                <w:rFonts w:asciiTheme="majorHAnsi" w:hAnsiTheme="majorHAnsi" w:cstheme="majorHAnsi"/>
                <w:color w:val="000000" w:themeColor="text1"/>
              </w:rPr>
              <w:t xml:space="preserve"> data source(s) and type(s) to be used in the clinical evaluation. Data relevant to the clinical evaluation may be generated and held by the manufacturer or available from scientific literature. The literature search protocol, as referred to Appendix A6, may be included in the CEP or may be in a separate document. For additional information, see Section 8 (Identification of available clinical data), and Appendix A5 (Sources of literature) and Appendix A6 (Data not held by the manufacturer search, key elements).</w:t>
            </w:r>
          </w:p>
          <w:p w14:paraId="27C3E4B4" w14:textId="77777777" w:rsidR="00460B9E" w:rsidRPr="003015CD" w:rsidRDefault="00460B9E" w:rsidP="00F72810">
            <w:pPr>
              <w:pStyle w:val="Paragraphedeliste"/>
              <w:jc w:val="both"/>
              <w:rPr>
                <w:rFonts w:asciiTheme="majorHAnsi" w:hAnsiTheme="majorHAnsi" w:cstheme="majorHAnsi"/>
                <w:color w:val="000000" w:themeColor="text1"/>
              </w:rPr>
            </w:pPr>
          </w:p>
          <w:p w14:paraId="25A81ECB" w14:textId="6E470605" w:rsidR="00D26146" w:rsidRPr="003015CD" w:rsidRDefault="00D26146" w:rsidP="00D26146">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Methods for the appraisal of relevant clinical data (see Section 9). The appraisal plan may be included in the CEP or in a separate document.</w:t>
            </w:r>
          </w:p>
          <w:p w14:paraId="4BA1E3D7" w14:textId="77777777" w:rsidR="00460B9E" w:rsidRPr="003015CD" w:rsidRDefault="00460B9E" w:rsidP="00F72810">
            <w:pPr>
              <w:pStyle w:val="Paragraphedeliste"/>
              <w:jc w:val="both"/>
              <w:rPr>
                <w:rFonts w:asciiTheme="majorHAnsi" w:hAnsiTheme="majorHAnsi" w:cstheme="majorHAnsi"/>
                <w:color w:val="000000" w:themeColor="text1"/>
              </w:rPr>
            </w:pPr>
          </w:p>
          <w:p w14:paraId="3DB20EAA" w14:textId="61271179" w:rsidR="00D26146" w:rsidRPr="003015CD" w:rsidRDefault="00D26146" w:rsidP="00F72810">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Methods for the analysis of relevant clinical data</w:t>
            </w:r>
            <w:r w:rsidR="00946AA1" w:rsidRPr="003015CD">
              <w:rPr>
                <w:rFonts w:asciiTheme="majorHAnsi" w:hAnsiTheme="majorHAnsi" w:cstheme="majorHAnsi"/>
                <w:color w:val="000000" w:themeColor="text1"/>
              </w:rPr>
              <w:t xml:space="preserve"> (see Section 10)</w:t>
            </w:r>
            <w:r w:rsidRPr="003015CD">
              <w:rPr>
                <w:rFonts w:asciiTheme="majorHAnsi" w:hAnsiTheme="majorHAnsi" w:cstheme="majorHAnsi"/>
                <w:color w:val="000000" w:themeColor="text1"/>
              </w:rPr>
              <w:t xml:space="preserve">, including: </w:t>
            </w:r>
          </w:p>
          <w:p w14:paraId="72E95D15" w14:textId="0583AD09" w:rsidR="00D26146" w:rsidRPr="003015CD" w:rsidRDefault="00D26146" w:rsidP="00F72810">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 specification of methods to be used for examination of qualitative and quantitative aspects of clinical safety with clear reference to the determination of residual risks and side-effects*</w:t>
            </w:r>
            <w:r w:rsidR="00632A52" w:rsidRPr="003015CD">
              <w:rPr>
                <w:rFonts w:asciiTheme="majorHAnsi" w:hAnsiTheme="majorHAnsi" w:cstheme="majorHAnsi"/>
                <w:color w:val="000000" w:themeColor="text1"/>
              </w:rPr>
              <w:t>.</w:t>
            </w:r>
          </w:p>
          <w:p w14:paraId="7DA4D9D9" w14:textId="79E29736" w:rsidR="00D26146" w:rsidRPr="003015CD" w:rsidRDefault="00D26146" w:rsidP="00F72810">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an indicative list and specification of parameters to be used to determine, based on the SOTA in medicine, the acceptability of the benefit-risk ratio for the various indications and for the intended purpose or purposes of the device*</w:t>
            </w:r>
            <w:r w:rsidR="00632A52" w:rsidRPr="003015CD">
              <w:rPr>
                <w:rFonts w:asciiTheme="majorHAnsi" w:hAnsiTheme="majorHAnsi" w:cstheme="majorHAnsi"/>
                <w:color w:val="000000" w:themeColor="text1"/>
              </w:rPr>
              <w:t>.</w:t>
            </w:r>
          </w:p>
          <w:p w14:paraId="38465756" w14:textId="000DB740" w:rsidR="00D26146" w:rsidRPr="003015CD" w:rsidRDefault="00D26146" w:rsidP="00F72810">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an indication of how benefit-risk issues relating to specific components such as use of pharmaceutical products, non- viable animal tissues or human tissues, are to be addressed*.</w:t>
            </w:r>
          </w:p>
          <w:p w14:paraId="06ADBD03" w14:textId="0F22112D" w:rsidR="0092243E" w:rsidRPr="003015CD" w:rsidRDefault="00D26146" w:rsidP="00F72810">
            <w:pPr>
              <w:pStyle w:val="Paragraphedeliste"/>
              <w:numPr>
                <w:ilvl w:val="0"/>
                <w:numId w:val="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analysis plan may be included in the CEP or may be in a separate document.</w:t>
            </w:r>
          </w:p>
        </w:tc>
      </w:tr>
      <w:tr w:rsidR="00FD03E5" w:rsidRPr="003015CD" w14:paraId="0561B19E" w14:textId="77777777">
        <w:tc>
          <w:tcPr>
            <w:tcW w:w="9067" w:type="dxa"/>
          </w:tcPr>
          <w:p w14:paraId="2723041E" w14:textId="77777777" w:rsidR="00FD03E5" w:rsidRPr="003015CD" w:rsidRDefault="00FD03E5" w:rsidP="00081885">
            <w:pPr>
              <w:numPr>
                <w:ilvl w:val="0"/>
                <w:numId w:val="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CDP should outline the progression of clinical investigations, starting from exploratory investigations, such as first-in-man studies, feasibility and pilot studies, to confirmatory investigations, such as pivotal clinical investigations*. Milestones and potential acceptance criteria should be described.</w:t>
            </w:r>
          </w:p>
        </w:tc>
      </w:tr>
      <w:bookmarkEnd w:id="235"/>
    </w:tbl>
    <w:p w14:paraId="2D3BF46C" w14:textId="77777777" w:rsidR="00FD03E5" w:rsidRPr="003015CD" w:rsidRDefault="00FD03E5" w:rsidP="00081885">
      <w:pPr>
        <w:spacing w:after="0"/>
        <w:jc w:val="both"/>
        <w:textAlignment w:val="center"/>
        <w:rPr>
          <w:rFonts w:asciiTheme="majorHAnsi" w:eastAsia="Times New Roman" w:hAnsiTheme="majorHAnsi" w:cstheme="majorHAnsi"/>
          <w:color w:val="000000" w:themeColor="text1"/>
          <w:szCs w:val="22"/>
          <w:lang w:eastAsia="en-IE"/>
        </w:rPr>
      </w:pPr>
    </w:p>
    <w:p w14:paraId="701CAFD8" w14:textId="77777777" w:rsidR="00FD03E5" w:rsidRPr="003015CD" w:rsidRDefault="00FD03E5" w:rsidP="00081885">
      <w:pPr>
        <w:pStyle w:val="App2"/>
        <w:ind w:left="360"/>
      </w:pPr>
      <w:bookmarkStart w:id="236" w:name="_Ref233282631"/>
      <w:bookmarkStart w:id="237" w:name="_Toc236912934"/>
      <w:bookmarkStart w:id="238" w:name="_Hlk158044726"/>
      <w:bookmarkEnd w:id="213"/>
      <w:bookmarkEnd w:id="214"/>
      <w:r w:rsidRPr="003015CD">
        <w:t>Clinical data for medical device software</w:t>
      </w:r>
      <w:bookmarkEnd w:id="236"/>
      <w:bookmarkEnd w:id="237"/>
    </w:p>
    <w:p w14:paraId="1792DECB" w14:textId="1DB9CBA9" w:rsidR="00FD03E5" w:rsidRPr="003015CD" w:rsidRDefault="00FD03E5" w:rsidP="00081885">
      <w:pPr>
        <w:spacing w:line="257" w:lineRule="auto"/>
        <w:jc w:val="both"/>
        <w:rPr>
          <w:rFonts w:eastAsia="Arial"/>
          <w:color w:val="000000" w:themeColor="text1"/>
          <w:szCs w:val="22"/>
        </w:rPr>
      </w:pPr>
      <w:r w:rsidRPr="003015CD">
        <w:rPr>
          <w:rFonts w:eastAsia="Arial"/>
          <w:color w:val="000000" w:themeColor="text1"/>
          <w:szCs w:val="22"/>
        </w:rPr>
        <w:t xml:space="preserve">To generate clinical data for the clinical evaluation of MDSW, the manufacturer may consider performing studies to assess the device’s safety or performance. If the study in question prospectively enrols patients as subjects and prospectively collects their data for the purpose of assessing the safety or performance of the MDSW, this study should qualify as a clinical investigation (per MDR Article 2(45)). </w:t>
      </w:r>
    </w:p>
    <w:p w14:paraId="7879C5D1" w14:textId="77777777" w:rsidR="00FD03E5" w:rsidRPr="003015CD" w:rsidRDefault="00FD03E5" w:rsidP="00081885">
      <w:pPr>
        <w:jc w:val="both"/>
        <w:rPr>
          <w:rFonts w:eastAsia="Arial"/>
          <w:szCs w:val="22"/>
        </w:rPr>
      </w:pPr>
      <w:r w:rsidRPr="003015CD">
        <w:rPr>
          <w:rFonts w:eastAsia="Arial"/>
          <w:color w:val="000000" w:themeColor="text1"/>
          <w:szCs w:val="22"/>
        </w:rPr>
        <w:t xml:space="preserve">As acknowledged in MDCG 2021-6, if the patient data to be used has not been prospectively collected from enrolled subjects for the purpose of the study (e.g., extracted from pre-existing health records), this study would generally not qualify as a clinical investigation. </w:t>
      </w:r>
      <w:r w:rsidRPr="003015CD">
        <w:rPr>
          <w:rFonts w:eastAsia="Arial"/>
          <w:szCs w:val="22"/>
        </w:rPr>
        <w:t xml:space="preserve"> </w:t>
      </w:r>
    </w:p>
    <w:p w14:paraId="72A6EC57" w14:textId="77777777" w:rsidR="00FD03E5" w:rsidRPr="003015CD" w:rsidRDefault="00FD03E5" w:rsidP="00081885">
      <w:pPr>
        <w:jc w:val="both"/>
        <w:rPr>
          <w:rFonts w:eastAsia="Arial"/>
          <w:color w:val="000000" w:themeColor="text1"/>
          <w:szCs w:val="22"/>
        </w:rPr>
      </w:pPr>
      <w:r w:rsidRPr="003015CD">
        <w:rPr>
          <w:rFonts w:eastAsia="Arial"/>
          <w:color w:val="000000" w:themeColor="text1"/>
          <w:szCs w:val="22"/>
        </w:rPr>
        <w:t>However, studies using previously collected patient data can produce valid clinical data for the purpose of clinical evaluation of MDSW, provided each of the following is true:</w:t>
      </w:r>
    </w:p>
    <w:p w14:paraId="08C5CAE8" w14:textId="77777777" w:rsidR="00FD03E5" w:rsidRPr="003015CD" w:rsidRDefault="00FD03E5" w:rsidP="00081885">
      <w:pPr>
        <w:jc w:val="both"/>
        <w:rPr>
          <w:rFonts w:eastAsia="Arial"/>
          <w:color w:val="000000" w:themeColor="text1"/>
          <w:szCs w:val="22"/>
        </w:rPr>
      </w:pPr>
      <w:r w:rsidRPr="003015CD">
        <w:rPr>
          <w:rFonts w:eastAsia="Arial"/>
          <w:color w:val="000000" w:themeColor="text1"/>
          <w:szCs w:val="22"/>
        </w:rPr>
        <w:t>•</w:t>
      </w:r>
      <w:r w:rsidRPr="003015CD">
        <w:tab/>
      </w:r>
      <w:r w:rsidRPr="003015CD">
        <w:rPr>
          <w:rFonts w:eastAsia="Arial"/>
          <w:color w:val="000000" w:themeColor="text1"/>
          <w:szCs w:val="22"/>
        </w:rPr>
        <w:t>the information that is produced from the study concerns the device’s safety or performance and is generated from the use of the device</w:t>
      </w:r>
      <w:r w:rsidRPr="003015CD">
        <w:rPr>
          <w:rStyle w:val="Appelnotedebasdep"/>
          <w:rFonts w:eastAsia="Arial"/>
          <w:color w:val="000000" w:themeColor="text1"/>
          <w:szCs w:val="22"/>
        </w:rPr>
        <w:footnoteReference w:id="103"/>
      </w:r>
      <w:r w:rsidRPr="003015CD">
        <w:rPr>
          <w:rFonts w:eastAsia="Arial"/>
          <w:color w:val="000000" w:themeColor="text1"/>
          <w:szCs w:val="22"/>
        </w:rPr>
        <w:t>. Uniquely in the case of MDSW, the “use of the device” may also refer to using the device on a previously collected dataset; and</w:t>
      </w:r>
    </w:p>
    <w:p w14:paraId="2705DF27" w14:textId="77777777" w:rsidR="00FD03E5" w:rsidRPr="003015CD" w:rsidRDefault="00FD03E5" w:rsidP="00081885">
      <w:pPr>
        <w:jc w:val="both"/>
        <w:rPr>
          <w:rFonts w:eastAsia="Arial"/>
          <w:szCs w:val="22"/>
        </w:rPr>
      </w:pPr>
      <w:r w:rsidRPr="003015CD">
        <w:rPr>
          <w:rFonts w:eastAsia="Arial"/>
          <w:color w:val="000000" w:themeColor="text1"/>
          <w:szCs w:val="22"/>
        </w:rPr>
        <w:t>•</w:t>
      </w:r>
      <w:r w:rsidRPr="003015CD">
        <w:tab/>
      </w:r>
      <w:r w:rsidRPr="003015CD">
        <w:rPr>
          <w:rFonts w:eastAsia="Arial"/>
          <w:color w:val="000000" w:themeColor="text1"/>
          <w:szCs w:val="22"/>
        </w:rPr>
        <w:t>the study is reported in peer reviewed scientific literature as clinical experience of the device under evaluation</w:t>
      </w:r>
      <w:r w:rsidRPr="003015CD">
        <w:rPr>
          <w:rStyle w:val="Appelnotedebasdep"/>
          <w:rFonts w:eastAsia="Arial"/>
          <w:color w:val="000000" w:themeColor="text1"/>
          <w:szCs w:val="22"/>
        </w:rPr>
        <w:footnoteReference w:id="104"/>
      </w:r>
      <w:r w:rsidRPr="003015CD">
        <w:rPr>
          <w:rFonts w:eastAsia="Arial"/>
          <w:color w:val="000000" w:themeColor="text1"/>
          <w:szCs w:val="22"/>
        </w:rPr>
        <w:t>.</w:t>
      </w:r>
      <w:r w:rsidRPr="003015CD">
        <w:rPr>
          <w:rFonts w:eastAsia="Arial"/>
          <w:szCs w:val="22"/>
        </w:rPr>
        <w:t xml:space="preserve"> </w:t>
      </w:r>
    </w:p>
    <w:p w14:paraId="274EAFD7" w14:textId="77777777" w:rsidR="00FD03E5" w:rsidRPr="003015CD" w:rsidRDefault="00FD03E5" w:rsidP="00081885">
      <w:pPr>
        <w:spacing w:line="257" w:lineRule="auto"/>
        <w:jc w:val="both"/>
        <w:rPr>
          <w:rFonts w:eastAsia="Arial"/>
          <w:szCs w:val="22"/>
        </w:rPr>
      </w:pPr>
      <w:r w:rsidRPr="003015CD">
        <w:rPr>
          <w:rFonts w:eastAsia="Arial"/>
          <w:color w:val="000000" w:themeColor="text1"/>
          <w:szCs w:val="22"/>
        </w:rPr>
        <w:t>As with all clinical data, such data would need to be evaluated in line with MDR and additional clinical data may be needed to provide sufficient clinical evidence per MDR Article 61(1)</w:t>
      </w:r>
      <w:r w:rsidRPr="003015CD">
        <w:rPr>
          <w:rStyle w:val="Appelnotedebasdep"/>
          <w:rFonts w:eastAsia="Arial"/>
          <w:color w:val="000000" w:themeColor="text1"/>
          <w:szCs w:val="22"/>
        </w:rPr>
        <w:footnoteReference w:id="105"/>
      </w:r>
      <w:r w:rsidRPr="003015CD">
        <w:rPr>
          <w:rFonts w:eastAsia="Arial"/>
          <w:color w:val="000000" w:themeColor="text1"/>
          <w:szCs w:val="22"/>
        </w:rPr>
        <w:t xml:space="preserve">. It should also be noted that, while these data may qualify as clinical data, they would not qualify as clinical investigations. Therefore, the requirement for non-CE marked class III MDSW to conduct a clinical investigation per MDR 61(4) cannot be met using these studies. </w:t>
      </w:r>
      <w:r w:rsidRPr="003015CD">
        <w:rPr>
          <w:rFonts w:eastAsia="Arial"/>
          <w:szCs w:val="22"/>
        </w:rPr>
        <w:t xml:space="preserve"> </w:t>
      </w:r>
    </w:p>
    <w:p w14:paraId="10BC8853" w14:textId="77777777" w:rsidR="00FD03E5" w:rsidRPr="003015CD" w:rsidRDefault="00FD03E5" w:rsidP="00081885">
      <w:pPr>
        <w:jc w:val="both"/>
        <w:rPr>
          <w:rFonts w:eastAsia="Arial"/>
          <w:color w:val="000000" w:themeColor="text1"/>
          <w:szCs w:val="22"/>
        </w:rPr>
      </w:pPr>
      <w:r w:rsidRPr="003015CD">
        <w:rPr>
          <w:rFonts w:eastAsia="Arial"/>
          <w:color w:val="000000" w:themeColor="text1"/>
          <w:szCs w:val="22"/>
        </w:rPr>
        <w:t xml:space="preserve"> </w:t>
      </w:r>
    </w:p>
    <w:p w14:paraId="2BC69AFD" w14:textId="77777777" w:rsidR="00FD03E5" w:rsidRPr="003015CD" w:rsidRDefault="00FD03E5" w:rsidP="00081885">
      <w:pPr>
        <w:jc w:val="both"/>
        <w:rPr>
          <w:rFonts w:eastAsia="Arial"/>
          <w:szCs w:val="22"/>
        </w:rPr>
      </w:pPr>
      <w:r w:rsidRPr="003015CD">
        <w:rPr>
          <w:rFonts w:eastAsia="Arial"/>
          <w:color w:val="000000" w:themeColor="text1"/>
          <w:szCs w:val="22"/>
        </w:rPr>
        <w:t>Please note, the above studies are distinct from studies/activities conducted solely to collect patient data that is subsequently used to train MDSW (e.g., via machine-learning). Patient data collected from these studies/activities would not be considered clinical data but may be useful for training the MDSW and generating relevant data the purpose of pre-clinical evaluation.</w:t>
      </w:r>
      <w:r w:rsidRPr="003015CD">
        <w:rPr>
          <w:rFonts w:eastAsia="Arial"/>
          <w:szCs w:val="22"/>
        </w:rPr>
        <w:t xml:space="preserve">      </w:t>
      </w:r>
    </w:p>
    <w:p w14:paraId="13F2F777" w14:textId="1AD4C3EC" w:rsidR="00B050D8" w:rsidRPr="003015CD" w:rsidRDefault="00FD03E5">
      <w:pPr>
        <w:spacing w:before="0" w:after="0"/>
      </w:pPr>
      <w:r w:rsidRPr="003015CD">
        <w:rPr>
          <w:rFonts w:eastAsia="Arial"/>
          <w:szCs w:val="22"/>
        </w:rPr>
        <w:t xml:space="preserve"> </w:t>
      </w:r>
      <w:r w:rsidR="00B050D8" w:rsidRPr="003015CD">
        <w:br w:type="page"/>
      </w:r>
    </w:p>
    <w:p w14:paraId="78A25874" w14:textId="77777777" w:rsidR="00FD03E5" w:rsidRPr="003015CD" w:rsidRDefault="00FD03E5" w:rsidP="00081885">
      <w:pPr>
        <w:pStyle w:val="App2"/>
        <w:tabs>
          <w:tab w:val="clear" w:pos="567"/>
          <w:tab w:val="clear" w:pos="709"/>
          <w:tab w:val="left" w:pos="284"/>
        </w:tabs>
        <w:ind w:left="426"/>
        <w:jc w:val="both"/>
      </w:pPr>
      <w:bookmarkStart w:id="239" w:name="_Ref164071656"/>
      <w:bookmarkStart w:id="240" w:name="_Ref164160700"/>
      <w:bookmarkStart w:id="241" w:name="_Ref165982677"/>
      <w:bookmarkStart w:id="242" w:name="_Ref165986496"/>
      <w:bookmarkStart w:id="243" w:name="_Ref165986648"/>
      <w:bookmarkStart w:id="244" w:name="_Ref167310513"/>
      <w:bookmarkStart w:id="245" w:name="_Ref233288458"/>
      <w:bookmarkStart w:id="246" w:name="_Toc236912935"/>
      <w:bookmarkStart w:id="247" w:name="_Toc446499055"/>
      <w:bookmarkEnd w:id="215"/>
      <w:bookmarkEnd w:id="216"/>
      <w:bookmarkEnd w:id="238"/>
      <w:r w:rsidRPr="003015CD">
        <w:t>Sources of clinical data not held by the manufacturer</w:t>
      </w:r>
      <w:bookmarkEnd w:id="239"/>
      <w:bookmarkEnd w:id="240"/>
      <w:bookmarkEnd w:id="241"/>
      <w:bookmarkEnd w:id="242"/>
      <w:bookmarkEnd w:id="243"/>
      <w:bookmarkEnd w:id="244"/>
      <w:r w:rsidRPr="003015CD">
        <w:t xml:space="preserve"> (literature)</w:t>
      </w:r>
      <w:bookmarkEnd w:id="245"/>
      <w:bookmarkEnd w:id="246"/>
      <w:r w:rsidRPr="003015CD">
        <w:t xml:space="preserve"> </w:t>
      </w:r>
      <w:bookmarkEnd w:id="247"/>
    </w:p>
    <w:p w14:paraId="19B16564" w14:textId="07F83703" w:rsidR="00937B5A" w:rsidRPr="003015CD" w:rsidRDefault="00FD03E5" w:rsidP="00081885">
      <w:pPr>
        <w:jc w:val="both"/>
        <w:rPr>
          <w:rFonts w:asciiTheme="majorHAnsi" w:hAnsiTheme="majorHAnsi" w:cstheme="majorHAnsi"/>
          <w:color w:val="000000" w:themeColor="text1"/>
        </w:rPr>
      </w:pPr>
      <w:bookmarkStart w:id="248" w:name="_Hlk141803661"/>
      <w:r w:rsidRPr="003015CD">
        <w:rPr>
          <w:rFonts w:asciiTheme="majorHAnsi" w:hAnsiTheme="majorHAnsi" w:cstheme="majorHAnsi"/>
          <w:color w:val="000000" w:themeColor="text1"/>
        </w:rPr>
        <w:t>There are several different sources that can be searched for clinical data relevant for the clinical evaluation. A comprehensive search strategy is required that should be documented and justified.</w:t>
      </w:r>
    </w:p>
    <w:p w14:paraId="072860F1" w14:textId="4A0659D2"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p>
    <w:p w14:paraId="331BA856" w14:textId="77777777" w:rsidR="00FD03E5" w:rsidRPr="003015CD" w:rsidRDefault="00FD03E5" w:rsidP="00081885">
      <w:pPr>
        <w:pStyle w:val="Sansinterligne"/>
        <w:numPr>
          <w:ilvl w:val="0"/>
          <w:numId w:val="0"/>
        </w:numPr>
        <w:jc w:val="both"/>
        <w:rPr>
          <w:rFonts w:asciiTheme="majorHAnsi" w:hAnsiTheme="majorHAnsi" w:cstheme="majorHAnsi"/>
          <w:b/>
          <w:color w:val="000000" w:themeColor="text1"/>
          <w:u w:val="single"/>
        </w:rPr>
      </w:pPr>
      <w:r w:rsidRPr="003015CD">
        <w:rPr>
          <w:rFonts w:asciiTheme="majorHAnsi" w:hAnsiTheme="majorHAnsi" w:cstheme="majorHAnsi"/>
          <w:b/>
          <w:color w:val="000000" w:themeColor="text1"/>
          <w:u w:val="single"/>
        </w:rPr>
        <w:t xml:space="preserve">Scientific databases </w:t>
      </w:r>
    </w:p>
    <w:p w14:paraId="4715BA37" w14:textId="0099EAA9" w:rsidR="00FD03E5" w:rsidRPr="003015CD" w:rsidRDefault="00FD03E5"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Scientific databases are important sources of clinical data. It should be noted that information coverage and search features available in scientific databases may not be guaranteed and can change with time</w:t>
      </w:r>
      <w:r w:rsidR="00937B5A" w:rsidRPr="003015CD">
        <w:rPr>
          <w:rFonts w:asciiTheme="majorHAnsi" w:hAnsiTheme="majorHAnsi" w:cstheme="majorHAnsi"/>
          <w:color w:val="000000" w:themeColor="text1"/>
        </w:rPr>
        <w:t>, and searches for clinical data should typically involve multiple databases</w:t>
      </w:r>
      <w:r w:rsidRPr="003015CD">
        <w:rPr>
          <w:rFonts w:asciiTheme="majorHAnsi" w:hAnsiTheme="majorHAnsi" w:cstheme="majorHAnsi"/>
          <w:color w:val="000000" w:themeColor="text1"/>
        </w:rPr>
        <w:t>. Criteria for selecting adequate databases need to be defined and re-evaluated on a regular basis. The manufacturer should justify which databases are to be used for the clinical evaluation.</w:t>
      </w:r>
    </w:p>
    <w:p w14:paraId="2795BB0E" w14:textId="045965BC" w:rsidR="00FD03E5" w:rsidRPr="003015CD" w:rsidRDefault="00FD03E5"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Below is a (non-exhaustive) suggested list of examples of databases</w:t>
      </w:r>
      <w:r w:rsidRPr="003015CD" w:rsidDel="00737179">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(it is not expected that manufacturers will use all of these).</w:t>
      </w:r>
      <w:r w:rsidRPr="003015CD" w:rsidDel="001A3AE9">
        <w:rPr>
          <w:rFonts w:asciiTheme="majorHAnsi" w:hAnsiTheme="majorHAnsi" w:cstheme="majorHAnsi"/>
          <w:color w:val="000000" w:themeColor="text1"/>
        </w:rPr>
        <w:t xml:space="preserve"> </w:t>
      </w:r>
    </w:p>
    <w:p w14:paraId="3635D138" w14:textId="0E262F6F" w:rsidR="00FD03E5" w:rsidRPr="003015CD" w:rsidRDefault="00FD03E5" w:rsidP="00AA4B8B">
      <w:pPr>
        <w:pStyle w:val="Paragraphedeliste"/>
        <w:numPr>
          <w:ilvl w:val="0"/>
          <w:numId w:val="344"/>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Bidi"/>
          <w:b/>
          <w:bCs/>
          <w:color w:val="000000" w:themeColor="text1"/>
        </w:rPr>
        <w:t xml:space="preserve">PubMed </w:t>
      </w:r>
      <w:r w:rsidRPr="003015CD">
        <w:rPr>
          <w:rFonts w:asciiTheme="majorHAnsi" w:hAnsiTheme="majorHAnsi" w:cstheme="majorBidi"/>
          <w:color w:val="000000" w:themeColor="text1"/>
        </w:rPr>
        <w:t>is a free resource containing citations and abstracts of biomedical literature. It does not include</w:t>
      </w:r>
      <w:r w:rsidRPr="003015CD">
        <w:rPr>
          <w:rFonts w:asciiTheme="majorHAnsi" w:hAnsiTheme="majorHAnsi" w:cstheme="majorHAnsi"/>
          <w:color w:val="000000" w:themeColor="text1"/>
        </w:rPr>
        <w:t xml:space="preserve"> full text journal articles. Citations in PubMed primarily stem from the biomedicine and health fields, and related disciplines such as life sciences, behavioural sciences, chemical sciences, and bioengineering</w:t>
      </w:r>
      <w:r w:rsidRPr="003015CD" w:rsidDel="008C1D45">
        <w:rPr>
          <w:rFonts w:asciiTheme="majorHAnsi" w:hAnsiTheme="majorHAnsi" w:cstheme="majorHAnsi"/>
          <w:color w:val="000000" w:themeColor="text1"/>
        </w:rPr>
        <w:t>.</w:t>
      </w:r>
    </w:p>
    <w:p w14:paraId="49A80F9C" w14:textId="5E6C2844" w:rsidR="00FD03E5" w:rsidRPr="003015CD" w:rsidRDefault="00FD03E5" w:rsidP="00AA4B8B">
      <w:pPr>
        <w:pStyle w:val="Paragraphedeliste"/>
        <w:numPr>
          <w:ilvl w:val="0"/>
          <w:numId w:val="344"/>
        </w:numPr>
        <w:autoSpaceDE w:val="0"/>
        <w:autoSpaceDN w:val="0"/>
        <w:adjustRightInd w:val="0"/>
        <w:spacing w:before="0" w:after="0"/>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Embase </w:t>
      </w:r>
      <w:r w:rsidRPr="003015CD">
        <w:rPr>
          <w:rFonts w:asciiTheme="majorHAnsi" w:hAnsiTheme="majorHAnsi" w:cstheme="majorBidi"/>
          <w:color w:val="000000" w:themeColor="text1"/>
        </w:rPr>
        <w:t xml:space="preserve">(Excerpta Medica </w:t>
      </w:r>
      <w:r w:rsidR="001C6199" w:rsidRPr="003015CD">
        <w:rPr>
          <w:rFonts w:asciiTheme="majorHAnsi" w:hAnsiTheme="majorHAnsi" w:cstheme="majorBidi"/>
          <w:color w:val="000000" w:themeColor="text1"/>
        </w:rPr>
        <w:t>database</w:t>
      </w:r>
      <w:r w:rsidRPr="003015CD">
        <w:rPr>
          <w:rFonts w:asciiTheme="majorHAnsi" w:hAnsiTheme="majorHAnsi" w:cstheme="majorBidi"/>
          <w:color w:val="000000" w:themeColor="text1"/>
        </w:rPr>
        <w:t>) is Elsevier’s biomedical database that focuses on drug and pharmaceutical research, medical devices, and clinical medicine</w:t>
      </w:r>
      <w:r w:rsidRPr="003015CD" w:rsidDel="002949AC">
        <w:rPr>
          <w:rFonts w:asciiTheme="majorHAnsi" w:hAnsiTheme="majorHAnsi" w:cstheme="majorBidi"/>
          <w:color w:val="000000" w:themeColor="text1"/>
        </w:rPr>
        <w:t>.</w:t>
      </w:r>
    </w:p>
    <w:p w14:paraId="63B08EE7" w14:textId="253575C4" w:rsidR="002949AC" w:rsidRPr="003015CD" w:rsidRDefault="00FD03E5" w:rsidP="00AA4B8B">
      <w:pPr>
        <w:pStyle w:val="Paragraphedeliste"/>
        <w:numPr>
          <w:ilvl w:val="0"/>
          <w:numId w:val="344"/>
        </w:numPr>
        <w:autoSpaceDE w:val="0"/>
        <w:autoSpaceDN w:val="0"/>
        <w:adjustRightInd w:val="0"/>
        <w:spacing w:before="0" w:after="0"/>
        <w:jc w:val="both"/>
        <w:rPr>
          <w:rFonts w:asciiTheme="majorHAnsi" w:hAnsiTheme="majorHAnsi" w:cstheme="majorBidi"/>
          <w:b/>
          <w:bCs/>
          <w:color w:val="000000" w:themeColor="text1"/>
        </w:rPr>
      </w:pPr>
      <w:r w:rsidRPr="003015CD">
        <w:rPr>
          <w:rFonts w:asciiTheme="majorHAnsi" w:hAnsiTheme="majorHAnsi" w:cstheme="majorBidi"/>
          <w:color w:val="000000" w:themeColor="text1"/>
        </w:rPr>
        <w:t>Scopus is Elsevier´s multidisciplinary abstract and citation database.</w:t>
      </w:r>
    </w:p>
    <w:p w14:paraId="7098F002" w14:textId="77777777" w:rsidR="00FD03E5" w:rsidRPr="003015CD" w:rsidRDefault="00FD03E5" w:rsidP="00AA4B8B">
      <w:pPr>
        <w:pStyle w:val="Paragraphedeliste"/>
        <w:numPr>
          <w:ilvl w:val="0"/>
          <w:numId w:val="344"/>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Bidi"/>
          <w:b/>
          <w:bCs/>
          <w:color w:val="000000" w:themeColor="text1"/>
        </w:rPr>
        <w:t>CINAHL</w:t>
      </w:r>
      <w:r w:rsidRPr="003015CD">
        <w:rPr>
          <w:rFonts w:asciiTheme="majorHAnsi" w:hAnsiTheme="majorHAnsi" w:cstheme="majorHAnsi"/>
          <w:b/>
          <w:color w:val="000000" w:themeColor="text1"/>
        </w:rPr>
        <w:t xml:space="preserve"> </w:t>
      </w:r>
      <w:r w:rsidRPr="003015CD">
        <w:rPr>
          <w:rFonts w:asciiTheme="majorHAnsi" w:hAnsiTheme="majorHAnsi" w:cstheme="majorHAnsi"/>
          <w:color w:val="000000" w:themeColor="text1"/>
        </w:rPr>
        <w:t>is an index of the nursing and allied health literature. It indexes publications from several of the prominent nursing associations and from many publishers.</w:t>
      </w:r>
    </w:p>
    <w:p w14:paraId="019D7CE5" w14:textId="77777777" w:rsidR="0004735D" w:rsidRPr="003015CD" w:rsidRDefault="0004735D" w:rsidP="00081885">
      <w:pPr>
        <w:pStyle w:val="List23"/>
        <w:numPr>
          <w:ilvl w:val="0"/>
          <w:numId w:val="0"/>
        </w:numPr>
        <w:jc w:val="both"/>
        <w:rPr>
          <w:rFonts w:asciiTheme="majorHAnsi" w:hAnsiTheme="majorHAnsi" w:cstheme="majorHAnsi"/>
          <w:color w:val="000000" w:themeColor="text1"/>
        </w:rPr>
      </w:pPr>
    </w:p>
    <w:p w14:paraId="363C80E7" w14:textId="11A853A4" w:rsidR="00FD03E5" w:rsidRPr="003015CD" w:rsidRDefault="00FD03E5" w:rsidP="00081885">
      <w:pPr>
        <w:pStyle w:val="List23"/>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In addition to these databases, there are databases that provide systematic reviews of scientific literature. </w:t>
      </w:r>
      <w:r w:rsidRPr="003015CD">
        <w:rPr>
          <w:rFonts w:asciiTheme="majorHAnsi" w:hAnsiTheme="majorHAnsi" w:cstheme="majorBidi"/>
          <w:b/>
          <w:bCs/>
          <w:color w:val="000000" w:themeColor="text1"/>
          <w:szCs w:val="20"/>
        </w:rPr>
        <w:t>T</w:t>
      </w:r>
      <w:r w:rsidRPr="003015CD">
        <w:rPr>
          <w:rFonts w:asciiTheme="majorHAnsi" w:hAnsiTheme="majorHAnsi" w:cstheme="majorHAnsi"/>
          <w:color w:val="000000" w:themeColor="text1"/>
        </w:rPr>
        <w:t>wo important databases are:</w:t>
      </w:r>
    </w:p>
    <w:p w14:paraId="615C530F" w14:textId="745A9C62" w:rsidR="00845FA3" w:rsidRPr="003015CD" w:rsidRDefault="00845FA3" w:rsidP="00AA4B8B">
      <w:pPr>
        <w:pStyle w:val="Paragraphedeliste"/>
        <w:numPr>
          <w:ilvl w:val="0"/>
          <w:numId w:val="344"/>
        </w:numPr>
        <w:autoSpaceDE w:val="0"/>
        <w:autoSpaceDN w:val="0"/>
        <w:adjustRightInd w:val="0"/>
        <w:spacing w:before="0" w:after="0"/>
        <w:jc w:val="both"/>
        <w:rPr>
          <w:rFonts w:asciiTheme="majorHAnsi" w:hAnsiTheme="majorHAnsi" w:cstheme="majorBidi"/>
          <w:color w:val="000000" w:themeColor="text1"/>
        </w:rPr>
      </w:pPr>
      <w:r w:rsidRPr="003015CD">
        <w:rPr>
          <w:rFonts w:asciiTheme="majorHAnsi" w:hAnsiTheme="majorHAnsi" w:cstheme="majorBidi"/>
          <w:b/>
          <w:bCs/>
          <w:color w:val="000000" w:themeColor="text1"/>
        </w:rPr>
        <w:t xml:space="preserve">The Cochrane Library: </w:t>
      </w:r>
      <w:r w:rsidRPr="003015CD">
        <w:rPr>
          <w:rFonts w:asciiTheme="majorHAnsi" w:hAnsiTheme="majorHAnsi" w:cstheme="majorBidi"/>
          <w:color w:val="000000" w:themeColor="text1"/>
        </w:rPr>
        <w:t>this is a collection of databases in medicine and other healthcare specialties</w:t>
      </w:r>
      <w:r w:rsidR="008C1D45" w:rsidRPr="003015CD">
        <w:rPr>
          <w:rFonts w:asciiTheme="majorHAnsi" w:hAnsiTheme="majorHAnsi" w:cstheme="majorBidi"/>
          <w:color w:val="000000" w:themeColor="text1"/>
        </w:rPr>
        <w:t>.</w:t>
      </w:r>
    </w:p>
    <w:p w14:paraId="75EC36FE" w14:textId="2C8765E2" w:rsidR="00FD03E5" w:rsidRPr="003015CD" w:rsidRDefault="00FD03E5" w:rsidP="00AA4B8B">
      <w:pPr>
        <w:pStyle w:val="Paragraphedeliste"/>
        <w:numPr>
          <w:ilvl w:val="0"/>
          <w:numId w:val="344"/>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Bidi"/>
          <w:b/>
          <w:bCs/>
          <w:color w:val="000000" w:themeColor="text1"/>
        </w:rPr>
        <w:t xml:space="preserve">PROSPERO </w:t>
      </w:r>
      <w:r w:rsidRPr="003015CD">
        <w:rPr>
          <w:rFonts w:asciiTheme="majorHAnsi" w:hAnsiTheme="majorHAnsi" w:cstheme="majorBidi"/>
          <w:color w:val="000000" w:themeColor="text1"/>
        </w:rPr>
        <w:t>(international prospective register of systematic reviews) is an international database of prospectively registered systematic reviews in health and social care, welfare, public health</w:t>
      </w:r>
      <w:r w:rsidRPr="003015CD">
        <w:rPr>
          <w:rFonts w:asciiTheme="majorHAnsi" w:hAnsiTheme="majorHAnsi" w:cstheme="majorHAnsi"/>
          <w:color w:val="000000" w:themeColor="text1"/>
        </w:rPr>
        <w:t>, education, crime, justice, and international development, where there is a health-related outcome. PROSPERO is produced by CRD and funded by the National Institute for Health Research (NIHR).</w:t>
      </w:r>
    </w:p>
    <w:p w14:paraId="0206A590" w14:textId="77777777" w:rsidR="00FD03E5" w:rsidRPr="003015CD" w:rsidRDefault="00FD03E5" w:rsidP="00081885">
      <w:pPr>
        <w:pStyle w:val="List23"/>
        <w:numPr>
          <w:ilvl w:val="0"/>
          <w:numId w:val="0"/>
        </w:numPr>
        <w:ind w:left="720"/>
        <w:jc w:val="both"/>
        <w:rPr>
          <w:rFonts w:asciiTheme="majorHAnsi" w:hAnsiTheme="majorHAnsi" w:cstheme="majorHAnsi"/>
          <w:color w:val="000000" w:themeColor="text1"/>
        </w:rPr>
      </w:pPr>
    </w:p>
    <w:p w14:paraId="540A3F62" w14:textId="77777777" w:rsidR="00FD03E5" w:rsidRPr="003015CD" w:rsidRDefault="00FD03E5" w:rsidP="00081885">
      <w:pPr>
        <w:pStyle w:val="Sansinterligne"/>
        <w:numPr>
          <w:ilvl w:val="0"/>
          <w:numId w:val="0"/>
        </w:numPr>
        <w:jc w:val="both"/>
        <w:rPr>
          <w:rFonts w:asciiTheme="majorHAnsi" w:hAnsiTheme="majorHAnsi" w:cstheme="majorHAnsi"/>
          <w:b/>
          <w:color w:val="000000" w:themeColor="text1"/>
          <w:u w:val="single"/>
        </w:rPr>
      </w:pPr>
      <w:r w:rsidRPr="003015CD">
        <w:rPr>
          <w:rFonts w:asciiTheme="majorHAnsi" w:hAnsiTheme="majorHAnsi" w:cstheme="majorHAnsi"/>
          <w:b/>
          <w:color w:val="000000" w:themeColor="text1"/>
          <w:u w:val="single"/>
        </w:rPr>
        <w:t xml:space="preserve">Other sources of clinical data  </w:t>
      </w:r>
    </w:p>
    <w:p w14:paraId="282E63AE" w14:textId="63DFCDFF" w:rsidR="00FD03E5" w:rsidRPr="003015CD" w:rsidRDefault="00FD03E5"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Other sources can provide additional clinical data to that listed above (see examples below), many of which are available as open access. Several universities provide information about different resources as well as links to them. Moreover, information about sources, searches and use of data is provided as a part of Cochrane training</w:t>
      </w:r>
      <w:r w:rsidRPr="003015CD">
        <w:rPr>
          <w:rStyle w:val="Appelnotedebasdep"/>
          <w:rFonts w:asciiTheme="majorHAnsi" w:hAnsiTheme="majorHAnsi" w:cstheme="majorHAnsi"/>
          <w:color w:val="000000" w:themeColor="text1"/>
        </w:rPr>
        <w:footnoteReference w:id="106"/>
      </w:r>
      <w:r w:rsidRPr="003015CD">
        <w:rPr>
          <w:rFonts w:asciiTheme="majorHAnsi" w:hAnsiTheme="majorHAnsi" w:cstheme="majorHAnsi"/>
          <w:color w:val="000000" w:themeColor="text1"/>
        </w:rPr>
        <w:t>.</w:t>
      </w:r>
    </w:p>
    <w:p w14:paraId="16B2C2DC" w14:textId="77777777" w:rsidR="00FD03E5" w:rsidRPr="003015CD" w:rsidRDefault="00FD03E5" w:rsidP="00081885">
      <w:pPr>
        <w:pStyle w:val="Sansinterligne"/>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Examples of other sources, together with information regarding type of clinical data and information that can be found, are listed below:</w:t>
      </w:r>
    </w:p>
    <w:p w14:paraId="62EA31AF" w14:textId="3A1CEB1D" w:rsidR="00FD03E5" w:rsidRPr="003015CD" w:rsidRDefault="00FD03E5" w:rsidP="00081885">
      <w:pPr>
        <w:numPr>
          <w:ilvl w:val="0"/>
          <w:numId w:val="90"/>
        </w:numPr>
        <w:spacing w:before="0" w:after="0"/>
        <w:ind w:left="426"/>
        <w:jc w:val="both"/>
        <w:textAlignment w:val="center"/>
        <w:rPr>
          <w:rFonts w:asciiTheme="majorHAnsi" w:eastAsia="Times New Roman" w:hAnsiTheme="majorHAnsi" w:cstheme="majorBidi"/>
          <w:color w:val="000000" w:themeColor="text1"/>
          <w:lang w:eastAsia="en-IE"/>
        </w:rPr>
      </w:pPr>
      <w:r w:rsidRPr="003015CD">
        <w:rPr>
          <w:rFonts w:asciiTheme="majorHAnsi" w:eastAsia="Times New Roman" w:hAnsiTheme="majorHAnsi" w:cstheme="majorHAnsi"/>
          <w:color w:val="000000" w:themeColor="text1"/>
          <w:szCs w:val="22"/>
          <w:lang w:eastAsia="en-IE"/>
        </w:rPr>
        <w:t>M</w:t>
      </w:r>
      <w:r w:rsidRPr="003015CD">
        <w:rPr>
          <w:rFonts w:asciiTheme="majorHAnsi" w:eastAsia="Times New Roman" w:hAnsiTheme="majorHAnsi" w:cstheme="majorBidi"/>
          <w:color w:val="000000" w:themeColor="text1"/>
          <w:lang w:eastAsia="en-IE"/>
        </w:rPr>
        <w:t>anufacturers´ websites, EUDAMED</w:t>
      </w:r>
      <w:r w:rsidRPr="003015CD">
        <w:rPr>
          <w:rStyle w:val="Appelnotedebasdep"/>
          <w:rFonts w:asciiTheme="majorHAnsi" w:eastAsia="Times New Roman" w:hAnsiTheme="majorHAnsi" w:cstheme="majorBidi"/>
          <w:color w:val="000000" w:themeColor="text1"/>
          <w:lang w:eastAsia="en-IE"/>
        </w:rPr>
        <w:footnoteReference w:id="107"/>
      </w:r>
      <w:r w:rsidRPr="003015CD">
        <w:rPr>
          <w:rFonts w:asciiTheme="majorHAnsi" w:eastAsia="Times New Roman" w:hAnsiTheme="majorHAnsi" w:cstheme="majorBidi"/>
          <w:color w:val="000000" w:themeColor="text1"/>
          <w:lang w:eastAsia="en-IE"/>
        </w:rPr>
        <w:t>, websites of European competent authorities and other sites, publish field safety corrective actions and</w:t>
      </w:r>
      <w:r w:rsidR="005160D9" w:rsidRPr="003015CD">
        <w:rPr>
          <w:rFonts w:asciiTheme="majorHAnsi" w:eastAsia="Times New Roman" w:hAnsiTheme="majorHAnsi" w:cstheme="majorBidi"/>
          <w:color w:val="000000" w:themeColor="text1"/>
          <w:lang w:eastAsia="en-IE"/>
        </w:rPr>
        <w:t xml:space="preserve"> (partial)</w:t>
      </w:r>
      <w:r w:rsidRPr="003015CD">
        <w:rPr>
          <w:rFonts w:asciiTheme="majorHAnsi" w:eastAsia="Times New Roman" w:hAnsiTheme="majorHAnsi" w:cstheme="majorBidi"/>
          <w:color w:val="000000" w:themeColor="text1"/>
          <w:lang w:eastAsia="en-IE"/>
        </w:rPr>
        <w:t xml:space="preserve"> vigilance reports that can be relevant for the device under evaluation.</w:t>
      </w:r>
    </w:p>
    <w:p w14:paraId="4D80F684" w14:textId="77A06E28" w:rsidR="00FD03E5" w:rsidRPr="003015CD" w:rsidRDefault="00FD03E5" w:rsidP="00081885">
      <w:pPr>
        <w:numPr>
          <w:ilvl w:val="0"/>
          <w:numId w:val="90"/>
        </w:numPr>
        <w:spacing w:before="0" w:after="0"/>
        <w:ind w:left="426"/>
        <w:jc w:val="both"/>
        <w:textAlignment w:val="center"/>
        <w:rPr>
          <w:rFonts w:asciiTheme="majorHAnsi" w:hAnsiTheme="majorHAnsi" w:cstheme="majorBidi"/>
          <w:color w:val="000000" w:themeColor="text1"/>
        </w:rPr>
      </w:pPr>
      <w:r w:rsidRPr="003015CD">
        <w:rPr>
          <w:rFonts w:asciiTheme="majorHAnsi" w:eastAsia="Times New Roman" w:hAnsiTheme="majorHAnsi" w:cstheme="majorBidi"/>
          <w:color w:val="000000" w:themeColor="text1"/>
          <w:lang w:eastAsia="en-IE"/>
        </w:rPr>
        <w:t xml:space="preserve">Besides the sources of FSCAs mentioned above, non-EU databases managed by </w:t>
      </w:r>
      <w:r w:rsidR="005160D9" w:rsidRPr="003015CD">
        <w:rPr>
          <w:rFonts w:asciiTheme="majorHAnsi" w:eastAsia="Times New Roman" w:hAnsiTheme="majorHAnsi" w:cstheme="majorBidi"/>
          <w:color w:val="000000" w:themeColor="text1"/>
          <w:lang w:eastAsia="en-IE"/>
        </w:rPr>
        <w:t>other agencies such as</w:t>
      </w:r>
      <w:r w:rsidRPr="003015CD">
        <w:rPr>
          <w:rFonts w:asciiTheme="majorHAnsi" w:eastAsia="Times New Roman" w:hAnsiTheme="majorHAnsi" w:cstheme="majorBidi"/>
          <w:color w:val="000000" w:themeColor="text1"/>
          <w:lang w:eastAsia="en-IE"/>
        </w:rPr>
        <w:t xml:space="preserve"> the Therapeutic</w:t>
      </w:r>
      <w:r w:rsidRPr="003015CD">
        <w:rPr>
          <w:rFonts w:asciiTheme="majorHAnsi" w:hAnsiTheme="majorHAnsi" w:cstheme="majorBidi"/>
          <w:color w:val="000000" w:themeColor="text1"/>
        </w:rPr>
        <w:t xml:space="preserve"> Goods Administration, Australia (TGA), Medicines and Healthcare products regulatory agency in the UK (MHRA), t</w:t>
      </w:r>
      <w:r w:rsidRPr="003015CD">
        <w:rPr>
          <w:rFonts w:asciiTheme="majorHAnsi" w:eastAsia="Times New Roman" w:hAnsiTheme="majorHAnsi" w:cstheme="majorBidi"/>
          <w:color w:val="000000" w:themeColor="text1"/>
          <w:lang w:eastAsia="en-IE"/>
        </w:rPr>
        <w:t xml:space="preserve">he </w:t>
      </w:r>
      <w:r w:rsidR="0038129B" w:rsidRPr="003015CD">
        <w:rPr>
          <w:rFonts w:asciiTheme="majorHAnsi" w:eastAsia="Times New Roman" w:hAnsiTheme="majorHAnsi" w:cstheme="majorBidi"/>
          <w:color w:val="000000" w:themeColor="text1"/>
          <w:lang w:eastAsia="en-IE"/>
        </w:rPr>
        <w:t>Food and Drug Administration</w:t>
      </w:r>
      <w:r w:rsidR="00033D12" w:rsidRPr="003015CD">
        <w:rPr>
          <w:rFonts w:asciiTheme="majorHAnsi" w:eastAsia="Times New Roman" w:hAnsiTheme="majorHAnsi" w:cstheme="majorBidi"/>
          <w:color w:val="000000" w:themeColor="text1"/>
          <w:lang w:eastAsia="en-IE"/>
        </w:rPr>
        <w:t>, US</w:t>
      </w:r>
      <w:r w:rsidR="0038129B" w:rsidRPr="003015CD">
        <w:rPr>
          <w:rFonts w:asciiTheme="majorHAnsi" w:eastAsia="Times New Roman" w:hAnsiTheme="majorHAnsi" w:cstheme="majorBidi"/>
          <w:color w:val="000000" w:themeColor="text1"/>
          <w:lang w:eastAsia="en-IE"/>
        </w:rPr>
        <w:t xml:space="preserve"> (FDA</w:t>
      </w:r>
      <w:r w:rsidR="00DC0CAB" w:rsidRPr="003015CD">
        <w:rPr>
          <w:rFonts w:asciiTheme="majorHAnsi" w:eastAsia="Times New Roman" w:hAnsiTheme="majorHAnsi" w:cstheme="majorBidi"/>
          <w:color w:val="000000" w:themeColor="text1"/>
          <w:lang w:eastAsia="en-IE"/>
        </w:rPr>
        <w:t xml:space="preserve">), </w:t>
      </w:r>
      <w:r w:rsidR="00DC0CAB" w:rsidRPr="003015CD">
        <w:rPr>
          <w:rFonts w:asciiTheme="majorHAnsi" w:hAnsiTheme="majorHAnsi" w:cstheme="majorBidi"/>
          <w:color w:val="000000" w:themeColor="text1"/>
        </w:rPr>
        <w:t>contain</w:t>
      </w:r>
      <w:r w:rsidRPr="003015CD">
        <w:rPr>
          <w:rFonts w:asciiTheme="majorHAnsi" w:hAnsiTheme="majorHAnsi" w:cstheme="majorBidi"/>
          <w:color w:val="000000" w:themeColor="text1"/>
        </w:rPr>
        <w:t xml:space="preserve"> medical device reports submitted under mandatory reporting schemes (by e.g. manufacturers, importers, and device user facilities) and voluntary reporters such as health care professionals, patients, and consumers.</w:t>
      </w:r>
    </w:p>
    <w:p w14:paraId="677E0E07" w14:textId="513D6735" w:rsidR="00FD03E5" w:rsidRPr="003015CD" w:rsidRDefault="00FD03E5" w:rsidP="00081885">
      <w:pPr>
        <w:numPr>
          <w:ilvl w:val="0"/>
          <w:numId w:val="90"/>
        </w:numPr>
        <w:spacing w:before="0" w:after="0"/>
        <w:ind w:left="426"/>
        <w:jc w:val="both"/>
        <w:textAlignment w:val="center"/>
        <w:rPr>
          <w:rFonts w:asciiTheme="majorHAnsi" w:eastAsia="Times New Roman" w:hAnsiTheme="majorHAnsi" w:cstheme="majorBidi"/>
          <w:color w:val="000000" w:themeColor="text1"/>
          <w:lang w:eastAsia="en-IE"/>
        </w:rPr>
      </w:pPr>
      <w:r w:rsidRPr="003015CD">
        <w:rPr>
          <w:rFonts w:asciiTheme="majorHAnsi" w:eastAsia="Times New Roman" w:hAnsiTheme="majorHAnsi" w:cstheme="majorBidi"/>
          <w:color w:val="000000" w:themeColor="text1"/>
          <w:lang w:eastAsia="en-IE"/>
        </w:rPr>
        <w:t xml:space="preserve">Medical device registries/registers and disease registries, especially those that are governed by national bodies or speciality medical associations, can be useful sources for RWD.  RWD may be used in for example retrospective studies and registries themselves also issue annual reports (the level of detail may however be low). </w:t>
      </w:r>
    </w:p>
    <w:p w14:paraId="69ED07D8" w14:textId="407A847D" w:rsidR="00FD03E5" w:rsidRPr="003015CD" w:rsidRDefault="00FD03E5" w:rsidP="00081885">
      <w:pPr>
        <w:numPr>
          <w:ilvl w:val="0"/>
          <w:numId w:val="90"/>
        </w:numPr>
        <w:spacing w:before="0" w:after="0"/>
        <w:ind w:left="426"/>
        <w:jc w:val="both"/>
        <w:textAlignment w:val="center"/>
        <w:rPr>
          <w:rFonts w:asciiTheme="majorHAnsi" w:eastAsia="Times New Roman" w:hAnsiTheme="majorHAnsi" w:cstheme="majorBidi"/>
          <w:color w:val="000000" w:themeColor="text1"/>
          <w:lang w:eastAsia="en-IE"/>
        </w:rPr>
      </w:pPr>
      <w:r w:rsidRPr="003015CD">
        <w:rPr>
          <w:rFonts w:asciiTheme="majorHAnsi" w:eastAsia="Times New Roman" w:hAnsiTheme="majorHAnsi" w:cstheme="majorBidi"/>
          <w:color w:val="000000" w:themeColor="text1"/>
          <w:lang w:eastAsia="en-IE"/>
        </w:rPr>
        <w:t xml:space="preserve">Clinical investigations conducted </w:t>
      </w:r>
      <w:r w:rsidR="00DC0CAB" w:rsidRPr="003015CD">
        <w:rPr>
          <w:rFonts w:asciiTheme="majorHAnsi" w:eastAsia="Times New Roman" w:hAnsiTheme="majorHAnsi" w:cstheme="majorBidi"/>
          <w:color w:val="000000" w:themeColor="text1"/>
          <w:lang w:eastAsia="en-IE"/>
        </w:rPr>
        <w:t>under MDR</w:t>
      </w:r>
      <w:r w:rsidRPr="003015CD">
        <w:rPr>
          <w:rFonts w:asciiTheme="majorHAnsi" w:eastAsia="Times New Roman" w:hAnsiTheme="majorHAnsi" w:cstheme="majorBidi"/>
          <w:color w:val="000000" w:themeColor="text1"/>
          <w:lang w:eastAsia="en-IE"/>
        </w:rPr>
        <w:t xml:space="preserve"> will be reported in a specific module in EUDAMED </w:t>
      </w:r>
      <w:r w:rsidRPr="003015CD">
        <w:rPr>
          <w:rStyle w:val="Appelnotedebasdep"/>
          <w:rFonts w:asciiTheme="majorHAnsi" w:eastAsia="Times New Roman" w:hAnsiTheme="majorHAnsi" w:cstheme="majorBidi"/>
          <w:color w:val="000000" w:themeColor="text1"/>
          <w:lang w:eastAsia="en-IE"/>
        </w:rPr>
        <w:footnoteReference w:id="108"/>
      </w:r>
    </w:p>
    <w:p w14:paraId="4552D97D" w14:textId="77777777" w:rsidR="00FD03E5" w:rsidRPr="003015CD" w:rsidRDefault="00FD03E5" w:rsidP="00081885">
      <w:pPr>
        <w:numPr>
          <w:ilvl w:val="0"/>
          <w:numId w:val="90"/>
        </w:numPr>
        <w:spacing w:before="0" w:after="0"/>
        <w:ind w:left="426"/>
        <w:jc w:val="both"/>
        <w:textAlignment w:val="center"/>
        <w:rPr>
          <w:rFonts w:asciiTheme="majorHAnsi" w:eastAsia="Times New Roman" w:hAnsiTheme="majorHAnsi" w:cstheme="majorHAnsi"/>
          <w:color w:val="000000" w:themeColor="text1"/>
          <w:szCs w:val="22"/>
          <w:lang w:eastAsia="en-IE"/>
        </w:rPr>
      </w:pPr>
      <w:r w:rsidRPr="003015CD">
        <w:rPr>
          <w:rFonts w:asciiTheme="majorHAnsi" w:eastAsia="Times New Roman" w:hAnsiTheme="majorHAnsi" w:cstheme="majorHAnsi"/>
          <w:color w:val="000000" w:themeColor="text1"/>
          <w:szCs w:val="22"/>
          <w:lang w:eastAsia="en-IE"/>
        </w:rPr>
        <w:t xml:space="preserve">The ClinicalTrials.gov (US government website) and WHO International Clinical Trials Registry Platform (ICTRP) can be used to identify clinical studies. It should be noted that although these databases should include information about study results, once studies have been completed, results are not always reported (in a timely manner).  </w:t>
      </w:r>
    </w:p>
    <w:p w14:paraId="166E5918" w14:textId="77777777" w:rsidR="00FD03E5" w:rsidRPr="003015CD" w:rsidRDefault="00FD03E5" w:rsidP="00081885">
      <w:pPr>
        <w:pStyle w:val="Sansinterligne"/>
        <w:numPr>
          <w:ilvl w:val="0"/>
          <w:numId w:val="0"/>
        </w:numPr>
        <w:ind w:left="360"/>
        <w:jc w:val="both"/>
        <w:rPr>
          <w:rFonts w:asciiTheme="majorHAnsi" w:hAnsiTheme="majorHAnsi" w:cstheme="majorHAnsi"/>
          <w:color w:val="000000" w:themeColor="text1"/>
        </w:rPr>
      </w:pPr>
    </w:p>
    <w:p w14:paraId="225CA88A" w14:textId="6A85D7A0" w:rsidR="002A7F3C" w:rsidRPr="003015CD" w:rsidRDefault="002A7F3C">
      <w:pPr>
        <w:spacing w:before="0" w:after="0"/>
        <w:rPr>
          <w:rFonts w:asciiTheme="majorHAnsi" w:hAnsiTheme="majorHAnsi" w:cstheme="majorHAnsi"/>
          <w:color w:val="000000" w:themeColor="text1"/>
          <w:szCs w:val="22"/>
        </w:rPr>
      </w:pPr>
      <w:r w:rsidRPr="003015CD">
        <w:rPr>
          <w:rFonts w:asciiTheme="majorHAnsi" w:hAnsiTheme="majorHAnsi" w:cstheme="majorHAnsi"/>
          <w:color w:val="000000" w:themeColor="text1"/>
        </w:rPr>
        <w:br w:type="page"/>
      </w:r>
    </w:p>
    <w:p w14:paraId="57BA8029" w14:textId="77777777" w:rsidR="00FD03E5" w:rsidRPr="003015CD" w:rsidRDefault="00FD03E5" w:rsidP="00081885">
      <w:pPr>
        <w:pStyle w:val="App2"/>
        <w:tabs>
          <w:tab w:val="clear" w:pos="567"/>
          <w:tab w:val="clear" w:pos="709"/>
          <w:tab w:val="left" w:pos="284"/>
        </w:tabs>
        <w:ind w:left="426"/>
        <w:jc w:val="both"/>
      </w:pPr>
      <w:bookmarkStart w:id="249" w:name="_Toc446499056"/>
      <w:bookmarkStart w:id="250" w:name="_Ref164160714"/>
      <w:bookmarkStart w:id="251" w:name="_Ref165982726"/>
      <w:bookmarkStart w:id="252" w:name="_Ref165982736"/>
      <w:bookmarkStart w:id="253" w:name="_Ref165990602"/>
      <w:bookmarkStart w:id="254" w:name="_Ref167459476"/>
      <w:bookmarkStart w:id="255" w:name="_Ref233808297"/>
      <w:bookmarkStart w:id="256" w:name="_Ref233808485"/>
      <w:bookmarkStart w:id="257" w:name="_Toc236912936"/>
      <w:bookmarkEnd w:id="248"/>
      <w:r w:rsidRPr="003015CD">
        <w:t>Identification of available clinical data not held by the manufacturer, key elements</w:t>
      </w:r>
      <w:bookmarkEnd w:id="249"/>
      <w:bookmarkEnd w:id="250"/>
      <w:bookmarkEnd w:id="251"/>
      <w:bookmarkEnd w:id="252"/>
      <w:bookmarkEnd w:id="253"/>
      <w:bookmarkEnd w:id="254"/>
      <w:r w:rsidRPr="003015CD">
        <w:t xml:space="preserve"> for literature searches</w:t>
      </w:r>
      <w:bookmarkEnd w:id="255"/>
      <w:bookmarkEnd w:id="256"/>
      <w:bookmarkEnd w:id="257"/>
    </w:p>
    <w:p w14:paraId="28D3906B" w14:textId="012431DC"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Identification of available clinical data not held by the manufacturer is conducted through literature searches that are based on a literature search protocol and reported in a literature search report. The literature search protocol(s) (there may be several) may be part of the CEP and the literature search report of the CER, or they may be standalone documents that are referenced in the other clinical evaluation documents. </w:t>
      </w:r>
    </w:p>
    <w:p w14:paraId="57582572" w14:textId="248E19FF" w:rsidR="00FD03E5" w:rsidRPr="003015CD" w:rsidRDefault="008C7987" w:rsidP="008A24FE">
      <w:pPr>
        <w:pStyle w:val="Titre2"/>
        <w:numPr>
          <w:ilvl w:val="0"/>
          <w:numId w:val="0"/>
        </w:numPr>
        <w:jc w:val="both"/>
        <w:rPr>
          <w:rFonts w:asciiTheme="majorHAnsi" w:hAnsiTheme="majorHAnsi" w:cstheme="majorHAnsi"/>
          <w:color w:val="000000" w:themeColor="text1"/>
        </w:rPr>
      </w:pPr>
      <w:bookmarkStart w:id="258" w:name="_Toc236912937"/>
      <w:r w:rsidRPr="003015CD">
        <w:rPr>
          <w:rFonts w:asciiTheme="majorHAnsi" w:hAnsiTheme="majorHAnsi" w:cstheme="majorHAnsi"/>
          <w:color w:val="000000" w:themeColor="text1"/>
        </w:rPr>
        <w:t xml:space="preserve">A6.1 </w:t>
      </w:r>
      <w:r w:rsidR="00FD03E5" w:rsidRPr="003015CD">
        <w:rPr>
          <w:rFonts w:asciiTheme="majorHAnsi" w:hAnsiTheme="majorHAnsi" w:cstheme="majorHAnsi"/>
          <w:color w:val="000000" w:themeColor="text1"/>
        </w:rPr>
        <w:t>Methods</w:t>
      </w:r>
      <w:bookmarkEnd w:id="258"/>
    </w:p>
    <w:p w14:paraId="6BA178AD" w14:textId="0811F4C4" w:rsidR="00FD03E5" w:rsidRPr="003015CD" w:rsidRDefault="00FD03E5" w:rsidP="00081885">
      <w:pPr>
        <w:jc w:val="both"/>
      </w:pPr>
      <w:r w:rsidRPr="003015CD">
        <w:rPr>
          <w:rFonts w:asciiTheme="majorHAnsi" w:hAnsiTheme="majorHAnsi" w:cstheme="majorBidi"/>
          <w:color w:val="000000" w:themeColor="text1"/>
        </w:rPr>
        <w:t>The selection of clinical data should be objective and justified</w:t>
      </w:r>
      <w:r w:rsidR="00DF13F7" w:rsidRPr="003015CD">
        <w:rPr>
          <w:rFonts w:asciiTheme="majorHAnsi" w:hAnsiTheme="majorHAnsi" w:cstheme="majorBidi"/>
          <w:color w:val="000000" w:themeColor="text1"/>
        </w:rPr>
        <w:t xml:space="preserve"> and </w:t>
      </w:r>
      <w:r w:rsidRPr="003015CD">
        <w:rPr>
          <w:rFonts w:asciiTheme="majorHAnsi" w:hAnsiTheme="majorHAnsi" w:cstheme="majorBidi"/>
          <w:color w:val="000000" w:themeColor="text1"/>
        </w:rPr>
        <w:t xml:space="preserve">include all relevant publications, reports, assessments, etc., presenting both favourable and unfavourable data. It is important that the clinical evaluators can assess the degree to which the selected data reflect the intended use of the device. </w:t>
      </w:r>
    </w:p>
    <w:p w14:paraId="2C9F8520" w14:textId="2ED8B060"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search strategy should be based on carefully constructed research questions. These should be consistent with the scope of the clinical evaluation and carefully constructed using objective, non-biased, systematic search methods. Examples </w:t>
      </w:r>
      <w:r w:rsidR="009C42B3" w:rsidRPr="003015CD">
        <w:rPr>
          <w:rFonts w:asciiTheme="majorHAnsi" w:hAnsiTheme="majorHAnsi" w:cstheme="majorHAnsi"/>
          <w:color w:val="000000" w:themeColor="text1"/>
        </w:rPr>
        <w:t>include (non-exhaustive list)</w:t>
      </w:r>
      <w:r w:rsidRPr="003015CD">
        <w:rPr>
          <w:rFonts w:asciiTheme="majorHAnsi" w:hAnsiTheme="majorHAnsi" w:cstheme="majorHAnsi"/>
          <w:color w:val="000000" w:themeColor="text1"/>
        </w:rPr>
        <w:t>:</w:t>
      </w:r>
    </w:p>
    <w:p w14:paraId="7EC2F543" w14:textId="77777777" w:rsidR="00FD03E5" w:rsidRPr="003015CD" w:rsidRDefault="00FD03E5" w:rsidP="00081885">
      <w:pPr>
        <w:numPr>
          <w:ilvl w:val="0"/>
          <w:numId w:val="90"/>
        </w:numPr>
        <w:spacing w:before="0" w:after="0"/>
        <w:ind w:left="426"/>
        <w:jc w:val="both"/>
        <w:textAlignment w:val="center"/>
        <w:rPr>
          <w:rFonts w:asciiTheme="majorHAnsi" w:eastAsia="Times New Roman" w:hAnsiTheme="majorHAnsi" w:cstheme="majorHAnsi"/>
          <w:color w:val="000000" w:themeColor="text1"/>
          <w:szCs w:val="22"/>
          <w:lang w:eastAsia="en-IE"/>
        </w:rPr>
      </w:pPr>
      <w:r w:rsidRPr="003015CD">
        <w:rPr>
          <w:rFonts w:asciiTheme="majorHAnsi" w:eastAsia="Times New Roman" w:hAnsiTheme="majorHAnsi" w:cstheme="majorHAnsi"/>
          <w:color w:val="000000" w:themeColor="text1"/>
          <w:szCs w:val="22"/>
          <w:lang w:eastAsia="en-IE"/>
        </w:rPr>
        <w:t>PICO (patient characteristics, type of intervention</w:t>
      </w:r>
      <w:r w:rsidRPr="003015CD">
        <w:rPr>
          <w:rFonts w:eastAsia="Times New Roman"/>
          <w:szCs w:val="22"/>
          <w:vertAlign w:val="superscript"/>
          <w:lang w:eastAsia="en-IE"/>
        </w:rPr>
        <w:footnoteReference w:id="109"/>
      </w:r>
      <w:r w:rsidRPr="003015CD">
        <w:rPr>
          <w:rFonts w:asciiTheme="majorHAnsi" w:eastAsia="Times New Roman" w:hAnsiTheme="majorHAnsi" w:cstheme="majorHAnsi"/>
          <w:color w:val="000000" w:themeColor="text1"/>
          <w:szCs w:val="22"/>
          <w:lang w:eastAsia="en-IE"/>
        </w:rPr>
        <w:t>, control, and outcome queries)</w:t>
      </w:r>
    </w:p>
    <w:p w14:paraId="184806F9" w14:textId="0AFB4902" w:rsidR="00FD03E5" w:rsidRPr="003015CD" w:rsidRDefault="00A6223B" w:rsidP="00081885">
      <w:pPr>
        <w:numPr>
          <w:ilvl w:val="0"/>
          <w:numId w:val="90"/>
        </w:numPr>
        <w:spacing w:before="0" w:after="0"/>
        <w:ind w:left="426"/>
        <w:jc w:val="both"/>
        <w:textAlignment w:val="center"/>
        <w:rPr>
          <w:rFonts w:asciiTheme="majorHAnsi" w:eastAsia="Times New Roman" w:hAnsiTheme="majorHAnsi" w:cstheme="majorHAnsi"/>
          <w:color w:val="000000" w:themeColor="text1"/>
          <w:szCs w:val="22"/>
          <w:lang w:eastAsia="en-IE"/>
        </w:rPr>
      </w:pPr>
      <w:r w:rsidRPr="003015CD">
        <w:rPr>
          <w:rFonts w:asciiTheme="majorHAnsi" w:eastAsia="Times New Roman" w:hAnsiTheme="majorHAnsi" w:cstheme="majorHAnsi"/>
          <w:color w:val="000000" w:themeColor="text1"/>
          <w:szCs w:val="22"/>
          <w:lang w:eastAsia="en-IE"/>
        </w:rPr>
        <w:t>Str</w:t>
      </w:r>
      <w:r w:rsidR="00655EC4" w:rsidRPr="003015CD">
        <w:rPr>
          <w:rFonts w:asciiTheme="majorHAnsi" w:eastAsia="Times New Roman" w:hAnsiTheme="majorHAnsi" w:cstheme="majorHAnsi"/>
          <w:color w:val="000000" w:themeColor="text1"/>
          <w:szCs w:val="22"/>
          <w:lang w:eastAsia="en-IE"/>
        </w:rPr>
        <w:t xml:space="preserve">ategies described in the </w:t>
      </w:r>
      <w:r w:rsidR="00FD03E5" w:rsidRPr="003015CD">
        <w:rPr>
          <w:rFonts w:asciiTheme="majorHAnsi" w:eastAsia="Times New Roman" w:hAnsiTheme="majorHAnsi" w:cstheme="majorHAnsi"/>
          <w:color w:val="000000" w:themeColor="text1"/>
          <w:szCs w:val="22"/>
          <w:lang w:eastAsia="en-IE"/>
        </w:rPr>
        <w:t>Cochrane Handbook for Systematic Reviews of Interventions</w:t>
      </w:r>
    </w:p>
    <w:p w14:paraId="1E404D36" w14:textId="77777777" w:rsidR="00FD03E5" w:rsidRPr="003015CD" w:rsidRDefault="00FD03E5" w:rsidP="00081885">
      <w:pPr>
        <w:numPr>
          <w:ilvl w:val="0"/>
          <w:numId w:val="90"/>
        </w:numPr>
        <w:spacing w:before="0" w:after="0"/>
        <w:ind w:left="426"/>
        <w:jc w:val="both"/>
        <w:textAlignment w:val="center"/>
        <w:rPr>
          <w:rFonts w:asciiTheme="majorHAnsi" w:eastAsia="Times New Roman" w:hAnsiTheme="majorHAnsi" w:cstheme="majorHAnsi"/>
          <w:color w:val="000000" w:themeColor="text1"/>
          <w:szCs w:val="22"/>
          <w:lang w:eastAsia="en-IE"/>
        </w:rPr>
      </w:pPr>
      <w:r w:rsidRPr="003015CD">
        <w:rPr>
          <w:rFonts w:asciiTheme="majorHAnsi" w:eastAsia="Times New Roman" w:hAnsiTheme="majorHAnsi" w:cstheme="majorHAnsi"/>
          <w:color w:val="000000" w:themeColor="text1"/>
          <w:szCs w:val="22"/>
          <w:lang w:eastAsia="en-IE"/>
        </w:rPr>
        <w:t>PRISMA (The Preferred Reporting Items for Systematic Reviews and Meta-Analyses) Statement</w:t>
      </w:r>
    </w:p>
    <w:p w14:paraId="23DEC06C" w14:textId="77777777" w:rsidR="00FD03E5" w:rsidRPr="003015CD" w:rsidRDefault="00FD03E5" w:rsidP="00081885">
      <w:pPr>
        <w:numPr>
          <w:ilvl w:val="0"/>
          <w:numId w:val="90"/>
        </w:numPr>
        <w:spacing w:before="0" w:after="0"/>
        <w:ind w:left="426"/>
        <w:jc w:val="both"/>
        <w:textAlignment w:val="center"/>
        <w:rPr>
          <w:rFonts w:asciiTheme="majorHAnsi" w:hAnsiTheme="majorHAnsi" w:cstheme="majorHAnsi"/>
          <w:color w:val="000000" w:themeColor="text1"/>
        </w:rPr>
      </w:pPr>
      <w:r w:rsidRPr="003015CD">
        <w:rPr>
          <w:rFonts w:asciiTheme="majorHAnsi" w:eastAsia="Times New Roman" w:hAnsiTheme="majorHAnsi" w:cstheme="majorHAnsi"/>
          <w:color w:val="000000" w:themeColor="text1"/>
          <w:szCs w:val="22"/>
          <w:lang w:eastAsia="en-IE"/>
        </w:rPr>
        <w:t>MOOSE</w:t>
      </w:r>
      <w:r w:rsidRPr="003015CD">
        <w:rPr>
          <w:rFonts w:asciiTheme="majorHAnsi" w:hAnsiTheme="majorHAnsi" w:cstheme="majorHAnsi"/>
          <w:color w:val="000000" w:themeColor="text1"/>
        </w:rPr>
        <w:t xml:space="preserve"> Proposal (Meta-analysis Of Observational Studies in Epidemiology)</w:t>
      </w:r>
    </w:p>
    <w:p w14:paraId="3388C4BB" w14:textId="6B43527A"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Important inputs for the research question(s) are the device description and the intended purpose and performance of the device including any claims on clinical performance and clinical safety which the manufacturer </w:t>
      </w:r>
      <w:r w:rsidR="0044218F" w:rsidRPr="003015CD">
        <w:rPr>
          <w:rFonts w:asciiTheme="majorHAnsi" w:hAnsiTheme="majorHAnsi" w:cstheme="majorBidi"/>
          <w:color w:val="000000" w:themeColor="text1"/>
        </w:rPr>
        <w:t>will make</w:t>
      </w:r>
      <w:r w:rsidRPr="003015CD">
        <w:rPr>
          <w:rFonts w:asciiTheme="majorHAnsi" w:hAnsiTheme="majorHAnsi" w:cstheme="majorBidi"/>
          <w:color w:val="000000" w:themeColor="text1"/>
        </w:rPr>
        <w:t xml:space="preserve">. Also, information such as device or procedure specific risks identified within the risk management process may provide important input. </w:t>
      </w:r>
    </w:p>
    <w:p w14:paraId="20EFF714"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Searches should aim to be as extensive as possible to ensure that as much of the relevant data as possible are retrieved. It is, however, necessary to strike a balance between striving for comprehensiveness and maintaining relevance when developing a search strategy. </w:t>
      </w:r>
    </w:p>
    <w:p w14:paraId="30E67622" w14:textId="7E3C31FA"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Developing a search strategy is an iterative process in which the terms that are used may need to be modified, based on what has already been retrieved. It is often difficult to decide in a scientific or objective way when a search is complete, and the search can stop. It may be appropriate to stop searches if adding a series of new terms to a database search strategy yields no new relevant records or when removal of terms or concepts results in missing relevant records. Another consideration is the amount of evidence that has already accrued: in topics where evidence is scarce, authors might need to be more cautious about deciding when to stop searching</w:t>
      </w:r>
      <w:r w:rsidRPr="003015CD">
        <w:rPr>
          <w:rStyle w:val="Appelnotedebasdep"/>
          <w:rFonts w:asciiTheme="majorHAnsi" w:hAnsiTheme="majorHAnsi" w:cstheme="majorHAnsi"/>
          <w:color w:val="000000" w:themeColor="text1"/>
        </w:rPr>
        <w:footnoteReference w:id="110"/>
      </w:r>
      <w:r w:rsidRPr="003015CD">
        <w:rPr>
          <w:rFonts w:asciiTheme="majorHAnsi" w:hAnsiTheme="majorHAnsi" w:cstheme="majorHAnsi"/>
          <w:color w:val="000000" w:themeColor="text1"/>
        </w:rPr>
        <w:t xml:space="preserve">. </w:t>
      </w:r>
    </w:p>
    <w:p w14:paraId="144ED537" w14:textId="4E4D61AC"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At a basic level, investigation is needed as to whether a strategy is performing adequately. One simple test is to check whether the search is finding already known publications or publications that have been included in other similar reviews. It is not enough, however, for the strategy to find only those records, </w:t>
      </w:r>
      <w:r w:rsidR="007F67BE" w:rsidRPr="003015CD">
        <w:rPr>
          <w:rFonts w:asciiTheme="majorHAnsi" w:hAnsiTheme="majorHAnsi" w:cstheme="majorHAnsi"/>
          <w:color w:val="000000" w:themeColor="text1"/>
        </w:rPr>
        <w:t xml:space="preserve">as </w:t>
      </w:r>
      <w:r w:rsidRPr="003015CD">
        <w:rPr>
          <w:rFonts w:asciiTheme="majorHAnsi" w:hAnsiTheme="majorHAnsi" w:cstheme="majorHAnsi"/>
          <w:color w:val="000000" w:themeColor="text1"/>
        </w:rPr>
        <w:t xml:space="preserve">this </w:t>
      </w:r>
      <w:r w:rsidR="007F67BE" w:rsidRPr="003015CD">
        <w:rPr>
          <w:rFonts w:asciiTheme="majorHAnsi" w:hAnsiTheme="majorHAnsi" w:cstheme="majorHAnsi"/>
          <w:color w:val="000000" w:themeColor="text1"/>
        </w:rPr>
        <w:t>may demonstrate</w:t>
      </w:r>
      <w:r w:rsidRPr="003015CD">
        <w:rPr>
          <w:rFonts w:asciiTheme="majorHAnsi" w:hAnsiTheme="majorHAnsi" w:cstheme="majorHAnsi"/>
          <w:color w:val="000000" w:themeColor="text1"/>
        </w:rPr>
        <w:t xml:space="preserve"> that the strategy is biased towards known studies and other relevant records might be missed. In addition, citation searches and reference checking are useful to verify the strategy performance and may be a source of information in their own right. </w:t>
      </w:r>
    </w:p>
    <w:p w14:paraId="1D66E706" w14:textId="287CF571"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It is important to document any information found in a structured way to allow retrieval when needed. For example, information about ongoing and/or unpublished trials</w:t>
      </w:r>
      <w:r w:rsidR="00D23272" w:rsidRPr="003015CD">
        <w:rPr>
          <w:rFonts w:asciiTheme="majorHAnsi" w:hAnsiTheme="majorHAnsi" w:cstheme="majorHAnsi"/>
          <w:color w:val="000000" w:themeColor="text1"/>
        </w:rPr>
        <w:t xml:space="preserve"> needs to be carefully documented</w:t>
      </w:r>
      <w:r w:rsidRPr="003015CD">
        <w:rPr>
          <w:rFonts w:asciiTheme="majorHAnsi" w:hAnsiTheme="majorHAnsi" w:cstheme="majorHAnsi"/>
          <w:color w:val="000000" w:themeColor="text1"/>
        </w:rPr>
        <w:t xml:space="preserve">, as this information may not be accessible at a later time. </w:t>
      </w:r>
    </w:p>
    <w:p w14:paraId="5D285B6C" w14:textId="4BBE68FD" w:rsidR="00FD03E5" w:rsidRPr="003015CD" w:rsidRDefault="00FD03E5" w:rsidP="00081885">
      <w:pPr>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 xml:space="preserve">It should be noted that a single study may have more than one publication </w:t>
      </w:r>
      <w:r w:rsidR="00163784" w:rsidRPr="003015CD">
        <w:rPr>
          <w:rFonts w:asciiTheme="majorHAnsi" w:hAnsiTheme="majorHAnsi" w:cstheme="majorHAnsi"/>
          <w:color w:val="000000" w:themeColor="text1"/>
          <w:szCs w:val="22"/>
        </w:rPr>
        <w:t xml:space="preserve">related to </w:t>
      </w:r>
      <w:r w:rsidRPr="003015CD">
        <w:rPr>
          <w:rFonts w:asciiTheme="majorHAnsi" w:hAnsiTheme="majorHAnsi" w:cstheme="majorHAnsi"/>
          <w:color w:val="000000" w:themeColor="text1"/>
          <w:szCs w:val="22"/>
        </w:rPr>
        <w:t>it (or record for it), and each of these publications or other records may contribute useful information. Note, however, the risk of duplication of the same data in different publications. Individual studies may also be duplicated in systematic reviews published in the peer reviewed literature. Depending on the nature and quality of such reviews, it may be appropriate to either remove the individual publication from the clinical evaluation, or the systematic review containing the data of the individual publication, to avoid duplication. Any such removal should be documented and justified.”</w:t>
      </w:r>
    </w:p>
    <w:p w14:paraId="70483119" w14:textId="77777777" w:rsidR="00FD03E5" w:rsidRPr="003015CD" w:rsidRDefault="00FD03E5" w:rsidP="00081885">
      <w:pPr>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Also referenced in the Cochrane training handbook are publications with further guidance on some aspects specific for searches for medical devices</w:t>
      </w:r>
      <w:r w:rsidRPr="003015CD">
        <w:rPr>
          <w:rStyle w:val="Appelnotedebasdep"/>
          <w:rFonts w:asciiTheme="majorHAnsi" w:hAnsiTheme="majorHAnsi" w:cstheme="majorHAnsi"/>
          <w:color w:val="000000" w:themeColor="text1"/>
          <w:szCs w:val="22"/>
        </w:rPr>
        <w:footnoteReference w:id="111"/>
      </w:r>
      <w:r w:rsidRPr="003015CD">
        <w:rPr>
          <w:rFonts w:asciiTheme="majorHAnsi" w:hAnsiTheme="majorHAnsi" w:cstheme="majorHAnsi"/>
          <w:color w:val="000000" w:themeColor="text1"/>
          <w:szCs w:val="22"/>
        </w:rPr>
        <w:t>, and a checklist (PRESS 2015 Guideline Evidence-Based Checklist) that may be useful</w:t>
      </w:r>
      <w:r w:rsidRPr="003015CD">
        <w:rPr>
          <w:rStyle w:val="Appelnotedebasdep"/>
          <w:rFonts w:asciiTheme="majorHAnsi" w:hAnsiTheme="majorHAnsi" w:cstheme="majorHAnsi"/>
          <w:color w:val="000000" w:themeColor="text1"/>
          <w:szCs w:val="22"/>
        </w:rPr>
        <w:footnoteReference w:id="112"/>
      </w:r>
      <w:r w:rsidRPr="003015CD">
        <w:rPr>
          <w:rFonts w:asciiTheme="majorHAnsi" w:hAnsiTheme="majorHAnsi" w:cstheme="majorHAnsi"/>
          <w:color w:val="000000" w:themeColor="text1"/>
          <w:szCs w:val="22"/>
        </w:rPr>
        <w:t>.</w:t>
      </w:r>
    </w:p>
    <w:p w14:paraId="3C694F9C" w14:textId="77777777" w:rsidR="00ED68FC" w:rsidRPr="003015CD" w:rsidRDefault="00ED68FC" w:rsidP="00081885">
      <w:pPr>
        <w:jc w:val="both"/>
        <w:rPr>
          <w:rFonts w:asciiTheme="majorHAnsi" w:hAnsiTheme="majorHAnsi" w:cstheme="majorHAnsi"/>
          <w:color w:val="000000" w:themeColor="text1"/>
          <w:szCs w:val="22"/>
        </w:rPr>
      </w:pPr>
    </w:p>
    <w:p w14:paraId="1C907762" w14:textId="36CC0E65" w:rsidR="00FD03E5" w:rsidRPr="003015CD" w:rsidRDefault="00BA5E93" w:rsidP="00644EAD">
      <w:pPr>
        <w:pStyle w:val="Titre2"/>
        <w:numPr>
          <w:ilvl w:val="0"/>
          <w:numId w:val="0"/>
        </w:numPr>
        <w:jc w:val="both"/>
        <w:rPr>
          <w:rFonts w:asciiTheme="majorHAnsi" w:hAnsiTheme="majorHAnsi" w:cstheme="majorHAnsi"/>
          <w:color w:val="000000" w:themeColor="text1"/>
        </w:rPr>
      </w:pPr>
      <w:bookmarkStart w:id="259" w:name="_Toc236912938"/>
      <w:r w:rsidRPr="003015CD">
        <w:rPr>
          <w:rFonts w:asciiTheme="majorHAnsi" w:hAnsiTheme="majorHAnsi" w:cstheme="majorHAnsi"/>
          <w:color w:val="000000" w:themeColor="text1"/>
        </w:rPr>
        <w:t xml:space="preserve">A6.2 </w:t>
      </w:r>
      <w:r w:rsidR="00FD03E5" w:rsidRPr="003015CD">
        <w:rPr>
          <w:rFonts w:asciiTheme="majorHAnsi" w:hAnsiTheme="majorHAnsi" w:cstheme="majorHAnsi"/>
          <w:color w:val="000000" w:themeColor="text1"/>
        </w:rPr>
        <w:t>Search protocol and report</w:t>
      </w:r>
      <w:bookmarkEnd w:id="259"/>
      <w:r w:rsidR="00FD03E5" w:rsidRPr="003015CD">
        <w:rPr>
          <w:rFonts w:asciiTheme="majorHAnsi" w:hAnsiTheme="majorHAnsi" w:cstheme="majorHAnsi"/>
          <w:color w:val="000000" w:themeColor="text1"/>
        </w:rPr>
        <w:t xml:space="preserve"> </w:t>
      </w:r>
    </w:p>
    <w:p w14:paraId="6D40A245"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purpose of a search protocol is to plan the search for data before executing the search. The purpose of a search report is to present the results from the search(es), including any deviations from the plan. </w:t>
      </w:r>
    </w:p>
    <w:p w14:paraId="639E2FB2"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table below shows typical content of the literature search plan (LSP) and the literature search report (LSR).</w:t>
      </w:r>
    </w:p>
    <w:tbl>
      <w:tblPr>
        <w:tblStyle w:val="Tabellrutnt1"/>
        <w:tblW w:w="5000" w:type="pct"/>
        <w:tblLook w:val="04A0" w:firstRow="1" w:lastRow="0" w:firstColumn="1" w:lastColumn="0" w:noHBand="0" w:noVBand="1"/>
      </w:tblPr>
      <w:tblGrid>
        <w:gridCol w:w="8671"/>
        <w:gridCol w:w="473"/>
        <w:gridCol w:w="483"/>
      </w:tblGrid>
      <w:tr w:rsidR="00FD03E5" w:rsidRPr="003015CD" w14:paraId="58D440AF" w14:textId="77777777">
        <w:trPr>
          <w:tblHeader/>
        </w:trPr>
        <w:tc>
          <w:tcPr>
            <w:tcW w:w="4506" w:type="pct"/>
            <w:shd w:val="clear" w:color="auto" w:fill="DDD9C3"/>
          </w:tcPr>
          <w:p w14:paraId="4698989B" w14:textId="77777777" w:rsidR="00FD03E5" w:rsidRPr="003015CD" w:rsidRDefault="00FD03E5" w:rsidP="00081885">
            <w:pPr>
              <w:spacing w:before="0" w:after="120"/>
              <w:rPr>
                <w:rFonts w:ascii="Calibri" w:hAnsi="Calibri" w:cs="Calibri"/>
                <w:b/>
                <w:bCs/>
                <w:sz w:val="18"/>
              </w:rPr>
            </w:pPr>
            <w:r w:rsidRPr="003015CD">
              <w:rPr>
                <w:rFonts w:ascii="Calibri" w:hAnsi="Calibri" w:cs="Calibri"/>
                <w:b/>
                <w:bCs/>
                <w:sz w:val="18"/>
              </w:rPr>
              <w:t>Topic</w:t>
            </w:r>
          </w:p>
        </w:tc>
        <w:tc>
          <w:tcPr>
            <w:tcW w:w="246" w:type="pct"/>
            <w:shd w:val="clear" w:color="auto" w:fill="DDD9C3"/>
            <w:vAlign w:val="center"/>
          </w:tcPr>
          <w:p w14:paraId="67233D16"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LSP</w:t>
            </w:r>
          </w:p>
        </w:tc>
        <w:tc>
          <w:tcPr>
            <w:tcW w:w="249" w:type="pct"/>
            <w:shd w:val="clear" w:color="auto" w:fill="DDD9C3"/>
            <w:vAlign w:val="center"/>
          </w:tcPr>
          <w:p w14:paraId="4DEB5978"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LSR</w:t>
            </w:r>
          </w:p>
        </w:tc>
      </w:tr>
      <w:tr w:rsidR="00FD03E5" w:rsidRPr="003015CD" w14:paraId="209778FD" w14:textId="77777777">
        <w:tc>
          <w:tcPr>
            <w:tcW w:w="4506" w:type="pct"/>
          </w:tcPr>
          <w:p w14:paraId="61C26F96" w14:textId="77777777" w:rsidR="00FD03E5" w:rsidRPr="003015CD" w:rsidRDefault="00FD03E5" w:rsidP="00081885">
            <w:pPr>
              <w:spacing w:before="0" w:after="120"/>
              <w:rPr>
                <w:rFonts w:ascii="Calibri" w:hAnsi="Calibri" w:cs="Calibri"/>
                <w:b/>
                <w:bCs/>
                <w:sz w:val="18"/>
              </w:rPr>
            </w:pPr>
            <w:r w:rsidRPr="003015CD">
              <w:rPr>
                <w:rFonts w:ascii="Calibri" w:hAnsi="Calibri" w:cs="Calibri"/>
                <w:b/>
                <w:bCs/>
                <w:sz w:val="18"/>
              </w:rPr>
              <w:t>General information</w:t>
            </w:r>
          </w:p>
        </w:tc>
        <w:tc>
          <w:tcPr>
            <w:tcW w:w="246" w:type="pct"/>
            <w:vAlign w:val="center"/>
          </w:tcPr>
          <w:p w14:paraId="7B3FAA8D" w14:textId="77777777" w:rsidR="00FD03E5" w:rsidRPr="003015CD" w:rsidRDefault="00FD03E5" w:rsidP="00081885">
            <w:pPr>
              <w:spacing w:before="0" w:after="120"/>
              <w:jc w:val="center"/>
              <w:rPr>
                <w:rFonts w:ascii="Calibri" w:hAnsi="Calibri" w:cs="Calibri"/>
                <w:b/>
                <w:bCs/>
                <w:sz w:val="18"/>
              </w:rPr>
            </w:pPr>
          </w:p>
        </w:tc>
        <w:tc>
          <w:tcPr>
            <w:tcW w:w="249" w:type="pct"/>
            <w:vAlign w:val="center"/>
          </w:tcPr>
          <w:p w14:paraId="547ED3FD" w14:textId="77777777" w:rsidR="00FD03E5" w:rsidRPr="003015CD" w:rsidRDefault="00FD03E5" w:rsidP="00081885">
            <w:pPr>
              <w:spacing w:before="0" w:after="120"/>
              <w:jc w:val="center"/>
              <w:rPr>
                <w:rFonts w:ascii="Calibri" w:hAnsi="Calibri" w:cs="Calibri"/>
                <w:b/>
                <w:bCs/>
                <w:sz w:val="18"/>
              </w:rPr>
            </w:pPr>
          </w:p>
        </w:tc>
      </w:tr>
      <w:tr w:rsidR="00FD03E5" w:rsidRPr="003015CD" w14:paraId="4B486D81" w14:textId="77777777">
        <w:tc>
          <w:tcPr>
            <w:tcW w:w="4506" w:type="pct"/>
          </w:tcPr>
          <w:p w14:paraId="6E0940D9"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 xml:space="preserve">Name, trade name and, if available, alternative brand names, UDI-DI where applicable, models, version of the device </w:t>
            </w:r>
          </w:p>
        </w:tc>
        <w:tc>
          <w:tcPr>
            <w:tcW w:w="246" w:type="pct"/>
            <w:vAlign w:val="center"/>
          </w:tcPr>
          <w:p w14:paraId="7409B4D9"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336BD7F4"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70108F09" w14:textId="77777777">
        <w:tc>
          <w:tcPr>
            <w:tcW w:w="4506" w:type="pct"/>
          </w:tcPr>
          <w:p w14:paraId="349DBABE"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Scope and purpose of the literature search (should be consistent with scope of clinical evaluation and the review questions)</w:t>
            </w:r>
          </w:p>
        </w:tc>
        <w:tc>
          <w:tcPr>
            <w:tcW w:w="246" w:type="pct"/>
            <w:vAlign w:val="center"/>
          </w:tcPr>
          <w:p w14:paraId="2211CC70"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1FDCAE1F"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2C771368" w14:textId="77777777">
        <w:tc>
          <w:tcPr>
            <w:tcW w:w="4506" w:type="pct"/>
          </w:tcPr>
          <w:p w14:paraId="464C39D1" w14:textId="77777777" w:rsidR="00FD03E5" w:rsidRPr="003015CD" w:rsidRDefault="00FD03E5" w:rsidP="00081885">
            <w:pPr>
              <w:spacing w:before="0" w:after="120"/>
              <w:rPr>
                <w:rFonts w:ascii="Calibri" w:hAnsi="Calibri" w:cs="Calibri"/>
                <w:b/>
                <w:bCs/>
                <w:sz w:val="18"/>
              </w:rPr>
            </w:pPr>
            <w:r w:rsidRPr="003015CD">
              <w:rPr>
                <w:rFonts w:ascii="Calibri" w:hAnsi="Calibri" w:cs="Calibri"/>
                <w:b/>
                <w:bCs/>
                <w:sz w:val="18"/>
              </w:rPr>
              <w:t xml:space="preserve">Search Input: </w:t>
            </w:r>
          </w:p>
        </w:tc>
        <w:tc>
          <w:tcPr>
            <w:tcW w:w="246" w:type="pct"/>
            <w:vAlign w:val="center"/>
          </w:tcPr>
          <w:p w14:paraId="7552CFFA"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w:t>
            </w:r>
          </w:p>
        </w:tc>
        <w:tc>
          <w:tcPr>
            <w:tcW w:w="249" w:type="pct"/>
            <w:vAlign w:val="center"/>
          </w:tcPr>
          <w:p w14:paraId="0501ADD9"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w:t>
            </w:r>
          </w:p>
        </w:tc>
      </w:tr>
      <w:tr w:rsidR="00FD03E5" w:rsidRPr="003015CD" w14:paraId="487AA765" w14:textId="77777777">
        <w:tc>
          <w:tcPr>
            <w:tcW w:w="4506" w:type="pct"/>
          </w:tcPr>
          <w:p w14:paraId="6F3051BF"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 xml:space="preserve">Sources of data with justification for choice  </w:t>
            </w:r>
          </w:p>
        </w:tc>
        <w:tc>
          <w:tcPr>
            <w:tcW w:w="246" w:type="pct"/>
            <w:vAlign w:val="center"/>
          </w:tcPr>
          <w:p w14:paraId="2BBD0BD7"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0E7C0FE6" w14:textId="77777777" w:rsidR="00FD03E5" w:rsidRPr="003015CD" w:rsidRDefault="00FD03E5" w:rsidP="00081885">
            <w:pPr>
              <w:spacing w:before="0" w:after="120"/>
              <w:jc w:val="center"/>
              <w:rPr>
                <w:rFonts w:ascii="Calibri" w:hAnsi="Calibri" w:cs="Calibri"/>
                <w:sz w:val="18"/>
              </w:rPr>
            </w:pPr>
          </w:p>
        </w:tc>
      </w:tr>
      <w:tr w:rsidR="00FD03E5" w:rsidRPr="003015CD" w14:paraId="7A7FF5E0" w14:textId="77777777">
        <w:tc>
          <w:tcPr>
            <w:tcW w:w="4506" w:type="pct"/>
          </w:tcPr>
          <w:p w14:paraId="2474BA6A"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Detailed description of the search strategy including:</w:t>
            </w:r>
          </w:p>
          <w:p w14:paraId="2D203D7D" w14:textId="77777777" w:rsidR="00FD03E5" w:rsidRPr="003015CD" w:rsidRDefault="00FD03E5" w:rsidP="00081885">
            <w:pPr>
              <w:numPr>
                <w:ilvl w:val="0"/>
                <w:numId w:val="307"/>
              </w:numPr>
              <w:spacing w:before="0" w:after="30"/>
              <w:rPr>
                <w:rFonts w:ascii="Calibri" w:hAnsi="Calibri" w:cs="Calibri"/>
                <w:sz w:val="18"/>
              </w:rPr>
            </w:pPr>
            <w:r w:rsidRPr="003015CD">
              <w:rPr>
                <w:rFonts w:ascii="Calibri" w:hAnsi="Calibri" w:cs="Calibri"/>
                <w:sz w:val="18"/>
              </w:rPr>
              <w:t>which scientific literature databases, with justification;</w:t>
            </w:r>
          </w:p>
          <w:p w14:paraId="48E3BB1A" w14:textId="77777777" w:rsidR="00FD03E5" w:rsidRPr="003015CD" w:rsidRDefault="00FD03E5" w:rsidP="00081885">
            <w:pPr>
              <w:numPr>
                <w:ilvl w:val="0"/>
                <w:numId w:val="307"/>
              </w:numPr>
              <w:spacing w:before="0" w:after="30"/>
              <w:rPr>
                <w:rFonts w:ascii="Calibri" w:hAnsi="Calibri" w:cs="Calibri"/>
                <w:sz w:val="18"/>
              </w:rPr>
            </w:pPr>
            <w:r w:rsidRPr="003015CD">
              <w:rPr>
                <w:rFonts w:ascii="Calibri" w:hAnsi="Calibri" w:cs="Calibri"/>
                <w:sz w:val="18"/>
              </w:rPr>
              <w:t>other electronic and non-electronic sources of published and non-published information, with justification;</w:t>
            </w:r>
          </w:p>
          <w:p w14:paraId="638DB45A" w14:textId="77777777" w:rsidR="00FD03E5" w:rsidRPr="003015CD" w:rsidRDefault="00FD03E5" w:rsidP="00081885">
            <w:pPr>
              <w:numPr>
                <w:ilvl w:val="0"/>
                <w:numId w:val="307"/>
              </w:numPr>
              <w:spacing w:before="0" w:after="30"/>
              <w:rPr>
                <w:rFonts w:ascii="Calibri" w:hAnsi="Calibri" w:cs="Calibri"/>
                <w:sz w:val="18"/>
              </w:rPr>
            </w:pPr>
            <w:r w:rsidRPr="003015CD">
              <w:rPr>
                <w:rFonts w:ascii="Calibri" w:hAnsi="Calibri" w:cs="Calibri"/>
                <w:sz w:val="18"/>
              </w:rPr>
              <w:t>attempts to identify all relevant published literature;</w:t>
            </w:r>
          </w:p>
          <w:p w14:paraId="4E4CCDB7" w14:textId="77777777" w:rsidR="00FD03E5" w:rsidRPr="003015CD" w:rsidRDefault="00FD03E5" w:rsidP="00081885">
            <w:pPr>
              <w:numPr>
                <w:ilvl w:val="0"/>
                <w:numId w:val="307"/>
              </w:numPr>
              <w:spacing w:before="0" w:after="30"/>
              <w:rPr>
                <w:rFonts w:ascii="Calibri" w:hAnsi="Calibri" w:cs="Calibri"/>
                <w:sz w:val="18"/>
              </w:rPr>
            </w:pPr>
            <w:r w:rsidRPr="003015CD">
              <w:rPr>
                <w:rFonts w:ascii="Calibri" w:hAnsi="Calibri" w:cs="Calibri"/>
                <w:sz w:val="18"/>
              </w:rPr>
              <w:t>strategies for addressing the potential for duplication of data across multiple publications;</w:t>
            </w:r>
          </w:p>
          <w:p w14:paraId="737CCA55" w14:textId="77777777" w:rsidR="00FD03E5" w:rsidRPr="003015CD" w:rsidRDefault="00FD03E5" w:rsidP="00081885">
            <w:pPr>
              <w:numPr>
                <w:ilvl w:val="0"/>
                <w:numId w:val="307"/>
              </w:numPr>
              <w:spacing w:before="0" w:after="30"/>
              <w:rPr>
                <w:rFonts w:ascii="Calibri" w:hAnsi="Calibri" w:cs="Calibri"/>
                <w:sz w:val="18"/>
              </w:rPr>
            </w:pPr>
            <w:r w:rsidRPr="003015CD">
              <w:rPr>
                <w:rFonts w:ascii="Calibri" w:hAnsi="Calibri" w:cs="Calibri"/>
                <w:sz w:val="18"/>
              </w:rPr>
              <w:t>supplemental strategies used to enhance the sensitivity of search(es), e.g., checking bibliography of articles retrieved and hand searching of literature</w:t>
            </w:r>
          </w:p>
        </w:tc>
        <w:tc>
          <w:tcPr>
            <w:tcW w:w="246" w:type="pct"/>
            <w:vAlign w:val="center"/>
          </w:tcPr>
          <w:p w14:paraId="156B0B74"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46A31C42" w14:textId="77777777" w:rsidR="00FD03E5" w:rsidRPr="003015CD" w:rsidRDefault="00FD03E5" w:rsidP="00081885">
            <w:pPr>
              <w:spacing w:before="0" w:after="120"/>
              <w:jc w:val="center"/>
              <w:rPr>
                <w:rFonts w:ascii="Calibri" w:hAnsi="Calibri" w:cs="Calibri"/>
                <w:sz w:val="18"/>
              </w:rPr>
            </w:pPr>
          </w:p>
        </w:tc>
      </w:tr>
      <w:tr w:rsidR="00FD03E5" w:rsidRPr="003015CD" w14:paraId="6DE325A0" w14:textId="77777777">
        <w:tc>
          <w:tcPr>
            <w:tcW w:w="4506" w:type="pct"/>
          </w:tcPr>
          <w:p w14:paraId="1A0893C7"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 xml:space="preserve">Search terms and any limits (e.g., type of clinical study, languages) </w:t>
            </w:r>
          </w:p>
        </w:tc>
        <w:tc>
          <w:tcPr>
            <w:tcW w:w="246" w:type="pct"/>
            <w:vAlign w:val="center"/>
          </w:tcPr>
          <w:p w14:paraId="561A0771"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3F9C6533" w14:textId="77777777" w:rsidR="00FD03E5" w:rsidRPr="003015CD" w:rsidRDefault="00FD03E5" w:rsidP="00081885">
            <w:pPr>
              <w:spacing w:before="0" w:after="120"/>
              <w:jc w:val="center"/>
              <w:rPr>
                <w:rFonts w:ascii="Calibri" w:hAnsi="Calibri" w:cs="Calibri"/>
                <w:sz w:val="18"/>
              </w:rPr>
            </w:pPr>
          </w:p>
        </w:tc>
      </w:tr>
      <w:tr w:rsidR="00FD03E5" w:rsidRPr="003015CD" w14:paraId="4BEF6E78" w14:textId="77777777">
        <w:tc>
          <w:tcPr>
            <w:tcW w:w="4506" w:type="pct"/>
          </w:tcPr>
          <w:p w14:paraId="3E274BA2"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Period covered by search (i.e., start and end dates of search(es))</w:t>
            </w:r>
          </w:p>
        </w:tc>
        <w:tc>
          <w:tcPr>
            <w:tcW w:w="246" w:type="pct"/>
            <w:vAlign w:val="center"/>
          </w:tcPr>
          <w:p w14:paraId="048D5DE5"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3E57DE14" w14:textId="77777777" w:rsidR="00FD03E5" w:rsidRPr="003015CD" w:rsidRDefault="00FD03E5" w:rsidP="00081885">
            <w:pPr>
              <w:spacing w:before="0" w:after="120"/>
              <w:jc w:val="center"/>
              <w:rPr>
                <w:rFonts w:ascii="Calibri" w:hAnsi="Calibri" w:cs="Calibri"/>
                <w:sz w:val="18"/>
              </w:rPr>
            </w:pPr>
          </w:p>
        </w:tc>
      </w:tr>
      <w:tr w:rsidR="00FD03E5" w:rsidRPr="003015CD" w14:paraId="34642CD3" w14:textId="77777777">
        <w:tc>
          <w:tcPr>
            <w:tcW w:w="4506" w:type="pct"/>
          </w:tcPr>
          <w:p w14:paraId="3B6DDD31"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Selection criteria (exclusion/inclusion criteria) to be applied with justification for their choice</w:t>
            </w:r>
          </w:p>
        </w:tc>
        <w:tc>
          <w:tcPr>
            <w:tcW w:w="246" w:type="pct"/>
            <w:vAlign w:val="center"/>
          </w:tcPr>
          <w:p w14:paraId="00CB745A"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c>
          <w:tcPr>
            <w:tcW w:w="249" w:type="pct"/>
            <w:vAlign w:val="center"/>
          </w:tcPr>
          <w:p w14:paraId="183B421E" w14:textId="77777777" w:rsidR="00FD03E5" w:rsidRPr="003015CD" w:rsidRDefault="00FD03E5" w:rsidP="00081885">
            <w:pPr>
              <w:spacing w:before="0" w:after="120"/>
              <w:jc w:val="center"/>
              <w:rPr>
                <w:rFonts w:ascii="Calibri" w:hAnsi="Calibri" w:cs="Calibri"/>
                <w:sz w:val="18"/>
              </w:rPr>
            </w:pPr>
          </w:p>
        </w:tc>
      </w:tr>
      <w:tr w:rsidR="00FD03E5" w:rsidRPr="003015CD" w14:paraId="51FE6368" w14:textId="77777777">
        <w:tc>
          <w:tcPr>
            <w:tcW w:w="4506" w:type="pct"/>
          </w:tcPr>
          <w:p w14:paraId="02187B47" w14:textId="77777777" w:rsidR="00FD03E5" w:rsidRPr="003015CD" w:rsidRDefault="00FD03E5" w:rsidP="00081885">
            <w:pPr>
              <w:spacing w:before="0" w:after="120"/>
              <w:rPr>
                <w:rFonts w:ascii="Calibri" w:hAnsi="Calibri" w:cs="Calibri"/>
                <w:b/>
                <w:bCs/>
                <w:sz w:val="18"/>
              </w:rPr>
            </w:pPr>
            <w:r w:rsidRPr="003015CD">
              <w:rPr>
                <w:rFonts w:ascii="Calibri" w:hAnsi="Calibri" w:cs="Calibri"/>
                <w:b/>
                <w:bCs/>
                <w:sz w:val="18"/>
              </w:rPr>
              <w:t>Search Output:</w:t>
            </w:r>
          </w:p>
        </w:tc>
        <w:tc>
          <w:tcPr>
            <w:tcW w:w="246" w:type="pct"/>
            <w:vAlign w:val="center"/>
          </w:tcPr>
          <w:p w14:paraId="003DFBBF"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w:t>
            </w:r>
          </w:p>
        </w:tc>
        <w:tc>
          <w:tcPr>
            <w:tcW w:w="249" w:type="pct"/>
            <w:vAlign w:val="center"/>
          </w:tcPr>
          <w:p w14:paraId="64EF78E9"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w:t>
            </w:r>
          </w:p>
        </w:tc>
      </w:tr>
      <w:tr w:rsidR="00FD03E5" w:rsidRPr="003015CD" w14:paraId="182749DA" w14:textId="77777777">
        <w:tc>
          <w:tcPr>
            <w:tcW w:w="4506" w:type="pct"/>
          </w:tcPr>
          <w:p w14:paraId="2738802C"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Reference to the search protocol(s)</w:t>
            </w:r>
          </w:p>
        </w:tc>
        <w:tc>
          <w:tcPr>
            <w:tcW w:w="246" w:type="pct"/>
            <w:vAlign w:val="center"/>
          </w:tcPr>
          <w:p w14:paraId="3D99E755"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544C8F6E"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3B9D003A" w14:textId="77777777">
        <w:tc>
          <w:tcPr>
            <w:tcW w:w="4506" w:type="pct"/>
          </w:tcPr>
          <w:p w14:paraId="3648F056" w14:textId="5D999060" w:rsidR="00FD03E5" w:rsidRPr="003015CD" w:rsidRDefault="00FD03E5" w:rsidP="00081885">
            <w:pPr>
              <w:spacing w:before="0" w:after="120"/>
              <w:rPr>
                <w:rFonts w:ascii="Calibri" w:hAnsi="Calibri" w:cs="Calibri"/>
                <w:sz w:val="18"/>
              </w:rPr>
            </w:pPr>
            <w:r w:rsidRPr="003015CD">
              <w:rPr>
                <w:rFonts w:ascii="Calibri" w:hAnsi="Calibri" w:cs="Calibri"/>
                <w:sz w:val="18"/>
              </w:rPr>
              <w:t>Date of search, person(s) responsible for executing the search(es), databases used</w:t>
            </w:r>
            <w:r w:rsidRPr="003015CD">
              <w:rPr>
                <w:rFonts w:ascii="Calibri" w:hAnsi="Calibri" w:cs="Calibri"/>
                <w:sz w:val="18"/>
                <w:vertAlign w:val="superscript"/>
              </w:rPr>
              <w:footnoteReference w:id="113"/>
            </w:r>
          </w:p>
        </w:tc>
        <w:tc>
          <w:tcPr>
            <w:tcW w:w="246" w:type="pct"/>
            <w:vAlign w:val="center"/>
          </w:tcPr>
          <w:p w14:paraId="2738D94D"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4AF53271"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3B861685" w14:textId="77777777">
        <w:tc>
          <w:tcPr>
            <w:tcW w:w="4506" w:type="pct"/>
          </w:tcPr>
          <w:p w14:paraId="111E8F7C"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 xml:space="preserve">Period covered by search </w:t>
            </w:r>
          </w:p>
        </w:tc>
        <w:tc>
          <w:tcPr>
            <w:tcW w:w="246" w:type="pct"/>
            <w:vAlign w:val="center"/>
          </w:tcPr>
          <w:p w14:paraId="5C73366D"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4AFBDE25"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568BADFA" w14:textId="77777777">
        <w:tc>
          <w:tcPr>
            <w:tcW w:w="4506" w:type="pct"/>
          </w:tcPr>
          <w:p w14:paraId="221AC76E"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Sources used to identify data</w:t>
            </w:r>
          </w:p>
        </w:tc>
        <w:tc>
          <w:tcPr>
            <w:tcW w:w="246" w:type="pct"/>
            <w:vAlign w:val="center"/>
          </w:tcPr>
          <w:p w14:paraId="78619C00"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53AAB26C"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6E94F11E" w14:textId="77777777">
        <w:tc>
          <w:tcPr>
            <w:tcW w:w="4506" w:type="pct"/>
          </w:tcPr>
          <w:p w14:paraId="479E3A5E"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Exact search strings used (including Boolean operators: AND, OR, and NOT) and any limits applied</w:t>
            </w:r>
          </w:p>
        </w:tc>
        <w:tc>
          <w:tcPr>
            <w:tcW w:w="246" w:type="pct"/>
            <w:vAlign w:val="center"/>
          </w:tcPr>
          <w:p w14:paraId="1C320D3B"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4732452F"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2D7934E7" w14:textId="77777777">
        <w:tc>
          <w:tcPr>
            <w:tcW w:w="4506" w:type="pct"/>
          </w:tcPr>
          <w:p w14:paraId="62F2EBF4"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Description of any deviations from the Literature search plan with justifications</w:t>
            </w:r>
          </w:p>
        </w:tc>
        <w:tc>
          <w:tcPr>
            <w:tcW w:w="246" w:type="pct"/>
            <w:vAlign w:val="center"/>
          </w:tcPr>
          <w:p w14:paraId="1C52EAC0"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34048BF0"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5C80E9D6" w14:textId="77777777">
        <w:tc>
          <w:tcPr>
            <w:tcW w:w="4506" w:type="pct"/>
          </w:tcPr>
          <w:p w14:paraId="1DEF5D08"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Selection criteria applied</w:t>
            </w:r>
          </w:p>
        </w:tc>
        <w:tc>
          <w:tcPr>
            <w:tcW w:w="246" w:type="pct"/>
            <w:vAlign w:val="center"/>
          </w:tcPr>
          <w:p w14:paraId="02D0D0F4"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1FECDA56"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0F723C44" w14:textId="77777777">
        <w:tc>
          <w:tcPr>
            <w:tcW w:w="4506" w:type="pct"/>
          </w:tcPr>
          <w:p w14:paraId="5897AA5B"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Results from the literature search (including the selection process, preferably illustrated using e.g., PRISMA flow diagram(s)</w:t>
            </w:r>
            <w:r w:rsidRPr="003015CD">
              <w:rPr>
                <w:rFonts w:ascii="Calibri" w:hAnsi="Calibri" w:cs="Calibri"/>
                <w:sz w:val="18"/>
                <w:vertAlign w:val="superscript"/>
              </w:rPr>
              <w:footnoteReference w:id="114"/>
            </w:r>
            <w:r w:rsidRPr="003015CD">
              <w:rPr>
                <w:rFonts w:ascii="Calibri" w:hAnsi="Calibri" w:cs="Calibri"/>
                <w:sz w:val="18"/>
              </w:rPr>
              <w:t xml:space="preserve"> or equivalent summary)</w:t>
            </w:r>
          </w:p>
        </w:tc>
        <w:tc>
          <w:tcPr>
            <w:tcW w:w="246" w:type="pct"/>
            <w:vAlign w:val="center"/>
          </w:tcPr>
          <w:p w14:paraId="4D6F4950"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415C5D40"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688D622D" w14:textId="77777777">
        <w:tc>
          <w:tcPr>
            <w:tcW w:w="4506" w:type="pct"/>
          </w:tcPr>
          <w:p w14:paraId="2C7EB247"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Method used to identify and remove duplicates</w:t>
            </w:r>
          </w:p>
        </w:tc>
        <w:tc>
          <w:tcPr>
            <w:tcW w:w="246" w:type="pct"/>
            <w:vAlign w:val="center"/>
          </w:tcPr>
          <w:p w14:paraId="138A22C4"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35646BEE"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4369BD1A" w14:textId="77777777">
        <w:tc>
          <w:tcPr>
            <w:tcW w:w="4506" w:type="pct"/>
          </w:tcPr>
          <w:p w14:paraId="12FC3496"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If applied, supplemental strategies used to enhance the sensitivity of search</w:t>
            </w:r>
          </w:p>
        </w:tc>
        <w:tc>
          <w:tcPr>
            <w:tcW w:w="246" w:type="pct"/>
            <w:vAlign w:val="center"/>
          </w:tcPr>
          <w:p w14:paraId="707A28F8"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1982A111"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6CB39066" w14:textId="77777777">
        <w:tc>
          <w:tcPr>
            <w:tcW w:w="4506" w:type="pct"/>
          </w:tcPr>
          <w:p w14:paraId="4A886390"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Complete list of retrieved publications, preferably organized by performance and safety</w:t>
            </w:r>
          </w:p>
        </w:tc>
        <w:tc>
          <w:tcPr>
            <w:tcW w:w="246" w:type="pct"/>
            <w:vAlign w:val="center"/>
          </w:tcPr>
          <w:p w14:paraId="6D607256"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280F4415"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55C236C2" w14:textId="77777777">
        <w:tc>
          <w:tcPr>
            <w:tcW w:w="4506" w:type="pct"/>
          </w:tcPr>
          <w:p w14:paraId="3FB790CA"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Complete list of excluded publications with reasons for exclusion</w:t>
            </w:r>
            <w:r w:rsidRPr="003015CD">
              <w:rPr>
                <w:rFonts w:ascii="Calibri" w:hAnsi="Calibri" w:cs="Calibri"/>
                <w:sz w:val="18"/>
                <w:vertAlign w:val="superscript"/>
              </w:rPr>
              <w:footnoteReference w:id="115"/>
            </w:r>
          </w:p>
        </w:tc>
        <w:tc>
          <w:tcPr>
            <w:tcW w:w="246" w:type="pct"/>
            <w:vAlign w:val="center"/>
          </w:tcPr>
          <w:p w14:paraId="003A796B"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5E509DCA"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X</w:t>
            </w:r>
          </w:p>
        </w:tc>
      </w:tr>
      <w:tr w:rsidR="00FD03E5" w:rsidRPr="003015CD" w14:paraId="3CC570C0" w14:textId="77777777">
        <w:tc>
          <w:tcPr>
            <w:tcW w:w="4506" w:type="pct"/>
          </w:tcPr>
          <w:p w14:paraId="16BB99AE" w14:textId="77777777" w:rsidR="00FD03E5" w:rsidRPr="003015CD" w:rsidRDefault="00FD03E5" w:rsidP="00081885">
            <w:pPr>
              <w:spacing w:before="0" w:after="120"/>
              <w:rPr>
                <w:rFonts w:ascii="Calibri" w:hAnsi="Calibri" w:cs="Calibri"/>
                <w:b/>
                <w:bCs/>
                <w:sz w:val="18"/>
              </w:rPr>
            </w:pPr>
            <w:r w:rsidRPr="003015CD">
              <w:rPr>
                <w:rFonts w:ascii="Calibri" w:hAnsi="Calibri" w:cs="Calibri"/>
                <w:b/>
                <w:bCs/>
                <w:sz w:val="18"/>
              </w:rPr>
              <w:t>Additional documents:</w:t>
            </w:r>
          </w:p>
        </w:tc>
        <w:tc>
          <w:tcPr>
            <w:tcW w:w="246" w:type="pct"/>
            <w:vAlign w:val="center"/>
          </w:tcPr>
          <w:p w14:paraId="36035C96"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w:t>
            </w:r>
          </w:p>
        </w:tc>
        <w:tc>
          <w:tcPr>
            <w:tcW w:w="249" w:type="pct"/>
            <w:vAlign w:val="center"/>
          </w:tcPr>
          <w:p w14:paraId="3A03BF0F" w14:textId="77777777" w:rsidR="00FD03E5" w:rsidRPr="003015CD" w:rsidRDefault="00FD03E5" w:rsidP="00081885">
            <w:pPr>
              <w:spacing w:before="0" w:after="120"/>
              <w:jc w:val="center"/>
              <w:rPr>
                <w:rFonts w:ascii="Calibri" w:hAnsi="Calibri" w:cs="Calibri"/>
                <w:b/>
                <w:bCs/>
                <w:sz w:val="18"/>
              </w:rPr>
            </w:pPr>
            <w:r w:rsidRPr="003015CD">
              <w:rPr>
                <w:rFonts w:ascii="Calibri" w:hAnsi="Calibri" w:cs="Calibri"/>
                <w:b/>
                <w:bCs/>
                <w:sz w:val="18"/>
              </w:rPr>
              <w:t>-</w:t>
            </w:r>
          </w:p>
        </w:tc>
      </w:tr>
      <w:tr w:rsidR="00FD03E5" w:rsidRPr="003015CD" w14:paraId="5411DE28" w14:textId="77777777">
        <w:tc>
          <w:tcPr>
            <w:tcW w:w="4506" w:type="pct"/>
          </w:tcPr>
          <w:p w14:paraId="7D834878" w14:textId="77777777" w:rsidR="00FD03E5" w:rsidRPr="003015CD" w:rsidRDefault="00FD03E5" w:rsidP="00081885">
            <w:pPr>
              <w:spacing w:before="0" w:after="120"/>
              <w:rPr>
                <w:rFonts w:ascii="Calibri" w:hAnsi="Calibri" w:cs="Calibri"/>
                <w:sz w:val="18"/>
              </w:rPr>
            </w:pPr>
            <w:r w:rsidRPr="003015CD">
              <w:rPr>
                <w:rFonts w:ascii="Calibri" w:hAnsi="Calibri" w:cs="Calibri"/>
                <w:sz w:val="18"/>
              </w:rPr>
              <w:t>Full text copies of relevant documents</w:t>
            </w:r>
          </w:p>
        </w:tc>
        <w:tc>
          <w:tcPr>
            <w:tcW w:w="246" w:type="pct"/>
            <w:vAlign w:val="center"/>
          </w:tcPr>
          <w:p w14:paraId="308011D1" w14:textId="77777777" w:rsidR="00FD03E5" w:rsidRPr="003015CD" w:rsidRDefault="00FD03E5" w:rsidP="00081885">
            <w:pPr>
              <w:spacing w:before="0" w:after="120"/>
              <w:jc w:val="center"/>
              <w:rPr>
                <w:rFonts w:ascii="Calibri" w:hAnsi="Calibri" w:cs="Calibri"/>
                <w:sz w:val="18"/>
              </w:rPr>
            </w:pPr>
          </w:p>
        </w:tc>
        <w:tc>
          <w:tcPr>
            <w:tcW w:w="249" w:type="pct"/>
            <w:vAlign w:val="center"/>
          </w:tcPr>
          <w:p w14:paraId="3C3839E5" w14:textId="77777777" w:rsidR="00FD03E5" w:rsidRPr="003015CD" w:rsidRDefault="00FD03E5" w:rsidP="00081885">
            <w:pPr>
              <w:spacing w:before="0" w:after="120"/>
              <w:jc w:val="center"/>
              <w:rPr>
                <w:rFonts w:ascii="Calibri" w:hAnsi="Calibri" w:cs="Calibri"/>
                <w:sz w:val="18"/>
              </w:rPr>
            </w:pPr>
            <w:r w:rsidRPr="003015CD">
              <w:rPr>
                <w:rFonts w:ascii="Calibri" w:hAnsi="Calibri" w:cs="Calibri"/>
                <w:sz w:val="18"/>
              </w:rPr>
              <w:t>Z</w:t>
            </w:r>
            <w:r w:rsidRPr="003015CD">
              <w:rPr>
                <w:rFonts w:ascii="Calibri" w:hAnsi="Calibri" w:cs="Calibri"/>
                <w:sz w:val="18"/>
                <w:vertAlign w:val="superscript"/>
              </w:rPr>
              <w:footnoteReference w:id="116"/>
            </w:r>
          </w:p>
        </w:tc>
      </w:tr>
    </w:tbl>
    <w:p w14:paraId="4C8487D0" w14:textId="77777777" w:rsidR="00FD03E5" w:rsidRPr="003015CD" w:rsidRDefault="00FD03E5" w:rsidP="00081885">
      <w:pPr>
        <w:jc w:val="both"/>
        <w:rPr>
          <w:rFonts w:asciiTheme="majorHAnsi" w:hAnsiTheme="majorHAnsi" w:cstheme="majorHAnsi"/>
          <w:color w:val="000000" w:themeColor="text1"/>
        </w:rPr>
      </w:pPr>
    </w:p>
    <w:p w14:paraId="135B03E4" w14:textId="343ED1D4" w:rsidR="00FD03E5" w:rsidRPr="003015CD" w:rsidRDefault="00FD03E5" w:rsidP="00081885">
      <w:pPr>
        <w:pStyle w:val="Sansinterligne"/>
        <w:numPr>
          <w:ilvl w:val="0"/>
          <w:numId w:val="0"/>
        </w:num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Full-text copies of relevant publications, data, and other information should be annexes to the CER and should be available for those conducting the clinical evaluation and the conformity assessment. </w:t>
      </w:r>
    </w:p>
    <w:p w14:paraId="25B106B0" w14:textId="12E8120B"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use of images to present the selection process in the literature search and tables to present more detailed results of searches in the CER (See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_Ref165986843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12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and Appendix</w:t>
      </w:r>
      <w:r w:rsidR="001A218D"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A1</w:t>
      </w:r>
      <w:r w:rsidR="008A2F1E" w:rsidRPr="003015CD">
        <w:rPr>
          <w:rFonts w:asciiTheme="majorHAnsi" w:hAnsiTheme="majorHAnsi" w:cstheme="majorHAnsi"/>
          <w:color w:val="000000" w:themeColor="text1"/>
        </w:rPr>
        <w:t>1</w:t>
      </w:r>
      <w:r w:rsidRPr="003015CD">
        <w:rPr>
          <w:rFonts w:asciiTheme="majorHAnsi" w:hAnsiTheme="majorHAnsi" w:cstheme="majorHAnsi"/>
          <w:color w:val="000000" w:themeColor="text1"/>
        </w:rPr>
        <w:t xml:space="preserve">) is encouraged. </w:t>
      </w:r>
    </w:p>
    <w:p w14:paraId="26B9A52B" w14:textId="77777777" w:rsidR="00FD03E5" w:rsidRPr="003015CD" w:rsidRDefault="00FD03E5" w:rsidP="00081885">
      <w:pPr>
        <w:jc w:val="both"/>
        <w:rPr>
          <w:rFonts w:asciiTheme="majorHAnsi" w:hAnsiTheme="majorHAnsi" w:cstheme="majorHAnsi"/>
          <w:color w:val="000000" w:themeColor="text1"/>
        </w:rPr>
      </w:pPr>
    </w:p>
    <w:p w14:paraId="3B0222FC" w14:textId="77777777" w:rsidR="00FD03E5" w:rsidRPr="003015CD" w:rsidRDefault="00FD03E5" w:rsidP="00081885">
      <w:pPr>
        <w:jc w:val="both"/>
        <w:rPr>
          <w:rFonts w:asciiTheme="majorHAnsi" w:hAnsiTheme="majorHAnsi" w:cstheme="majorHAnsi"/>
          <w:color w:val="000000" w:themeColor="text1"/>
        </w:rPr>
      </w:pPr>
    </w:p>
    <w:p w14:paraId="5C04F882" w14:textId="77777777" w:rsidR="00FD03E5" w:rsidRPr="003015CD" w:rsidRDefault="00FD03E5" w:rsidP="00081885">
      <w:pPr>
        <w:pStyle w:val="App2"/>
        <w:tabs>
          <w:tab w:val="clear" w:pos="567"/>
          <w:tab w:val="clear" w:pos="709"/>
          <w:tab w:val="left" w:pos="284"/>
        </w:tabs>
        <w:ind w:left="426"/>
        <w:jc w:val="both"/>
      </w:pPr>
      <w:bookmarkStart w:id="260" w:name="_Toc446499060"/>
      <w:bookmarkStart w:id="261" w:name="_Ref164159823"/>
      <w:bookmarkStart w:id="262" w:name="_Ref164529587"/>
      <w:bookmarkStart w:id="263" w:name="_Ref165365283"/>
      <w:bookmarkStart w:id="264" w:name="_Ref233282403"/>
      <w:bookmarkStart w:id="265" w:name="_Ref233282452"/>
      <w:bookmarkStart w:id="266" w:name="_Ref233288641"/>
      <w:bookmarkStart w:id="267" w:name="_Ref233808253"/>
      <w:bookmarkStart w:id="268" w:name="_Toc236912939"/>
      <w:r w:rsidRPr="003015CD">
        <w:t>Appraisal of relevant clinical data - examples of studies that lack scientific validity for demonstration of clinical performance and/or clinical safety</w:t>
      </w:r>
      <w:bookmarkEnd w:id="260"/>
      <w:bookmarkEnd w:id="261"/>
      <w:bookmarkEnd w:id="262"/>
      <w:bookmarkEnd w:id="263"/>
      <w:bookmarkEnd w:id="264"/>
      <w:bookmarkEnd w:id="265"/>
      <w:bookmarkEnd w:id="266"/>
      <w:bookmarkEnd w:id="267"/>
      <w:bookmarkEnd w:id="268"/>
    </w:p>
    <w:p w14:paraId="45BE80B2"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Lack of information on elementary aspects:</w:t>
      </w:r>
    </w:p>
    <w:p w14:paraId="385C14F7"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For example, reports and publications that omit disclosure of one or more of the following (non-exhaustive)</w:t>
      </w:r>
      <w:r w:rsidRPr="003015CD">
        <w:rPr>
          <w:rStyle w:val="Appelnotedebasdep"/>
          <w:rFonts w:asciiTheme="majorHAnsi" w:hAnsiTheme="majorHAnsi" w:cstheme="majorHAnsi"/>
          <w:color w:val="000000" w:themeColor="text1"/>
        </w:rPr>
        <w:footnoteReference w:id="117"/>
      </w:r>
      <w:r w:rsidRPr="003015CD">
        <w:rPr>
          <w:rFonts w:asciiTheme="majorHAnsi" w:hAnsiTheme="majorHAnsi" w:cstheme="majorHAnsi"/>
          <w:color w:val="000000" w:themeColor="text1"/>
        </w:rPr>
        <w:t xml:space="preserve">: </w:t>
      </w:r>
    </w:p>
    <w:p w14:paraId="3F9D1B93" w14:textId="69F76793"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methods used </w:t>
      </w:r>
    </w:p>
    <w:p w14:paraId="0937BA10" w14:textId="5C2746C2"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the identity of products used</w:t>
      </w:r>
    </w:p>
    <w:p w14:paraId="39E99B41" w14:textId="7BB9458D"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numbers of patients exposed</w:t>
      </w:r>
    </w:p>
    <w:p w14:paraId="51F5E33B" w14:textId="2593D3C5"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what the clinical outcomes were</w:t>
      </w:r>
    </w:p>
    <w:p w14:paraId="611B275F" w14:textId="0D863D01"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all the results the clinical study or investigation planned to investigate</w:t>
      </w:r>
    </w:p>
    <w:p w14:paraId="69C258A7" w14:textId="6809BE07"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undesirable side-effects that have been observed</w:t>
      </w:r>
    </w:p>
    <w:p w14:paraId="5FCFE325" w14:textId="7561D0D5"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confidence intervals/calculation of statistical significance/other relevant statistical methods</w:t>
      </w:r>
    </w:p>
    <w:p w14:paraId="4549F289" w14:textId="77777777" w:rsidR="00FD03E5" w:rsidRPr="003015CD" w:rsidRDefault="00FD03E5" w:rsidP="00081885">
      <w:pPr>
        <w:pStyle w:val="List23"/>
        <w:numPr>
          <w:ilvl w:val="0"/>
          <w:numId w:val="6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specification of whether intention-to-treat and/or per protocol analysis was conducted, including definitions and results of the analysis.</w:t>
      </w:r>
    </w:p>
    <w:p w14:paraId="40EA416B"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Numbers too small for statistical significance – inadequate statistical power</w:t>
      </w:r>
    </w:p>
    <w:p w14:paraId="75DC82EE"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Includes publications and reports with inconclusive preliminary data, inconclusive data from feasibility studies, anecdotal experience, hypothesis papers and unsubstantiated opinions.</w:t>
      </w:r>
    </w:p>
    <w:p w14:paraId="2797D53B"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Improper statistical methods</w:t>
      </w:r>
    </w:p>
    <w:p w14:paraId="06DBFA26"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This includes:</w:t>
      </w:r>
    </w:p>
    <w:p w14:paraId="401842BF" w14:textId="240E3407" w:rsidR="00FD03E5" w:rsidRPr="003015CD" w:rsidRDefault="00FD03E5" w:rsidP="00081885">
      <w:pPr>
        <w:pStyle w:val="List23"/>
        <w:numPr>
          <w:ilvl w:val="0"/>
          <w:numId w:val="6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results obtained after multiple subgroup testing, when no corrections to confidence intervals/p-values have been applied for multiple comparisons</w:t>
      </w:r>
    </w:p>
    <w:p w14:paraId="7DC5630A" w14:textId="77777777" w:rsidR="00FD03E5" w:rsidRPr="003015CD" w:rsidRDefault="00FD03E5" w:rsidP="00081885">
      <w:pPr>
        <w:pStyle w:val="List23"/>
        <w:numPr>
          <w:ilvl w:val="0"/>
          <w:numId w:val="64"/>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calculations and tests based on a certain type of distribution of data (e.g., Gaussian (parametric) distribution with its calculations of mean values, standard deviations, confidence intervals, t-tests, other tests), while the type of distribution is not tested, the observed data distribution is not consistent with the assumed set of parameters, or the data have not been transformed. </w:t>
      </w:r>
    </w:p>
    <w:p w14:paraId="187565AE"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Lack of adequate controls</w:t>
      </w:r>
    </w:p>
    <w:p w14:paraId="6ACA7F2D"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In the following situations, bias or confounding are probable in single arm-studies, non-blinded studies, and in studies that do not include appropriate controls: </w:t>
      </w:r>
    </w:p>
    <w:p w14:paraId="757DDFAD" w14:textId="29439B5F" w:rsidR="00FD03E5" w:rsidRPr="003015CD" w:rsidRDefault="00FD03E5" w:rsidP="00081885">
      <w:pPr>
        <w:pStyle w:val="List23"/>
        <w:numPr>
          <w:ilvl w:val="0"/>
          <w:numId w:val="6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when results are based on subjective endpoint assessments (e.g., pain assessment)</w:t>
      </w:r>
    </w:p>
    <w:p w14:paraId="78FAD346" w14:textId="7A57A825" w:rsidR="00FD03E5" w:rsidRPr="003015CD" w:rsidRDefault="00FD03E5" w:rsidP="00081885">
      <w:pPr>
        <w:pStyle w:val="List23"/>
        <w:numPr>
          <w:ilvl w:val="0"/>
          <w:numId w:val="6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when the endpoints or symptoms assessed are subject to natural fluctuations (e.g. regression to the mean when observing patients with chronic diseases and fluctuating symptoms, when natural improvement occurs, when the natural course of the disease in a patient is not clearly predictable)</w:t>
      </w:r>
    </w:p>
    <w:p w14:paraId="49882621" w14:textId="41CF35B2" w:rsidR="00FD03E5" w:rsidRPr="003015CD" w:rsidRDefault="00FD03E5" w:rsidP="00081885">
      <w:pPr>
        <w:pStyle w:val="List23"/>
        <w:numPr>
          <w:ilvl w:val="0"/>
          <w:numId w:val="6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when effectiveness studies are conducted with subjects that are likely to take or are foreseen to receive effective co-interventions (including over-the-counter medication and other therapies)</w:t>
      </w:r>
    </w:p>
    <w:p w14:paraId="072BAA04" w14:textId="5AF57944" w:rsidR="00FD03E5" w:rsidRPr="003015CD" w:rsidRDefault="00FD03E5" w:rsidP="00081885">
      <w:pPr>
        <w:pStyle w:val="List23"/>
        <w:numPr>
          <w:ilvl w:val="0"/>
          <w:numId w:val="6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when there may be other influencing factors (e.g. outcomes that are affected by variability of the patient population, of the disease, of user skills, of infrastructure available for planning/ intervention/ aftercare, use of prophylactic medication, other factors)</w:t>
      </w:r>
    </w:p>
    <w:p w14:paraId="31260FC1" w14:textId="77777777" w:rsidR="00FD03E5" w:rsidRPr="003015CD" w:rsidRDefault="00FD03E5" w:rsidP="00081885">
      <w:pPr>
        <w:pStyle w:val="List23"/>
        <w:numPr>
          <w:ilvl w:val="0"/>
          <w:numId w:val="6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when there are significant differences between the results of existing publications, pointing to variable and ill controlled influencing factors.</w:t>
      </w:r>
    </w:p>
    <w:p w14:paraId="1C3730B6"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In the situations described above, it is generally not adequate to draw conclusions based on direct comparisons with external or historic data (such as drawing conclusions by comparing data from a clinical investigation with device registry data or with data from published literature). </w:t>
      </w:r>
    </w:p>
    <w:p w14:paraId="0C54888B"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There are study designs that may adequately eliminate or control for bias and confounders through their design and conduct, which may in turn allow direct comparisons and conclusions to be drawn, such as randomised controlled design, cross-over design, or split-body design.</w:t>
      </w:r>
    </w:p>
    <w:p w14:paraId="2206E87B"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Loss to follow-up</w:t>
      </w:r>
    </w:p>
    <w:p w14:paraId="7E11820F"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This includes:</w:t>
      </w:r>
    </w:p>
    <w:p w14:paraId="00B76F51" w14:textId="3A8D8213" w:rsidR="00FD03E5" w:rsidRPr="003015CD" w:rsidRDefault="00FD03E5" w:rsidP="00081885">
      <w:pPr>
        <w:pStyle w:val="Text-Indent"/>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studies that experience high degree of participant attrition and loss to follow up</w:t>
      </w:r>
    </w:p>
    <w:p w14:paraId="18361F44" w14:textId="77777777" w:rsidR="00FD03E5" w:rsidRPr="003015CD" w:rsidRDefault="00FD03E5" w:rsidP="00081885">
      <w:pPr>
        <w:pStyle w:val="Text-Indent"/>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Inadequate capture of the flow of participants from recruitment, screening, study inclusion, randomisation and allocation of intervention (if applicable), outcome assessment, follow-up, and analysis. </w:t>
      </w:r>
    </w:p>
    <w:p w14:paraId="6F5A26F4"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Details on loss to follow-up, including numbers of subjects lost to follow-up in each study arm, reasons why subjects leave the study, and the results of sensitivity analysis, should be fully disclosed in reports and publications. </w:t>
      </w:r>
    </w:p>
    <w:p w14:paraId="70954D45"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Misinterpretation by the authors</w:t>
      </w:r>
    </w:p>
    <w:p w14:paraId="2AC24495" w14:textId="77777777" w:rsidR="00FD03E5" w:rsidRPr="003015CD" w:rsidRDefault="00FD03E5" w:rsidP="00081885">
      <w:pPr>
        <w:pStyle w:val="Text-Indent"/>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Includes conclusions that are not in line with the results section of the report or publication, such as: </w:t>
      </w:r>
    </w:p>
    <w:p w14:paraId="79CDCCFC" w14:textId="4FE590F5" w:rsidR="00FD03E5" w:rsidRPr="003015CD" w:rsidRDefault="00FD03E5" w:rsidP="00081885">
      <w:pPr>
        <w:pStyle w:val="Text-Indent"/>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reports and publications not correctly addressing lack of statistical significance/confidence intervals that encompass the null hypothesis</w:t>
      </w:r>
    </w:p>
    <w:p w14:paraId="673DDCFA" w14:textId="77777777" w:rsidR="00FD03E5" w:rsidRPr="003015CD" w:rsidRDefault="00FD03E5" w:rsidP="00081885">
      <w:pPr>
        <w:pStyle w:val="Text-Indent"/>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effects too small for clinical relevance.</w:t>
      </w:r>
    </w:p>
    <w:p w14:paraId="4B533F5B" w14:textId="77777777" w:rsidR="00FD03E5" w:rsidRPr="003015CD" w:rsidRDefault="00FD03E5" w:rsidP="00081885">
      <w:pPr>
        <w:pStyle w:val="Titre4"/>
        <w:numPr>
          <w:ilvl w:val="0"/>
          <w:numId w:val="43"/>
        </w:numPr>
        <w:ind w:hanging="218"/>
        <w:jc w:val="both"/>
        <w:rPr>
          <w:rFonts w:asciiTheme="majorHAnsi" w:hAnsiTheme="majorHAnsi" w:cstheme="majorHAnsi"/>
          <w:color w:val="000000" w:themeColor="text1"/>
        </w:rPr>
      </w:pPr>
      <w:r w:rsidRPr="003015CD">
        <w:rPr>
          <w:rFonts w:asciiTheme="majorHAnsi" w:hAnsiTheme="majorHAnsi" w:cstheme="majorHAnsi"/>
          <w:color w:val="000000" w:themeColor="text1"/>
        </w:rPr>
        <w:t>Illegal activities</w:t>
      </w:r>
    </w:p>
    <w:p w14:paraId="53B26C69" w14:textId="626895F4" w:rsidR="00FD03E5" w:rsidRPr="003015CD" w:rsidRDefault="00FD03E5" w:rsidP="00081885">
      <w:pPr>
        <w:pStyle w:val="Text-Indent"/>
        <w:ind w:left="360"/>
        <w:jc w:val="both"/>
        <w:rPr>
          <w:rFonts w:asciiTheme="majorHAnsi" w:hAnsiTheme="majorHAnsi" w:cstheme="majorBidi"/>
          <w:color w:val="000000" w:themeColor="text1"/>
        </w:rPr>
      </w:pPr>
      <w:r w:rsidRPr="003015CD">
        <w:rPr>
          <w:rFonts w:asciiTheme="majorHAnsi" w:hAnsiTheme="majorHAnsi" w:cstheme="majorBidi"/>
          <w:color w:val="000000" w:themeColor="text1"/>
        </w:rPr>
        <w:t>Includes clinical investigations not conducted in compliance with local regulations. Clinical investigations are generally expected to be designed, conducted and reported in accordance with GCP standards, such as ISO 14155:2020 or a comparable standard, and in compliance with local regulations and the Declaration of Helsinki. Clinical investigations conducted in the EU (which commenced after application of MDR (EU Regulation 2017/745) on 26 May 2021) must comply with the relevant requirements in Chapter VI and Annex XV of MDR, and with applicable national provisions. Clinical investigations conducted in the EU which commenced before application of MDR must comply with Directive 93/42/CE and 90/135/CEE. For clinical investigations performed in countries outside of the EU, they must comply with the applicable legal requirements in those countries.</w:t>
      </w:r>
    </w:p>
    <w:p w14:paraId="7EF5D6A0" w14:textId="77777777" w:rsidR="00FD03E5" w:rsidRPr="003015CD" w:rsidRDefault="00FD03E5" w:rsidP="00081885">
      <w:pPr>
        <w:pStyle w:val="Text-Indent"/>
        <w:jc w:val="both"/>
        <w:rPr>
          <w:rStyle w:val="Marquedecommentaire"/>
          <w:rFonts w:asciiTheme="majorHAnsi" w:hAnsiTheme="majorHAnsi" w:cstheme="majorHAnsi"/>
          <w:color w:val="000000" w:themeColor="text1"/>
          <w:sz w:val="22"/>
          <w:szCs w:val="22"/>
        </w:rPr>
      </w:pPr>
      <w:r w:rsidRPr="003015CD" w:rsidDel="003C3C97">
        <w:rPr>
          <w:rStyle w:val="Marquedecommentaire"/>
          <w:rFonts w:asciiTheme="majorHAnsi" w:hAnsiTheme="majorHAnsi" w:cstheme="majorHAnsi"/>
          <w:color w:val="000000" w:themeColor="text1"/>
        </w:rPr>
        <w:t xml:space="preserve"> </w:t>
      </w:r>
    </w:p>
    <w:p w14:paraId="3837BA34" w14:textId="67966AED" w:rsidR="00D91DAC" w:rsidRPr="003015CD" w:rsidRDefault="00D91DAC">
      <w:pPr>
        <w:spacing w:before="0" w:after="0"/>
        <w:rPr>
          <w:rStyle w:val="Marquedecommentaire"/>
          <w:rFonts w:asciiTheme="majorHAnsi" w:hAnsiTheme="majorHAnsi" w:cstheme="majorHAnsi"/>
          <w:color w:val="000000" w:themeColor="text1"/>
          <w:sz w:val="22"/>
          <w:szCs w:val="22"/>
        </w:rPr>
      </w:pPr>
      <w:r w:rsidRPr="003015CD">
        <w:rPr>
          <w:rStyle w:val="Marquedecommentaire"/>
          <w:rFonts w:asciiTheme="majorHAnsi" w:hAnsiTheme="majorHAnsi" w:cstheme="majorHAnsi"/>
          <w:color w:val="000000" w:themeColor="text1"/>
          <w:sz w:val="22"/>
          <w:szCs w:val="22"/>
        </w:rPr>
        <w:br w:type="page"/>
      </w:r>
    </w:p>
    <w:p w14:paraId="4CEF1CF4" w14:textId="77777777" w:rsidR="00FD03E5" w:rsidRPr="003015CD" w:rsidRDefault="00FD03E5" w:rsidP="00081885">
      <w:pPr>
        <w:pStyle w:val="App2"/>
        <w:tabs>
          <w:tab w:val="clear" w:pos="567"/>
          <w:tab w:val="clear" w:pos="709"/>
          <w:tab w:val="left" w:pos="284"/>
        </w:tabs>
        <w:ind w:left="426"/>
        <w:jc w:val="both"/>
      </w:pPr>
      <w:bookmarkStart w:id="269" w:name="_Ref164529601"/>
      <w:bookmarkStart w:id="270" w:name="_Toc236912940"/>
      <w:r w:rsidRPr="003015CD">
        <w:t>Use of data from retrospective studies</w:t>
      </w:r>
      <w:bookmarkEnd w:id="269"/>
      <w:bookmarkEnd w:id="270"/>
    </w:p>
    <w:p w14:paraId="0C36A219" w14:textId="29420A55" w:rsidR="00FD03E5" w:rsidRPr="003015CD" w:rsidRDefault="00FD03E5" w:rsidP="00081885">
      <w:pPr>
        <w:pStyle w:val="NormalWeb"/>
        <w:spacing w:before="0" w:beforeAutospacing="0" w:after="24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A retrospective study is one in which participants’ baseline information, use </w:t>
      </w:r>
      <w:r w:rsidR="00781F46" w:rsidRPr="003015CD">
        <w:rPr>
          <w:rFonts w:asciiTheme="majorHAnsi" w:hAnsiTheme="majorHAnsi" w:cstheme="majorHAnsi"/>
          <w:color w:val="000000" w:themeColor="text1"/>
          <w:sz w:val="22"/>
          <w:szCs w:val="22"/>
          <w:lang w:val="en-GB"/>
        </w:rPr>
        <w:t>of a</w:t>
      </w:r>
      <w:r w:rsidRPr="003015CD">
        <w:rPr>
          <w:rFonts w:asciiTheme="majorHAnsi" w:hAnsiTheme="majorHAnsi" w:cstheme="majorHAnsi"/>
          <w:color w:val="000000" w:themeColor="text1"/>
          <w:sz w:val="22"/>
          <w:szCs w:val="22"/>
          <w:lang w:val="en-GB"/>
        </w:rPr>
        <w:t xml:space="preserve"> medical device and the outcomes of interest to the study are obtained from information that existed prior to the commencement of the study.</w:t>
      </w:r>
      <w:r w:rsidRPr="003015CD">
        <w:rPr>
          <w:lang w:val="en-GB"/>
        </w:rPr>
        <w:t xml:space="preserve"> </w:t>
      </w:r>
    </w:p>
    <w:p w14:paraId="26F54A50" w14:textId="18B0A2DC" w:rsidR="00FD03E5" w:rsidRPr="003015CD" w:rsidRDefault="00FD03E5" w:rsidP="00081885">
      <w:pPr>
        <w:pStyle w:val="NormalWeb"/>
        <w:spacing w:before="0" w:beforeAutospacing="0" w:after="240" w:afterAutospacing="0"/>
        <w:jc w:val="both"/>
        <w:rPr>
          <w:rFonts w:asciiTheme="majorHAnsi" w:hAnsiTheme="majorHAnsi" w:cstheme="majorHAnsi"/>
          <w:bCs/>
          <w:color w:val="000000" w:themeColor="text1"/>
          <w:sz w:val="22"/>
          <w:szCs w:val="22"/>
          <w:lang w:val="en-GB"/>
        </w:rPr>
      </w:pPr>
      <w:r w:rsidRPr="003015CD">
        <w:rPr>
          <w:rFonts w:asciiTheme="majorHAnsi" w:hAnsiTheme="majorHAnsi" w:cstheme="majorHAnsi"/>
          <w:color w:val="000000" w:themeColor="text1"/>
          <w:sz w:val="22"/>
          <w:szCs w:val="22"/>
          <w:lang w:val="en-GB"/>
        </w:rPr>
        <w:t xml:space="preserve">Data obtained from retrospective studies has the potential to yield useful information to aid in the clinical evaluation of a medical device. For example, retrospective studies can be useful to establish an assumption of associations between an input and outcomes or contribute to the overall body of evidence. </w:t>
      </w:r>
      <w:r w:rsidRPr="003015CD">
        <w:rPr>
          <w:rFonts w:asciiTheme="majorHAnsi" w:hAnsiTheme="majorHAnsi" w:cstheme="majorHAnsi"/>
          <w:bCs/>
          <w:color w:val="000000" w:themeColor="text1"/>
          <w:sz w:val="22"/>
          <w:szCs w:val="22"/>
          <w:lang w:val="en-GB"/>
        </w:rPr>
        <w:t>Retrospective studies may be useful for the purpose of investigating the epidemiology and/or natural history of a condition for which a device is indicated. Retrospective studies can also be useful in generating hypotheses which may be further investigated in clinical investigation</w:t>
      </w:r>
      <w:r w:rsidR="00A16685" w:rsidRPr="003015CD">
        <w:rPr>
          <w:rFonts w:asciiTheme="majorHAnsi" w:hAnsiTheme="majorHAnsi" w:cstheme="majorHAnsi"/>
          <w:bCs/>
          <w:color w:val="000000" w:themeColor="text1"/>
          <w:sz w:val="22"/>
          <w:szCs w:val="22"/>
          <w:lang w:val="en-GB"/>
        </w:rPr>
        <w:t>s</w:t>
      </w:r>
      <w:r w:rsidRPr="003015CD">
        <w:rPr>
          <w:rFonts w:asciiTheme="majorHAnsi" w:hAnsiTheme="majorHAnsi" w:cstheme="majorHAnsi"/>
          <w:bCs/>
          <w:color w:val="000000" w:themeColor="text1"/>
          <w:sz w:val="22"/>
          <w:szCs w:val="22"/>
          <w:lang w:val="en-GB"/>
        </w:rPr>
        <w:t xml:space="preserve">. </w:t>
      </w:r>
      <w:r w:rsidRPr="003015CD">
        <w:rPr>
          <w:rFonts w:asciiTheme="majorHAnsi" w:hAnsiTheme="majorHAnsi" w:cstheme="majorHAnsi"/>
          <w:color w:val="000000" w:themeColor="text1"/>
          <w:sz w:val="22"/>
          <w:szCs w:val="22"/>
          <w:lang w:val="en-GB"/>
        </w:rPr>
        <w:t xml:space="preserve">Retrospective studies can have a more defined role in the post-market setting, for example, to monitor the safety and assess the "real world" impact of a medical device. This information might be useful in providing confirmatory data regarding the safety and performance of the device. </w:t>
      </w:r>
    </w:p>
    <w:p w14:paraId="2B309F81" w14:textId="52F85C8F" w:rsidR="00FD03E5" w:rsidRPr="003015CD" w:rsidRDefault="00FD03E5" w:rsidP="00081885">
      <w:pPr>
        <w:pStyle w:val="NormalWeb"/>
        <w:spacing w:before="0" w:beforeAutospacing="0" w:after="24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However, the use of this data can pose specific challenges. The data was not collected in a predesigned proforma as per the specific requirements of the study, and in most cases some data will inevitably be missing. In addition, certain variables that have the potential to impact the outcome may not have been recorded at all. Like other sources of clinical data, retrospective data should be identified, appraised and analysed in a systematic way as per sections </w:t>
      </w:r>
      <w:r w:rsidRPr="003015CD">
        <w:rPr>
          <w:rFonts w:asciiTheme="majorHAnsi" w:hAnsiTheme="majorHAnsi" w:cstheme="majorHAnsi"/>
          <w:color w:val="000000" w:themeColor="text1"/>
          <w:sz w:val="22"/>
          <w:szCs w:val="22"/>
          <w:lang w:val="en-GB"/>
        </w:rPr>
        <w:fldChar w:fldCharType="begin"/>
      </w:r>
      <w:r w:rsidRPr="003015CD">
        <w:rPr>
          <w:rFonts w:asciiTheme="majorHAnsi" w:hAnsiTheme="majorHAnsi" w:cstheme="majorHAnsi"/>
          <w:color w:val="000000" w:themeColor="text1"/>
          <w:sz w:val="22"/>
          <w:szCs w:val="22"/>
          <w:lang w:val="en-GB"/>
        </w:rPr>
        <w:instrText xml:space="preserve"> REF _Ref164155827 \r \h  \* MERGEFORMAT </w:instrText>
      </w:r>
      <w:r w:rsidRPr="003015CD">
        <w:rPr>
          <w:rFonts w:asciiTheme="majorHAnsi" w:hAnsiTheme="majorHAnsi" w:cstheme="majorHAnsi"/>
          <w:color w:val="000000" w:themeColor="text1"/>
          <w:sz w:val="22"/>
          <w:szCs w:val="22"/>
          <w:lang w:val="en-GB"/>
        </w:rPr>
      </w:r>
      <w:r w:rsidRPr="003015CD">
        <w:rPr>
          <w:rFonts w:asciiTheme="majorHAnsi" w:hAnsiTheme="majorHAnsi" w:cstheme="majorHAnsi"/>
          <w:color w:val="000000" w:themeColor="text1"/>
          <w:sz w:val="22"/>
          <w:szCs w:val="22"/>
          <w:lang w:val="en-GB"/>
        </w:rPr>
        <w:fldChar w:fldCharType="separate"/>
      </w:r>
      <w:r w:rsidR="001D11FB" w:rsidRPr="003015CD">
        <w:rPr>
          <w:rFonts w:asciiTheme="majorHAnsi" w:hAnsiTheme="majorHAnsi" w:cstheme="majorHAnsi"/>
          <w:color w:val="000000" w:themeColor="text1"/>
          <w:sz w:val="22"/>
          <w:szCs w:val="22"/>
          <w:lang w:val="en-GB"/>
        </w:rPr>
        <w:t>8</w:t>
      </w:r>
      <w:r w:rsidRPr="003015CD">
        <w:rPr>
          <w:rFonts w:asciiTheme="majorHAnsi" w:hAnsiTheme="majorHAnsi" w:cstheme="majorHAnsi"/>
          <w:color w:val="000000" w:themeColor="text1"/>
          <w:sz w:val="22"/>
          <w:szCs w:val="22"/>
          <w:lang w:val="en-GB"/>
        </w:rPr>
        <w:fldChar w:fldCharType="end"/>
      </w:r>
      <w:r w:rsidRPr="003015CD">
        <w:rPr>
          <w:rFonts w:asciiTheme="majorHAnsi" w:hAnsiTheme="majorHAnsi" w:cstheme="majorHAnsi"/>
          <w:color w:val="000000" w:themeColor="text1"/>
          <w:sz w:val="22"/>
          <w:szCs w:val="22"/>
          <w:lang w:val="en-GB"/>
        </w:rPr>
        <w:t xml:space="preserve">, </w:t>
      </w:r>
      <w:r w:rsidRPr="003015CD">
        <w:rPr>
          <w:rFonts w:asciiTheme="majorHAnsi" w:hAnsiTheme="majorHAnsi" w:cstheme="majorHAnsi"/>
          <w:color w:val="000000" w:themeColor="text1"/>
          <w:sz w:val="22"/>
          <w:szCs w:val="22"/>
          <w:lang w:val="en-GB"/>
        </w:rPr>
        <w:fldChar w:fldCharType="begin"/>
      </w:r>
      <w:r w:rsidRPr="003015CD">
        <w:rPr>
          <w:rFonts w:asciiTheme="majorHAnsi" w:hAnsiTheme="majorHAnsi" w:cstheme="majorHAnsi"/>
          <w:color w:val="000000" w:themeColor="text1"/>
          <w:sz w:val="22"/>
          <w:szCs w:val="22"/>
          <w:lang w:val="en-GB"/>
        </w:rPr>
        <w:instrText xml:space="preserve"> REF _Ref164155836 \r \h  \* MERGEFORMAT </w:instrText>
      </w:r>
      <w:r w:rsidRPr="003015CD">
        <w:rPr>
          <w:rFonts w:asciiTheme="majorHAnsi" w:hAnsiTheme="majorHAnsi" w:cstheme="majorHAnsi"/>
          <w:color w:val="000000" w:themeColor="text1"/>
          <w:sz w:val="22"/>
          <w:szCs w:val="22"/>
          <w:lang w:val="en-GB"/>
        </w:rPr>
      </w:r>
      <w:r w:rsidRPr="003015CD">
        <w:rPr>
          <w:rFonts w:asciiTheme="majorHAnsi" w:hAnsiTheme="majorHAnsi" w:cstheme="majorHAnsi"/>
          <w:color w:val="000000" w:themeColor="text1"/>
          <w:sz w:val="22"/>
          <w:szCs w:val="22"/>
          <w:lang w:val="en-GB"/>
        </w:rPr>
        <w:fldChar w:fldCharType="separate"/>
      </w:r>
      <w:r w:rsidR="001D11FB" w:rsidRPr="003015CD">
        <w:rPr>
          <w:rFonts w:asciiTheme="majorHAnsi" w:hAnsiTheme="majorHAnsi" w:cstheme="majorHAnsi"/>
          <w:color w:val="000000" w:themeColor="text1"/>
          <w:sz w:val="22"/>
          <w:szCs w:val="22"/>
          <w:lang w:val="en-GB"/>
        </w:rPr>
        <w:t>9</w:t>
      </w:r>
      <w:r w:rsidRPr="003015CD">
        <w:rPr>
          <w:rFonts w:asciiTheme="majorHAnsi" w:hAnsiTheme="majorHAnsi" w:cstheme="majorHAnsi"/>
          <w:color w:val="000000" w:themeColor="text1"/>
          <w:sz w:val="22"/>
          <w:szCs w:val="22"/>
          <w:lang w:val="en-GB"/>
        </w:rPr>
        <w:fldChar w:fldCharType="end"/>
      </w:r>
      <w:r w:rsidRPr="003015CD">
        <w:rPr>
          <w:rFonts w:asciiTheme="majorHAnsi" w:hAnsiTheme="majorHAnsi" w:cstheme="majorHAnsi"/>
          <w:color w:val="000000" w:themeColor="text1"/>
          <w:sz w:val="22"/>
          <w:szCs w:val="22"/>
          <w:lang w:val="en-GB"/>
        </w:rPr>
        <w:t xml:space="preserve"> and </w:t>
      </w:r>
      <w:r w:rsidRPr="003015CD">
        <w:rPr>
          <w:rFonts w:asciiTheme="majorHAnsi" w:hAnsiTheme="majorHAnsi" w:cstheme="majorHAnsi"/>
          <w:color w:val="000000" w:themeColor="text1"/>
          <w:sz w:val="22"/>
          <w:szCs w:val="22"/>
          <w:lang w:val="en-GB"/>
        </w:rPr>
        <w:fldChar w:fldCharType="begin"/>
      </w:r>
      <w:r w:rsidRPr="003015CD">
        <w:rPr>
          <w:rFonts w:asciiTheme="majorHAnsi" w:hAnsiTheme="majorHAnsi" w:cstheme="majorHAnsi"/>
          <w:color w:val="000000" w:themeColor="text1"/>
          <w:sz w:val="22"/>
          <w:szCs w:val="22"/>
          <w:lang w:val="en-GB"/>
        </w:rPr>
        <w:instrText xml:space="preserve"> REF _Ref164155845 \r \h  \* MERGEFORMAT </w:instrText>
      </w:r>
      <w:r w:rsidRPr="003015CD">
        <w:rPr>
          <w:rFonts w:asciiTheme="majorHAnsi" w:hAnsiTheme="majorHAnsi" w:cstheme="majorHAnsi"/>
          <w:color w:val="000000" w:themeColor="text1"/>
          <w:sz w:val="22"/>
          <w:szCs w:val="22"/>
          <w:lang w:val="en-GB"/>
        </w:rPr>
      </w:r>
      <w:r w:rsidRPr="003015CD">
        <w:rPr>
          <w:rFonts w:asciiTheme="majorHAnsi" w:hAnsiTheme="majorHAnsi" w:cstheme="majorHAnsi"/>
          <w:color w:val="000000" w:themeColor="text1"/>
          <w:sz w:val="22"/>
          <w:szCs w:val="22"/>
          <w:lang w:val="en-GB"/>
        </w:rPr>
        <w:fldChar w:fldCharType="separate"/>
      </w:r>
      <w:r w:rsidR="001D11FB" w:rsidRPr="003015CD">
        <w:rPr>
          <w:rFonts w:asciiTheme="majorHAnsi" w:hAnsiTheme="majorHAnsi" w:cstheme="majorHAnsi"/>
          <w:color w:val="000000" w:themeColor="text1"/>
          <w:sz w:val="22"/>
          <w:szCs w:val="22"/>
          <w:lang w:val="en-GB"/>
        </w:rPr>
        <w:t>10</w:t>
      </w:r>
      <w:r w:rsidRPr="003015CD">
        <w:rPr>
          <w:rFonts w:asciiTheme="majorHAnsi" w:hAnsiTheme="majorHAnsi" w:cstheme="majorHAnsi"/>
          <w:color w:val="000000" w:themeColor="text1"/>
          <w:sz w:val="22"/>
          <w:szCs w:val="22"/>
          <w:lang w:val="en-GB"/>
        </w:rPr>
        <w:fldChar w:fldCharType="end"/>
      </w:r>
      <w:r w:rsidRPr="003015CD">
        <w:rPr>
          <w:rFonts w:asciiTheme="majorHAnsi" w:hAnsiTheme="majorHAnsi" w:cstheme="majorHAnsi"/>
          <w:color w:val="000000" w:themeColor="text1"/>
          <w:sz w:val="22"/>
          <w:szCs w:val="22"/>
          <w:lang w:val="en-GB"/>
        </w:rPr>
        <w:t xml:space="preserve"> of this guidance document. </w:t>
      </w:r>
    </w:p>
    <w:p w14:paraId="0363D36F" w14:textId="77777777" w:rsidR="00FD03E5" w:rsidRPr="003015CD" w:rsidRDefault="00FD03E5" w:rsidP="00081885">
      <w:pPr>
        <w:pStyle w:val="NormalWeb"/>
        <w:spacing w:before="0" w:beforeAutospacing="0" w:after="240" w:afterAutospacing="0"/>
        <w:jc w:val="both"/>
        <w:rPr>
          <w:rFonts w:asciiTheme="majorHAnsi" w:hAnsiTheme="majorHAnsi" w:cstheme="majorBidi"/>
          <w:color w:val="000000" w:themeColor="text1"/>
          <w:sz w:val="22"/>
          <w:szCs w:val="22"/>
          <w:lang w:val="en-GB"/>
        </w:rPr>
      </w:pPr>
      <w:r w:rsidRPr="003015CD">
        <w:rPr>
          <w:rFonts w:asciiTheme="majorHAnsi" w:hAnsiTheme="majorHAnsi" w:cstheme="majorBidi"/>
          <w:color w:val="000000" w:themeColor="text1"/>
          <w:sz w:val="22"/>
          <w:szCs w:val="22"/>
          <w:lang w:val="en-GB"/>
        </w:rPr>
        <w:t>There are numerous and diverse potential sources of data that can be used in retrospective studies. These include health records, medical insurance databases, patient registries, claims data, laboratory records, pharmacy records, and data previously collected during the normal use of a device. Variations within each of these sources may further increase the heterogeneity of collected data, for example, variations in the structure of patient health records across a health system, heterogenous patient populations within a single database or registry, etc.</w:t>
      </w:r>
    </w:p>
    <w:p w14:paraId="27B30C50" w14:textId="2194C4D9" w:rsidR="00FD03E5" w:rsidRPr="003015CD" w:rsidRDefault="00FD03E5" w:rsidP="00081885">
      <w:pPr>
        <w:pStyle w:val="NormalWeb"/>
        <w:spacing w:before="0" w:beforeAutospacing="0" w:after="24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Retrospective studies are not considered clinical investigations</w:t>
      </w:r>
      <w:r w:rsidRPr="003015CD">
        <w:rPr>
          <w:rStyle w:val="Appelnotedebasdep"/>
          <w:rFonts w:asciiTheme="majorHAnsi" w:hAnsiTheme="majorHAnsi" w:cstheme="majorHAnsi"/>
          <w:color w:val="000000" w:themeColor="text1"/>
          <w:sz w:val="22"/>
          <w:szCs w:val="22"/>
          <w:lang w:val="en-GB"/>
        </w:rPr>
        <w:footnoteReference w:id="118"/>
      </w:r>
      <w:r w:rsidRPr="003015CD">
        <w:rPr>
          <w:rFonts w:asciiTheme="majorHAnsi" w:hAnsiTheme="majorHAnsi" w:cstheme="majorHAnsi"/>
          <w:color w:val="000000" w:themeColor="text1"/>
          <w:sz w:val="22"/>
          <w:szCs w:val="22"/>
          <w:lang w:val="en-GB"/>
        </w:rPr>
        <w:t>, and therefore they are not sufficient in themselves for fulfilling the requirement in MDR Article 61(4) to perform a clinical investigation for implantable or Class III devices. Like all sources of device information, data from retrospective sources must be in keeping with the definition in Article 2(48) to be considered "clinical data". This includes a requirement for such data to be generated "from the use of a device"</w:t>
      </w:r>
      <w:r w:rsidR="00751123" w:rsidRPr="003015CD">
        <w:rPr>
          <w:rFonts w:asciiTheme="majorHAnsi" w:hAnsiTheme="majorHAnsi" w:cstheme="majorHAnsi"/>
          <w:color w:val="000000" w:themeColor="text1"/>
          <w:sz w:val="22"/>
          <w:szCs w:val="22"/>
          <w:lang w:val="en-GB"/>
        </w:rPr>
        <w:t xml:space="preserve"> (see Appendix A4 for information regarding</w:t>
      </w:r>
      <w:r w:rsidR="0080127F" w:rsidRPr="003015CD">
        <w:rPr>
          <w:rFonts w:asciiTheme="majorHAnsi" w:hAnsiTheme="majorHAnsi" w:cstheme="majorHAnsi"/>
          <w:color w:val="000000" w:themeColor="text1"/>
          <w:sz w:val="22"/>
          <w:szCs w:val="22"/>
          <w:lang w:val="en-GB"/>
        </w:rPr>
        <w:t xml:space="preserve"> clinical data for</w:t>
      </w:r>
      <w:r w:rsidR="00751123" w:rsidRPr="003015CD">
        <w:rPr>
          <w:rFonts w:asciiTheme="majorHAnsi" w:hAnsiTheme="majorHAnsi" w:cstheme="majorHAnsi"/>
          <w:color w:val="000000" w:themeColor="text1"/>
          <w:sz w:val="22"/>
          <w:szCs w:val="22"/>
          <w:lang w:val="en-GB"/>
        </w:rPr>
        <w:t xml:space="preserve"> MDSW)</w:t>
      </w:r>
      <w:r w:rsidRPr="003015CD">
        <w:rPr>
          <w:rFonts w:asciiTheme="majorHAnsi" w:hAnsiTheme="majorHAnsi" w:cstheme="majorHAnsi"/>
          <w:color w:val="000000" w:themeColor="text1"/>
          <w:sz w:val="22"/>
          <w:szCs w:val="22"/>
          <w:lang w:val="en-GB"/>
        </w:rPr>
        <w:t xml:space="preserve">. Retrospective studies from the use of the device may be considered as sources of clinical data if they fulfil the definitions of "other studies", "other clinical experience" or "clinically relevant information " as per article 2(48) of MDR and discussed in </w:t>
      </w:r>
      <w:r w:rsidR="00FF6CBD" w:rsidRPr="003015CD">
        <w:rPr>
          <w:rFonts w:asciiTheme="majorHAnsi" w:hAnsiTheme="majorHAnsi" w:cstheme="majorHAnsi"/>
          <w:color w:val="000000" w:themeColor="text1"/>
          <w:sz w:val="22"/>
          <w:szCs w:val="22"/>
          <w:lang w:val="en-GB"/>
        </w:rPr>
        <w:t>S</w:t>
      </w:r>
      <w:r w:rsidRPr="003015CD">
        <w:rPr>
          <w:rFonts w:asciiTheme="majorHAnsi" w:hAnsiTheme="majorHAnsi" w:cstheme="majorHAnsi"/>
          <w:color w:val="000000" w:themeColor="text1"/>
          <w:sz w:val="22"/>
          <w:szCs w:val="22"/>
          <w:lang w:val="en-GB"/>
        </w:rPr>
        <w:t xml:space="preserve">ections 8.1.2 - 8.1.4 </w:t>
      </w:r>
      <w:r w:rsidR="00FF6CBD" w:rsidRPr="003015CD">
        <w:rPr>
          <w:rFonts w:asciiTheme="majorHAnsi" w:hAnsiTheme="majorHAnsi" w:cstheme="majorHAnsi"/>
          <w:color w:val="000000" w:themeColor="text1"/>
          <w:sz w:val="22"/>
          <w:szCs w:val="22"/>
          <w:lang w:val="en-GB"/>
        </w:rPr>
        <w:t>of this guidance</w:t>
      </w:r>
      <w:r w:rsidRPr="003015CD">
        <w:rPr>
          <w:rFonts w:asciiTheme="majorHAnsi" w:hAnsiTheme="majorHAnsi" w:cstheme="majorHAnsi"/>
          <w:color w:val="000000" w:themeColor="text1"/>
          <w:sz w:val="22"/>
          <w:szCs w:val="22"/>
          <w:lang w:val="en-GB"/>
        </w:rPr>
        <w:t xml:space="preserve">. As with any other source of data, retrospective studies must be appraised and analysed appropriately, as outlined in </w:t>
      </w:r>
      <w:r w:rsidR="003724B0" w:rsidRPr="003015CD">
        <w:rPr>
          <w:rFonts w:asciiTheme="majorHAnsi" w:hAnsiTheme="majorHAnsi" w:cstheme="majorHAnsi"/>
          <w:color w:val="000000" w:themeColor="text1"/>
          <w:sz w:val="22"/>
          <w:szCs w:val="22"/>
          <w:lang w:val="en-GB"/>
        </w:rPr>
        <w:t>S</w:t>
      </w:r>
      <w:r w:rsidRPr="003015CD">
        <w:rPr>
          <w:rFonts w:asciiTheme="majorHAnsi" w:hAnsiTheme="majorHAnsi" w:cstheme="majorHAnsi"/>
          <w:color w:val="000000" w:themeColor="text1"/>
          <w:sz w:val="22"/>
          <w:szCs w:val="22"/>
          <w:lang w:val="en-GB"/>
        </w:rPr>
        <w:t xml:space="preserve">ections 9 and 10. </w:t>
      </w:r>
    </w:p>
    <w:p w14:paraId="1AEC1B60" w14:textId="77777777" w:rsidR="00FD03E5" w:rsidRPr="003015CD" w:rsidRDefault="00FD03E5" w:rsidP="00081885">
      <w:pPr>
        <w:pStyle w:val="NormalWeb"/>
        <w:spacing w:before="0" w:beforeAutospacing="0" w:after="0" w:afterAutospacing="0"/>
        <w:jc w:val="both"/>
        <w:rPr>
          <w:rFonts w:asciiTheme="majorHAnsi" w:hAnsiTheme="majorHAnsi" w:cstheme="majorHAnsi"/>
          <w:color w:val="000000" w:themeColor="text1"/>
          <w:sz w:val="22"/>
          <w:szCs w:val="22"/>
          <w:lang w:val="en-GB"/>
        </w:rPr>
      </w:pPr>
      <w:r w:rsidRPr="003015CD" w:rsidDel="00191F26">
        <w:rPr>
          <w:rFonts w:asciiTheme="majorHAnsi" w:hAnsiTheme="majorHAnsi" w:cstheme="majorHAnsi"/>
          <w:color w:val="000000" w:themeColor="text1"/>
          <w:sz w:val="22"/>
          <w:szCs w:val="22"/>
          <w:lang w:val="en-GB"/>
        </w:rPr>
        <w:t xml:space="preserve"> </w:t>
      </w:r>
      <w:r w:rsidRPr="003015CD">
        <w:rPr>
          <w:rFonts w:asciiTheme="majorHAnsi" w:hAnsiTheme="majorHAnsi" w:cstheme="majorHAnsi"/>
          <w:color w:val="000000" w:themeColor="text1"/>
          <w:sz w:val="22"/>
          <w:szCs w:val="22"/>
          <w:lang w:val="en-GB"/>
        </w:rPr>
        <w:t>The following should also be considered when using retrospective studies in a clinical evaluation:</w:t>
      </w:r>
    </w:p>
    <w:p w14:paraId="6EE30232" w14:textId="77777777" w:rsidR="00FD03E5" w:rsidRPr="003015CD" w:rsidRDefault="00FD03E5" w:rsidP="00081885">
      <w:pPr>
        <w:pStyle w:val="NormalWeb"/>
        <w:spacing w:before="0" w:beforeAutospacing="0" w:after="0" w:afterAutospacing="0"/>
        <w:jc w:val="both"/>
        <w:rPr>
          <w:rFonts w:asciiTheme="majorHAnsi" w:hAnsiTheme="majorHAnsi" w:cstheme="majorHAnsi"/>
          <w:i/>
          <w:iCs/>
          <w:color w:val="000000" w:themeColor="text1"/>
          <w:sz w:val="22"/>
          <w:szCs w:val="22"/>
          <w:u w:val="single"/>
          <w:lang w:val="en-GB"/>
        </w:rPr>
      </w:pPr>
    </w:p>
    <w:p w14:paraId="15D82D94" w14:textId="77777777" w:rsidR="00FD03E5" w:rsidRPr="003015CD" w:rsidRDefault="00FD03E5" w:rsidP="00081885">
      <w:pPr>
        <w:pStyle w:val="NormalWeb"/>
        <w:numPr>
          <w:ilvl w:val="0"/>
          <w:numId w:val="49"/>
        </w:numPr>
        <w:spacing w:before="0" w:beforeAutospacing="0" w:after="0" w:afterAutospacing="0"/>
        <w:jc w:val="both"/>
        <w:rPr>
          <w:rFonts w:asciiTheme="majorHAnsi" w:hAnsiTheme="majorHAnsi" w:cstheme="majorHAnsi"/>
          <w:i/>
          <w:iCs/>
          <w:color w:val="000000" w:themeColor="text1"/>
          <w:sz w:val="22"/>
          <w:szCs w:val="22"/>
          <w:u w:val="single"/>
          <w:lang w:val="en-GB"/>
        </w:rPr>
      </w:pPr>
      <w:r w:rsidRPr="003015CD">
        <w:rPr>
          <w:rFonts w:asciiTheme="majorHAnsi" w:hAnsiTheme="majorHAnsi" w:cstheme="majorHAnsi"/>
          <w:i/>
          <w:iCs/>
          <w:color w:val="000000" w:themeColor="text1"/>
          <w:sz w:val="22"/>
          <w:szCs w:val="22"/>
          <w:u w:val="single"/>
          <w:lang w:val="en-GB"/>
        </w:rPr>
        <w:t>Aspects to consider from data sources for retrospective studies</w:t>
      </w:r>
    </w:p>
    <w:p w14:paraId="21595285" w14:textId="77777777" w:rsidR="00FD03E5" w:rsidRPr="003015CD" w:rsidRDefault="00FD03E5" w:rsidP="00081885">
      <w:pPr>
        <w:pStyle w:val="NormalWeb"/>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The diversity of available data sources has the potential to provide data that more closely resembles the varied and uncontrolled nature of “real world” clinical practice. However, it also provides significant challenges to ensure the data is of sufficient quality. </w:t>
      </w:r>
    </w:p>
    <w:p w14:paraId="7ABF844A" w14:textId="5CE452CC" w:rsidR="00FD03E5" w:rsidRPr="003015CD" w:rsidRDefault="00FD03E5" w:rsidP="00081885">
      <w:pPr>
        <w:pStyle w:val="NormalWeb"/>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Challenges in appraising the methodological quality and scientific validity of retrospective studies may </w:t>
      </w:r>
      <w:r w:rsidR="00AE6E94" w:rsidRPr="003015CD">
        <w:rPr>
          <w:rFonts w:asciiTheme="majorHAnsi" w:hAnsiTheme="majorHAnsi" w:cstheme="majorHAnsi"/>
          <w:color w:val="000000" w:themeColor="text1"/>
          <w:sz w:val="22"/>
          <w:szCs w:val="22"/>
          <w:lang w:val="en-GB"/>
        </w:rPr>
        <w:t>be present</w:t>
      </w:r>
      <w:r w:rsidRPr="003015CD">
        <w:rPr>
          <w:rFonts w:asciiTheme="majorHAnsi" w:hAnsiTheme="majorHAnsi" w:cstheme="majorHAnsi"/>
          <w:color w:val="000000" w:themeColor="text1"/>
          <w:sz w:val="22"/>
          <w:szCs w:val="22"/>
          <w:lang w:val="en-GB"/>
        </w:rPr>
        <w:t>. These issues may relate to:</w:t>
      </w:r>
    </w:p>
    <w:p w14:paraId="20431221"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completeness of the data,</w:t>
      </w:r>
    </w:p>
    <w:p w14:paraId="481B5095"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accuracy of the data,</w:t>
      </w:r>
    </w:p>
    <w:p w14:paraId="5AEF40BD"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reliability of the data,</w:t>
      </w:r>
    </w:p>
    <w:p w14:paraId="27937FFB"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robustness of the data, and/or</w:t>
      </w:r>
    </w:p>
    <w:p w14:paraId="60A19A8C"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rPr>
        <w:t>representativity</w:t>
      </w:r>
      <w:r w:rsidRPr="003015CD">
        <w:rPr>
          <w:rFonts w:asciiTheme="majorHAnsi" w:hAnsiTheme="majorHAnsi" w:cstheme="majorHAnsi"/>
          <w:color w:val="000000" w:themeColor="text1"/>
          <w:szCs w:val="22"/>
        </w:rPr>
        <w:t xml:space="preserve"> of the data, including diversity.</w:t>
      </w:r>
    </w:p>
    <w:p w14:paraId="32B2C8F3" w14:textId="77777777" w:rsidR="00FD03E5" w:rsidRPr="003015CD" w:rsidRDefault="00FD03E5" w:rsidP="00081885">
      <w:pPr>
        <w:pStyle w:val="NormalWeb"/>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Challenges may relate to the appropriateness of the data source to provide data of sufficient quality for the purposes of clinical evaluation. These can include issues related to:</w:t>
      </w:r>
    </w:p>
    <w:p w14:paraId="0FD3CED3"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data protection and governance,</w:t>
      </w:r>
    </w:p>
    <w:p w14:paraId="4BB21F23"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hAnsiTheme="majorHAnsi" w:cstheme="majorHAnsi"/>
          <w:color w:val="000000" w:themeColor="text1"/>
        </w:rPr>
      </w:pPr>
      <w:r w:rsidRPr="003015CD">
        <w:rPr>
          <w:rFonts w:asciiTheme="majorHAnsi" w:hAnsiTheme="majorHAnsi" w:cstheme="majorHAnsi"/>
          <w:color w:val="000000" w:themeColor="text1"/>
        </w:rPr>
        <w:t>participant consent,</w:t>
      </w:r>
    </w:p>
    <w:p w14:paraId="0B615B2F" w14:textId="77777777" w:rsidR="00FD03E5" w:rsidRPr="003015CD" w:rsidRDefault="00FD03E5" w:rsidP="00081885">
      <w:pPr>
        <w:pStyle w:val="Paragraphedeliste"/>
        <w:numPr>
          <w:ilvl w:val="0"/>
          <w:numId w:val="37"/>
        </w:numPr>
        <w:autoSpaceDE w:val="0"/>
        <w:autoSpaceDN w:val="0"/>
        <w:adjustRightInd w:val="0"/>
        <w:spacing w:before="0" w:after="0"/>
        <w:jc w:val="both"/>
        <w:rPr>
          <w:rFonts w:asciiTheme="majorHAnsi" w:eastAsia="Times New Roman" w:hAnsiTheme="majorHAnsi" w:cstheme="majorHAnsi"/>
          <w:color w:val="000000" w:themeColor="text1"/>
          <w:lang w:eastAsia="en-IE"/>
        </w:rPr>
      </w:pPr>
      <w:r w:rsidRPr="003015CD">
        <w:rPr>
          <w:rFonts w:asciiTheme="majorHAnsi" w:hAnsiTheme="majorHAnsi" w:cstheme="majorHAnsi"/>
          <w:color w:val="000000" w:themeColor="text1"/>
        </w:rPr>
        <w:t>technical</w:t>
      </w:r>
      <w:r w:rsidRPr="003015CD">
        <w:rPr>
          <w:rFonts w:asciiTheme="majorHAnsi" w:eastAsia="Times New Roman" w:hAnsiTheme="majorHAnsi" w:cstheme="majorHAnsi"/>
          <w:color w:val="000000" w:themeColor="text1"/>
          <w:lang w:eastAsia="en-IE"/>
        </w:rPr>
        <w:t xml:space="preserve"> issues relating to heterogenous sources of data.</w:t>
      </w:r>
    </w:p>
    <w:p w14:paraId="30F3C8E8" w14:textId="77777777" w:rsidR="00FD03E5" w:rsidRPr="003015CD" w:rsidRDefault="00FD03E5" w:rsidP="00081885">
      <w:pPr>
        <w:pStyle w:val="NormalWeb"/>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The quality of retrospective studies depends heavily on the quality of the data source and data collection tools being used. For example, a well-designed, sustainable registry can be a source of high-quality, relevant, representative data, however many disease registries are not adequately designed to collect device-specific information (such as device model, UDI, serial number etc.). In such an example, while a disease registry may be well-designed for studying the characteristics of a disease, its gaps in device-specific information may hinder the ability to correlate clinical outcomes with specific devices and /or may diminish the quality and usability of the data for the purposes of device evaluation.</w:t>
      </w:r>
    </w:p>
    <w:p w14:paraId="136F33EA" w14:textId="77777777" w:rsidR="00FD03E5" w:rsidRPr="003015CD" w:rsidRDefault="00FD03E5" w:rsidP="00081885">
      <w:pPr>
        <w:pStyle w:val="NormalWeb"/>
        <w:spacing w:before="0" w:beforeAutospacing="0" w:after="0" w:afterAutospacing="0"/>
        <w:jc w:val="both"/>
        <w:rPr>
          <w:rFonts w:asciiTheme="majorHAnsi" w:hAnsiTheme="majorHAnsi" w:cstheme="majorHAnsi"/>
          <w:i/>
          <w:iCs/>
          <w:color w:val="000000" w:themeColor="text1"/>
          <w:sz w:val="22"/>
          <w:szCs w:val="22"/>
          <w:u w:val="single"/>
          <w:lang w:val="en-GB"/>
        </w:rPr>
      </w:pPr>
    </w:p>
    <w:p w14:paraId="2C27645C" w14:textId="77777777" w:rsidR="00FD03E5" w:rsidRPr="003015CD" w:rsidRDefault="00FD03E5" w:rsidP="00081885">
      <w:pPr>
        <w:pStyle w:val="NormalWeb"/>
        <w:numPr>
          <w:ilvl w:val="0"/>
          <w:numId w:val="49"/>
        </w:numPr>
        <w:spacing w:before="0" w:beforeAutospacing="0" w:after="0" w:afterAutospacing="0"/>
        <w:jc w:val="both"/>
        <w:rPr>
          <w:rFonts w:asciiTheme="majorHAnsi" w:hAnsiTheme="majorHAnsi" w:cstheme="majorHAnsi"/>
          <w:i/>
          <w:iCs/>
          <w:color w:val="000000" w:themeColor="text1"/>
          <w:sz w:val="22"/>
          <w:szCs w:val="22"/>
          <w:u w:val="single"/>
          <w:lang w:val="en-GB"/>
        </w:rPr>
      </w:pPr>
      <w:r w:rsidRPr="003015CD">
        <w:rPr>
          <w:rFonts w:asciiTheme="majorHAnsi" w:hAnsiTheme="majorHAnsi" w:cstheme="majorHAnsi"/>
          <w:i/>
          <w:iCs/>
          <w:color w:val="000000" w:themeColor="text1"/>
          <w:sz w:val="22"/>
          <w:szCs w:val="22"/>
          <w:u w:val="single"/>
          <w:lang w:val="en-GB"/>
        </w:rPr>
        <w:t>Aspects to consider when reaching conclusions using retrospective studies</w:t>
      </w:r>
    </w:p>
    <w:p w14:paraId="7E41FAC7" w14:textId="77777777" w:rsidR="00FD03E5" w:rsidRPr="003015CD" w:rsidRDefault="00FD03E5" w:rsidP="00081885">
      <w:pPr>
        <w:pStyle w:val="NormalWeb"/>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In general, data from retrospective studies are of lower quality than data from prospective studies, particularly with respect to the assessment of the device’s clinical performance. Retrospective studies are prone to a number of problems, including:</w:t>
      </w:r>
    </w:p>
    <w:p w14:paraId="443EB0EF" w14:textId="77777777" w:rsidR="00FD03E5" w:rsidRPr="003015CD" w:rsidRDefault="00FD03E5" w:rsidP="00081885">
      <w:pPr>
        <w:pStyle w:val="NormalWeb"/>
        <w:numPr>
          <w:ilvl w:val="0"/>
          <w:numId w:val="6"/>
        </w:numPr>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confounding by indication (where there is a systemic difference in the characteristics of the groups assessed in the study), </w:t>
      </w:r>
    </w:p>
    <w:p w14:paraId="3416986B" w14:textId="77777777" w:rsidR="00FD03E5" w:rsidRPr="003015CD" w:rsidRDefault="00FD03E5" w:rsidP="00081885">
      <w:pPr>
        <w:pStyle w:val="NormalWeb"/>
        <w:numPr>
          <w:ilvl w:val="0"/>
          <w:numId w:val="6"/>
        </w:numPr>
        <w:spacing w:before="0" w:beforeAutospacing="0" w:after="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recall bias (where endpoint data is not systematically collected but is dependent on participants recalling information) and </w:t>
      </w:r>
    </w:p>
    <w:p w14:paraId="61E2014F" w14:textId="2539F26B" w:rsidR="00FD03E5" w:rsidRPr="003015CD" w:rsidRDefault="00FD03E5" w:rsidP="00081885">
      <w:pPr>
        <w:pStyle w:val="NormalWeb"/>
        <w:numPr>
          <w:ilvl w:val="0"/>
          <w:numId w:val="6"/>
        </w:numPr>
        <w:spacing w:before="0" w:beforeAutospacing="0" w:after="24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missing data (data which may be important in the evaluation of a device may not have been considered important at the time of data collection and therefore may not have been recorded). </w:t>
      </w:r>
    </w:p>
    <w:p w14:paraId="365915A2" w14:textId="49DBF3C1" w:rsidR="00FD03E5" w:rsidRPr="003015CD" w:rsidRDefault="00FD03E5" w:rsidP="00081885">
      <w:pPr>
        <w:pStyle w:val="NormalWeb"/>
        <w:spacing w:before="0" w:beforeAutospacing="0" w:after="240" w:afterAutospacing="0"/>
        <w:jc w:val="both"/>
        <w:rPr>
          <w:rFonts w:asciiTheme="majorHAnsi" w:hAnsiTheme="majorHAnsi" w:cstheme="majorHAnsi"/>
          <w:color w:val="000000" w:themeColor="text1"/>
          <w:sz w:val="22"/>
          <w:szCs w:val="22"/>
          <w:lang w:val="en-GB"/>
        </w:rPr>
      </w:pPr>
      <w:r w:rsidRPr="003015CD">
        <w:rPr>
          <w:rFonts w:asciiTheme="majorHAnsi" w:hAnsiTheme="majorHAnsi" w:cstheme="majorHAnsi"/>
          <w:color w:val="000000" w:themeColor="text1"/>
          <w:sz w:val="22"/>
          <w:szCs w:val="22"/>
          <w:lang w:val="en-GB"/>
        </w:rPr>
        <w:t xml:space="preserve">Thus, it is generally more difficult to control for confounding variables in retrospective studies. While steps can be taken to </w:t>
      </w:r>
      <w:r w:rsidR="002133F0" w:rsidRPr="003015CD">
        <w:rPr>
          <w:rFonts w:asciiTheme="majorHAnsi" w:hAnsiTheme="majorHAnsi" w:cstheme="majorHAnsi"/>
          <w:color w:val="000000" w:themeColor="text1"/>
          <w:sz w:val="22"/>
          <w:szCs w:val="22"/>
          <w:lang w:val="en-GB"/>
        </w:rPr>
        <w:t>minimize</w:t>
      </w:r>
      <w:r w:rsidRPr="003015CD">
        <w:rPr>
          <w:rFonts w:asciiTheme="majorHAnsi" w:hAnsiTheme="majorHAnsi" w:cstheme="majorHAnsi"/>
          <w:color w:val="000000" w:themeColor="text1"/>
          <w:sz w:val="22"/>
          <w:szCs w:val="22"/>
          <w:lang w:val="en-GB"/>
        </w:rPr>
        <w:t xml:space="preserve"> the effect of these biases and confounders, some effect will remain. As a result, in general, data from retrospective studies may not be the pivotal source of data in the clinical evaluation of devices</w:t>
      </w:r>
      <w:r w:rsidR="006C3975" w:rsidRPr="003015CD">
        <w:rPr>
          <w:rFonts w:asciiTheme="majorHAnsi" w:hAnsiTheme="majorHAnsi" w:cstheme="majorHAnsi"/>
          <w:color w:val="000000" w:themeColor="text1"/>
          <w:sz w:val="22"/>
          <w:szCs w:val="22"/>
          <w:lang w:val="en-GB"/>
        </w:rPr>
        <w:t>.</w:t>
      </w:r>
    </w:p>
    <w:p w14:paraId="129FAAD7" w14:textId="5062A852" w:rsidR="005E5468" w:rsidRPr="003015CD" w:rsidRDefault="005E5468">
      <w:pPr>
        <w:spacing w:before="0" w:after="0"/>
      </w:pPr>
      <w:r w:rsidRPr="003015CD">
        <w:br w:type="page"/>
      </w:r>
    </w:p>
    <w:p w14:paraId="1269BC6C" w14:textId="77777777" w:rsidR="00FD03E5" w:rsidRPr="003015CD" w:rsidRDefault="00FD03E5" w:rsidP="00081885">
      <w:pPr>
        <w:pStyle w:val="App2"/>
        <w:ind w:left="360"/>
      </w:pPr>
      <w:bookmarkStart w:id="271" w:name="_Ref164523972"/>
      <w:bookmarkStart w:id="272" w:name="_Ref164529648"/>
      <w:bookmarkStart w:id="273" w:name="_Ref165303063"/>
      <w:bookmarkStart w:id="274" w:name="_Ref166598024"/>
      <w:bookmarkStart w:id="275" w:name="_Toc446499062"/>
      <w:r w:rsidRPr="003015CD">
        <w:t xml:space="preserve"> </w:t>
      </w:r>
      <w:bookmarkStart w:id="276" w:name="_Ref233808002"/>
      <w:bookmarkStart w:id="277" w:name="_Ref233808566"/>
      <w:bookmarkStart w:id="278" w:name="_Toc236912941"/>
      <w:bookmarkEnd w:id="271"/>
      <w:bookmarkEnd w:id="272"/>
      <w:bookmarkEnd w:id="273"/>
      <w:bookmarkEnd w:id="274"/>
      <w:bookmarkEnd w:id="275"/>
      <w:r w:rsidRPr="003015CD">
        <w:t>Relationship between GSPRs and clinical evaluation process</w:t>
      </w:r>
      <w:bookmarkEnd w:id="276"/>
      <w:bookmarkEnd w:id="277"/>
      <w:bookmarkEnd w:id="278"/>
    </w:p>
    <w:p w14:paraId="7D6E2531" w14:textId="79CFE6CF" w:rsidR="00FD03E5" w:rsidRPr="003015CD" w:rsidRDefault="00FD03E5" w:rsidP="00081885">
      <w:pPr>
        <w:spacing w:line="260" w:lineRule="exact"/>
        <w:jc w:val="both"/>
        <w:rPr>
          <w:rFonts w:asciiTheme="minorHAnsi" w:hAnsiTheme="minorHAnsi" w:cstheme="minorBidi"/>
          <w:color w:val="000000" w:themeColor="text1"/>
        </w:rPr>
      </w:pPr>
      <w:r w:rsidRPr="003015CD">
        <w:rPr>
          <w:rFonts w:asciiTheme="minorHAnsi" w:hAnsiTheme="minorHAnsi" w:cstheme="minorBidi"/>
        </w:rPr>
        <w:t xml:space="preserve">Article 61(1) </w:t>
      </w:r>
      <w:r w:rsidR="00C37111" w:rsidRPr="003015CD">
        <w:rPr>
          <w:rFonts w:asciiTheme="minorHAnsi" w:hAnsiTheme="minorHAnsi" w:cstheme="minorBidi"/>
        </w:rPr>
        <w:t>of MDR</w:t>
      </w:r>
      <w:r w:rsidRPr="003015CD">
        <w:rPr>
          <w:rFonts w:asciiTheme="minorHAnsi" w:hAnsiTheme="minorHAnsi" w:cstheme="minorBidi"/>
        </w:rPr>
        <w:t xml:space="preserve"> requires that the confirmation of conformity with the relevant GSPRs, under normal conditions of use, must be based on clinical data</w:t>
      </w:r>
      <w:r w:rsidRPr="003015CD">
        <w:rPr>
          <w:rFonts w:asciiTheme="minorHAnsi" w:hAnsiTheme="minorHAnsi" w:cstheme="minorBidi"/>
          <w:color w:val="000000" w:themeColor="text1"/>
        </w:rPr>
        <w:t>. Therefore, in accordance with Part A of Annex XIV, in the clinical evaluation plan the manufacturer should identify all the GSPRs that potentially require support from clinical data (see subsection Appendix</w:t>
      </w:r>
      <w:r w:rsidR="00C655CB" w:rsidRPr="003015CD">
        <w:rPr>
          <w:rFonts w:asciiTheme="minorHAnsi" w:hAnsiTheme="minorHAnsi" w:cstheme="minorBidi"/>
          <w:color w:val="000000" w:themeColor="text1"/>
        </w:rPr>
        <w:t xml:space="preserve"> </w:t>
      </w:r>
      <w:r w:rsidRPr="003015CD">
        <w:rPr>
          <w:rFonts w:asciiTheme="minorHAnsi" w:hAnsiTheme="minorHAnsi" w:cstheme="minorBidi"/>
          <w:color w:val="000000" w:themeColor="text1"/>
        </w:rPr>
        <w:fldChar w:fldCharType="begin"/>
      </w:r>
      <w:r w:rsidRPr="003015CD">
        <w:rPr>
          <w:rFonts w:asciiTheme="minorHAnsi" w:hAnsiTheme="minorHAnsi" w:cstheme="minorBidi"/>
          <w:color w:val="000000" w:themeColor="text1"/>
        </w:rPr>
        <w:instrText xml:space="preserve"> REF _Ref233282476 \r \h </w:instrText>
      </w:r>
      <w:r w:rsidRPr="003015CD">
        <w:rPr>
          <w:rFonts w:asciiTheme="minorHAnsi" w:hAnsiTheme="minorHAnsi" w:cstheme="minorBidi"/>
          <w:color w:val="000000" w:themeColor="text1"/>
        </w:rPr>
      </w:r>
      <w:r w:rsidRPr="003015CD">
        <w:rPr>
          <w:rFonts w:asciiTheme="minorHAnsi" w:hAnsiTheme="minorHAnsi" w:cstheme="minorBidi"/>
          <w:color w:val="000000" w:themeColor="text1"/>
        </w:rPr>
        <w:fldChar w:fldCharType="separate"/>
      </w:r>
      <w:r w:rsidR="001D11FB" w:rsidRPr="003015CD">
        <w:rPr>
          <w:rFonts w:asciiTheme="minorHAnsi" w:hAnsiTheme="minorHAnsi" w:cstheme="minorBidi"/>
          <w:color w:val="000000" w:themeColor="text1"/>
        </w:rPr>
        <w:t>A9.1</w:t>
      </w:r>
      <w:r w:rsidRPr="003015CD">
        <w:rPr>
          <w:rFonts w:asciiTheme="minorHAnsi" w:hAnsiTheme="minorHAnsi" w:cstheme="minorBidi"/>
          <w:color w:val="000000" w:themeColor="text1"/>
        </w:rPr>
        <w:fldChar w:fldCharType="end"/>
      </w:r>
      <w:r w:rsidRPr="003015CD">
        <w:rPr>
          <w:rFonts w:asciiTheme="minorHAnsi" w:hAnsiTheme="minorHAnsi" w:cstheme="minorBidi"/>
          <w:color w:val="000000" w:themeColor="text1"/>
        </w:rPr>
        <w:t xml:space="preserve">). </w:t>
      </w:r>
      <w:r w:rsidRPr="003015CD">
        <w:rPr>
          <w:rFonts w:asciiTheme="minorHAnsi" w:hAnsiTheme="minorHAnsi" w:cstheme="minorBidi"/>
        </w:rPr>
        <w:t xml:space="preserve">Furthermore, Article 61(1) establishes that the evaluation of the acceptability of the benefit-risk profile </w:t>
      </w:r>
      <w:r w:rsidRPr="003015CD">
        <w:rPr>
          <w:rFonts w:asciiTheme="minorHAnsi" w:hAnsiTheme="minorHAnsi" w:cstheme="minorBidi"/>
          <w:color w:val="000000" w:themeColor="text1"/>
        </w:rPr>
        <w:t xml:space="preserve">(see subsection Appendix </w:t>
      </w:r>
      <w:r w:rsidRPr="003015CD">
        <w:rPr>
          <w:rFonts w:asciiTheme="minorHAnsi" w:hAnsiTheme="minorHAnsi" w:cstheme="minorBidi"/>
          <w:color w:val="000000" w:themeColor="text1"/>
        </w:rPr>
        <w:fldChar w:fldCharType="begin"/>
      </w:r>
      <w:r w:rsidRPr="003015CD">
        <w:rPr>
          <w:rFonts w:asciiTheme="minorHAnsi" w:hAnsiTheme="minorHAnsi" w:cstheme="minorBidi"/>
          <w:color w:val="000000" w:themeColor="text1"/>
        </w:rPr>
        <w:instrText xml:space="preserve"> REF _Ref233282512 \r \h </w:instrText>
      </w:r>
      <w:r w:rsidR="0009032E" w:rsidRPr="003015CD">
        <w:rPr>
          <w:rFonts w:asciiTheme="minorHAnsi" w:hAnsiTheme="minorHAnsi" w:cstheme="minorBidi"/>
          <w:color w:val="000000" w:themeColor="text1"/>
        </w:rPr>
        <w:instrText xml:space="preserve"> \* MERGEFORMAT </w:instrText>
      </w:r>
      <w:r w:rsidRPr="003015CD">
        <w:rPr>
          <w:rFonts w:asciiTheme="minorHAnsi" w:hAnsiTheme="minorHAnsi" w:cstheme="minorBidi"/>
          <w:color w:val="000000" w:themeColor="text1"/>
        </w:rPr>
      </w:r>
      <w:r w:rsidRPr="003015CD">
        <w:rPr>
          <w:rFonts w:asciiTheme="minorHAnsi" w:hAnsiTheme="minorHAnsi" w:cstheme="minorBidi"/>
          <w:color w:val="000000" w:themeColor="text1"/>
        </w:rPr>
        <w:fldChar w:fldCharType="separate"/>
      </w:r>
      <w:r w:rsidR="001D11FB" w:rsidRPr="003015CD">
        <w:rPr>
          <w:rFonts w:asciiTheme="minorHAnsi" w:hAnsiTheme="minorHAnsi" w:cstheme="minorBidi"/>
          <w:color w:val="000000" w:themeColor="text1"/>
        </w:rPr>
        <w:t>A9.3</w:t>
      </w:r>
      <w:r w:rsidRPr="003015CD">
        <w:rPr>
          <w:rFonts w:asciiTheme="minorHAnsi" w:hAnsiTheme="minorHAnsi" w:cstheme="minorBidi"/>
          <w:color w:val="000000" w:themeColor="text1"/>
        </w:rPr>
        <w:fldChar w:fldCharType="end"/>
      </w:r>
      <w:r w:rsidRPr="003015CD">
        <w:rPr>
          <w:rFonts w:asciiTheme="minorHAnsi" w:hAnsiTheme="minorHAnsi" w:cstheme="minorBidi"/>
          <w:color w:val="000000" w:themeColor="text1"/>
        </w:rPr>
        <w:t xml:space="preserve">) </w:t>
      </w:r>
      <w:r w:rsidRPr="003015CD">
        <w:rPr>
          <w:rFonts w:asciiTheme="minorHAnsi" w:hAnsiTheme="minorHAnsi" w:cstheme="minorBidi"/>
        </w:rPr>
        <w:t xml:space="preserve">and of undesirable side effects </w:t>
      </w:r>
      <w:r w:rsidRPr="003015CD">
        <w:rPr>
          <w:rFonts w:asciiTheme="minorHAnsi" w:hAnsiTheme="minorHAnsi" w:cstheme="minorBidi"/>
          <w:color w:val="000000" w:themeColor="text1"/>
        </w:rPr>
        <w:t xml:space="preserve">(see subsection Appendix </w:t>
      </w:r>
      <w:r w:rsidRPr="003015CD">
        <w:rPr>
          <w:rFonts w:asciiTheme="minorHAnsi" w:hAnsiTheme="minorHAnsi" w:cstheme="minorBidi"/>
          <w:color w:val="000000" w:themeColor="text1"/>
        </w:rPr>
        <w:fldChar w:fldCharType="begin"/>
      </w:r>
      <w:r w:rsidRPr="003015CD">
        <w:rPr>
          <w:rFonts w:asciiTheme="minorHAnsi" w:hAnsiTheme="minorHAnsi" w:cstheme="minorBidi"/>
          <w:color w:val="000000" w:themeColor="text1"/>
        </w:rPr>
        <w:instrText xml:space="preserve"> REF _Ref233282534 \r \h </w:instrText>
      </w:r>
      <w:r w:rsidR="0009032E" w:rsidRPr="003015CD">
        <w:rPr>
          <w:rFonts w:asciiTheme="minorHAnsi" w:hAnsiTheme="minorHAnsi" w:cstheme="minorBidi"/>
          <w:color w:val="000000" w:themeColor="text1"/>
        </w:rPr>
        <w:instrText xml:space="preserve"> \* MERGEFORMAT </w:instrText>
      </w:r>
      <w:r w:rsidRPr="003015CD">
        <w:rPr>
          <w:rFonts w:asciiTheme="minorHAnsi" w:hAnsiTheme="minorHAnsi" w:cstheme="minorBidi"/>
          <w:color w:val="000000" w:themeColor="text1"/>
        </w:rPr>
      </w:r>
      <w:r w:rsidRPr="003015CD">
        <w:rPr>
          <w:rFonts w:asciiTheme="minorHAnsi" w:hAnsiTheme="minorHAnsi" w:cstheme="minorBidi"/>
          <w:color w:val="000000" w:themeColor="text1"/>
        </w:rPr>
        <w:fldChar w:fldCharType="separate"/>
      </w:r>
      <w:r w:rsidR="001D11FB" w:rsidRPr="003015CD">
        <w:rPr>
          <w:rFonts w:asciiTheme="minorHAnsi" w:hAnsiTheme="minorHAnsi" w:cstheme="minorBidi"/>
          <w:color w:val="000000" w:themeColor="text1"/>
        </w:rPr>
        <w:t>A9.2</w:t>
      </w:r>
      <w:r w:rsidRPr="003015CD">
        <w:rPr>
          <w:rFonts w:asciiTheme="minorHAnsi" w:hAnsiTheme="minorHAnsi" w:cstheme="minorBidi"/>
          <w:color w:val="000000" w:themeColor="text1"/>
        </w:rPr>
        <w:fldChar w:fldCharType="end"/>
      </w:r>
      <w:r w:rsidRPr="003015CD">
        <w:rPr>
          <w:rFonts w:asciiTheme="minorHAnsi" w:hAnsiTheme="minorHAnsi" w:cstheme="minorBidi"/>
          <w:color w:val="000000" w:themeColor="text1"/>
        </w:rPr>
        <w:t xml:space="preserve">) </w:t>
      </w:r>
      <w:r w:rsidRPr="003015CD">
        <w:rPr>
          <w:rFonts w:asciiTheme="minorHAnsi" w:hAnsiTheme="minorHAnsi" w:cstheme="minorBidi"/>
        </w:rPr>
        <w:t>as detailed in GSPR 1 and in GSPR 8, respectively, must be based on clinical data that provide sufficient clinical evidence</w:t>
      </w:r>
      <w:r w:rsidRPr="003015CD">
        <w:rPr>
          <w:rFonts w:asciiTheme="minorHAnsi" w:hAnsiTheme="minorHAnsi" w:cstheme="minorBidi"/>
          <w:vertAlign w:val="superscript"/>
        </w:rPr>
        <w:footnoteReference w:id="119"/>
      </w:r>
      <w:r w:rsidRPr="003015CD">
        <w:rPr>
          <w:rFonts w:asciiTheme="minorHAnsi" w:hAnsiTheme="minorHAnsi" w:cstheme="minorBidi"/>
        </w:rPr>
        <w:t>.</w:t>
      </w:r>
    </w:p>
    <w:p w14:paraId="0595BE38" w14:textId="77777777"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 xml:space="preserve">This appendix presents an overview of the GSPRs that potentially require clinical data for confirmation of conformity and describes the role of clinical data to support them. </w:t>
      </w:r>
    </w:p>
    <w:p w14:paraId="5CAF0FBB" w14:textId="77777777"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As the requirements span the various stages of the device’s development and</w:t>
      </w:r>
      <w:r w:rsidRPr="003015CD" w:rsidDel="00210609">
        <w:rPr>
          <w:rFonts w:asciiTheme="minorHAnsi" w:hAnsiTheme="minorHAnsi" w:cstheme="minorHAnsi"/>
        </w:rPr>
        <w:t xml:space="preserve"> </w:t>
      </w:r>
      <w:r w:rsidRPr="003015CD">
        <w:rPr>
          <w:rFonts w:asciiTheme="minorHAnsi" w:hAnsiTheme="minorHAnsi" w:cstheme="minorHAnsi"/>
        </w:rPr>
        <w:t>lifecycle, having a structured approach to the analysis of GSPRs will make the process more manageable and efficient.</w:t>
      </w:r>
    </w:p>
    <w:p w14:paraId="42FB6B46" w14:textId="29E96040"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noProof/>
        </w:rPr>
        <w:drawing>
          <wp:anchor distT="0" distB="0" distL="114300" distR="114300" simplePos="0" relativeHeight="251658240" behindDoc="0" locked="0" layoutInCell="1" allowOverlap="1" wp14:anchorId="38F62581" wp14:editId="56098660">
            <wp:simplePos x="0" y="0"/>
            <wp:positionH relativeFrom="margin">
              <wp:align>right</wp:align>
            </wp:positionH>
            <wp:positionV relativeFrom="paragraph">
              <wp:posOffset>897890</wp:posOffset>
            </wp:positionV>
            <wp:extent cx="6119495" cy="2640330"/>
            <wp:effectExtent l="0" t="0" r="0" b="7620"/>
            <wp:wrapTopAndBottom/>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19495" cy="2640330"/>
                    </a:xfrm>
                    <a:prstGeom prst="rect">
                      <a:avLst/>
                    </a:prstGeom>
                  </pic:spPr>
                </pic:pic>
              </a:graphicData>
            </a:graphic>
            <wp14:sizeRelH relativeFrom="margin">
              <wp14:pctWidth>0</wp14:pctWidth>
            </wp14:sizeRelH>
            <wp14:sizeRelV relativeFrom="margin">
              <wp14:pctHeight>0</wp14:pctHeight>
            </wp14:sizeRelV>
          </wp:anchor>
        </w:drawing>
      </w:r>
      <w:r w:rsidRPr="003015CD">
        <w:rPr>
          <w:rFonts w:asciiTheme="minorHAnsi" w:hAnsiTheme="minorHAnsi" w:cstheme="minorHAnsi"/>
        </w:rPr>
        <w:t>A checklist can be a helpful tool when reviewing GSPRs to determine whether clinical data are required. The illustration below is an</w:t>
      </w:r>
      <w:r w:rsidRPr="003015CD" w:rsidDel="006A3D75">
        <w:rPr>
          <w:rFonts w:asciiTheme="minorHAnsi" w:hAnsiTheme="minorHAnsi" w:cstheme="minorHAnsi"/>
        </w:rPr>
        <w:t xml:space="preserve"> </w:t>
      </w:r>
      <w:r w:rsidRPr="003015CD">
        <w:rPr>
          <w:rFonts w:asciiTheme="minorHAnsi" w:hAnsiTheme="minorHAnsi" w:cstheme="minorHAnsi"/>
        </w:rPr>
        <w:t xml:space="preserve">example of how integrating the question of the need for clinical evidence to confirm conformity into a common GSPRs checklist can help the manufacturer perform this </w:t>
      </w:r>
      <w:r w:rsidR="00DC0CAB" w:rsidRPr="003015CD">
        <w:rPr>
          <w:rFonts w:asciiTheme="minorHAnsi" w:hAnsiTheme="minorHAnsi" w:cstheme="minorHAnsi"/>
        </w:rPr>
        <w:t>determination.</w:t>
      </w:r>
    </w:p>
    <w:p w14:paraId="424F3D50" w14:textId="77777777" w:rsidR="00FD03E5" w:rsidRPr="003015CD" w:rsidRDefault="00FD03E5" w:rsidP="00081885">
      <w:pPr>
        <w:spacing w:line="260" w:lineRule="exact"/>
        <w:jc w:val="both"/>
        <w:rPr>
          <w:rFonts w:asciiTheme="minorHAnsi" w:hAnsiTheme="minorHAnsi" w:cstheme="minorHAnsi"/>
        </w:rPr>
      </w:pPr>
    </w:p>
    <w:p w14:paraId="74EFFA94" w14:textId="77777777"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 xml:space="preserve"> </w:t>
      </w:r>
    </w:p>
    <w:p w14:paraId="356CFBC6" w14:textId="77777777"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Note that the above checklist is a suggestion on how a systematic and focused assessment of each requirement may be undertaken. Other methods or tools can be used through this process, provided that</w:t>
      </w:r>
      <w:r w:rsidRPr="003015CD" w:rsidDel="00B2346B">
        <w:rPr>
          <w:rFonts w:asciiTheme="minorHAnsi" w:hAnsiTheme="minorHAnsi" w:cstheme="minorHAnsi"/>
        </w:rPr>
        <w:t xml:space="preserve"> </w:t>
      </w:r>
      <w:r w:rsidRPr="003015CD">
        <w:rPr>
          <w:rFonts w:asciiTheme="minorHAnsi" w:hAnsiTheme="minorHAnsi" w:cstheme="minorHAnsi"/>
        </w:rPr>
        <w:t xml:space="preserve">the chosen solution enables the manufacturer to have a comprehensive overview of the clinical evidence that is needed to support confirmation of conformity. </w:t>
      </w:r>
    </w:p>
    <w:p w14:paraId="3103A616" w14:textId="77777777"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color w:val="000000" w:themeColor="text1"/>
        </w:rPr>
        <w:t xml:space="preserve">GSPRs compliance </w:t>
      </w:r>
      <w:r w:rsidRPr="003015CD">
        <w:rPr>
          <w:rFonts w:asciiTheme="minorHAnsi" w:hAnsiTheme="minorHAnsi" w:cstheme="minorHAnsi"/>
        </w:rPr>
        <w:t xml:space="preserve">should be evaluated </w:t>
      </w:r>
      <w:r w:rsidRPr="003015CD">
        <w:rPr>
          <w:rFonts w:asciiTheme="minorHAnsi" w:hAnsiTheme="minorHAnsi" w:cstheme="minorHAnsi"/>
          <w:color w:val="000000" w:themeColor="text1"/>
        </w:rPr>
        <w:t xml:space="preserve">throughout the device lifecycle. </w:t>
      </w:r>
      <w:r w:rsidRPr="003015CD">
        <w:rPr>
          <w:rFonts w:asciiTheme="minorHAnsi" w:hAnsiTheme="minorHAnsi" w:cstheme="minorHAnsi"/>
        </w:rPr>
        <w:t xml:space="preserve">This means that some GSPRs that were not identified as requiring clinical data support at an early stage (e.g., pre-market) may require clinical evidence at a later stage (e.g., post-market). </w:t>
      </w:r>
    </w:p>
    <w:p w14:paraId="74075495" w14:textId="77777777" w:rsidR="00FD03E5" w:rsidRPr="003015CD" w:rsidRDefault="00FD03E5" w:rsidP="00081885">
      <w:pPr>
        <w:spacing w:line="260" w:lineRule="exact"/>
        <w:jc w:val="both"/>
        <w:rPr>
          <w:rFonts w:asciiTheme="minorHAnsi" w:hAnsiTheme="minorHAnsi" w:cstheme="minorHAnsi"/>
        </w:rPr>
      </w:pPr>
      <w:bookmarkStart w:id="279" w:name="_Hlk210915260"/>
      <w:r w:rsidRPr="003015CD">
        <w:rPr>
          <w:rFonts w:asciiTheme="minorHAnsi" w:hAnsiTheme="minorHAnsi" w:cstheme="minorHAnsi"/>
        </w:rPr>
        <w:t>Once GSPRs which require clinical data for confirmation of conformity have been identified, the methods by which these data will be identified, appraised, analysed and generated should be described in the CEP.</w:t>
      </w:r>
    </w:p>
    <w:bookmarkEnd w:id="279"/>
    <w:p w14:paraId="5844D9FA" w14:textId="4E8BE998"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 xml:space="preserve">The CER should document the clinical evidence that confirms the conformity of the device with all identified GSPRs </w:t>
      </w:r>
      <w:r w:rsidRPr="003015CD">
        <w:rPr>
          <w:rFonts w:asciiTheme="minorHAnsi" w:hAnsiTheme="minorHAnsi" w:cstheme="minorHAnsi"/>
          <w:color w:val="000000" w:themeColor="text1"/>
        </w:rPr>
        <w:t xml:space="preserve">(See Section </w:t>
      </w:r>
      <w:r w:rsidRPr="003015CD">
        <w:rPr>
          <w:rFonts w:asciiTheme="minorHAnsi" w:hAnsiTheme="minorHAnsi" w:cstheme="minorHAnsi"/>
          <w:color w:val="000000" w:themeColor="text1"/>
        </w:rPr>
        <w:fldChar w:fldCharType="begin"/>
      </w:r>
      <w:r w:rsidRPr="003015CD">
        <w:rPr>
          <w:rFonts w:asciiTheme="minorHAnsi" w:hAnsiTheme="minorHAnsi" w:cstheme="minorHAnsi"/>
          <w:color w:val="000000" w:themeColor="text1"/>
        </w:rPr>
        <w:instrText xml:space="preserve"> REF _Ref165986843 \r \h  \* MERGEFORMAT </w:instrText>
      </w:r>
      <w:r w:rsidRPr="003015CD">
        <w:rPr>
          <w:rFonts w:asciiTheme="minorHAnsi" w:hAnsiTheme="minorHAnsi" w:cstheme="minorHAnsi"/>
          <w:color w:val="000000" w:themeColor="text1"/>
        </w:rPr>
      </w:r>
      <w:r w:rsidRPr="003015CD">
        <w:rPr>
          <w:rFonts w:asciiTheme="minorHAnsi" w:hAnsiTheme="minorHAnsi" w:cstheme="minorHAnsi"/>
          <w:color w:val="000000" w:themeColor="text1"/>
        </w:rPr>
        <w:fldChar w:fldCharType="separate"/>
      </w:r>
      <w:r w:rsidR="001D11FB" w:rsidRPr="003015CD">
        <w:rPr>
          <w:rFonts w:asciiTheme="minorHAnsi" w:hAnsiTheme="minorHAnsi" w:cstheme="minorHAnsi"/>
          <w:color w:val="000000" w:themeColor="text1"/>
        </w:rPr>
        <w:t>12</w:t>
      </w:r>
      <w:r w:rsidRPr="003015CD">
        <w:rPr>
          <w:rFonts w:asciiTheme="minorHAnsi" w:hAnsiTheme="minorHAnsi" w:cstheme="minorHAnsi"/>
          <w:color w:val="000000" w:themeColor="text1"/>
        </w:rPr>
        <w:fldChar w:fldCharType="end"/>
      </w:r>
      <w:r w:rsidRPr="003015CD">
        <w:rPr>
          <w:rFonts w:asciiTheme="minorHAnsi" w:hAnsiTheme="minorHAnsi" w:cstheme="minorHAnsi"/>
          <w:color w:val="000000" w:themeColor="text1"/>
        </w:rPr>
        <w:t xml:space="preserve"> and Appendix </w:t>
      </w:r>
      <w:r w:rsidRPr="003015CD">
        <w:rPr>
          <w:rFonts w:asciiTheme="minorHAnsi" w:hAnsiTheme="minorHAnsi" w:cstheme="minorHAnsi"/>
          <w:color w:val="000000" w:themeColor="text1"/>
        </w:rPr>
        <w:fldChar w:fldCharType="begin"/>
      </w:r>
      <w:r w:rsidRPr="003015CD">
        <w:rPr>
          <w:rFonts w:asciiTheme="minorHAnsi" w:hAnsiTheme="minorHAnsi" w:cstheme="minorHAnsi"/>
          <w:color w:val="000000" w:themeColor="text1"/>
        </w:rPr>
        <w:instrText xml:space="preserve"> REF _Ref233282555 \r \h </w:instrText>
      </w:r>
      <w:r w:rsidRPr="003015CD">
        <w:rPr>
          <w:rFonts w:asciiTheme="minorHAnsi" w:hAnsiTheme="minorHAnsi" w:cstheme="minorHAnsi"/>
          <w:color w:val="000000" w:themeColor="text1"/>
        </w:rPr>
      </w:r>
      <w:r w:rsidRPr="003015CD">
        <w:rPr>
          <w:rFonts w:asciiTheme="minorHAnsi" w:hAnsiTheme="minorHAnsi" w:cstheme="minorHAnsi"/>
          <w:color w:val="000000" w:themeColor="text1"/>
        </w:rPr>
        <w:fldChar w:fldCharType="separate"/>
      </w:r>
      <w:r w:rsidR="001D11FB" w:rsidRPr="003015CD">
        <w:rPr>
          <w:rFonts w:asciiTheme="minorHAnsi" w:hAnsiTheme="minorHAnsi" w:cstheme="minorHAnsi"/>
          <w:color w:val="000000" w:themeColor="text1"/>
        </w:rPr>
        <w:t>A1</w:t>
      </w:r>
      <w:r w:rsidRPr="003015CD">
        <w:rPr>
          <w:rFonts w:asciiTheme="minorHAnsi" w:hAnsiTheme="minorHAnsi" w:cstheme="minorHAnsi"/>
          <w:color w:val="000000" w:themeColor="text1"/>
        </w:rPr>
        <w:fldChar w:fldCharType="end"/>
      </w:r>
      <w:r w:rsidR="0029416A" w:rsidRPr="003015CD">
        <w:rPr>
          <w:rFonts w:asciiTheme="minorHAnsi" w:hAnsiTheme="minorHAnsi" w:cstheme="minorHAnsi"/>
          <w:color w:val="000000" w:themeColor="text1"/>
        </w:rPr>
        <w:t>1</w:t>
      </w:r>
      <w:r w:rsidRPr="003015CD">
        <w:rPr>
          <w:rFonts w:asciiTheme="minorHAnsi" w:hAnsiTheme="minorHAnsi" w:cstheme="minorHAnsi"/>
          <w:color w:val="000000" w:themeColor="text1"/>
        </w:rPr>
        <w:t>).</w:t>
      </w:r>
    </w:p>
    <w:p w14:paraId="646B43C7" w14:textId="2DDAC6AC" w:rsidR="00FD03E5" w:rsidRPr="003015CD" w:rsidRDefault="00F90774" w:rsidP="00D35986">
      <w:pPr>
        <w:pStyle w:val="Titre2"/>
        <w:numPr>
          <w:ilvl w:val="0"/>
          <w:numId w:val="0"/>
        </w:numPr>
        <w:jc w:val="both"/>
        <w:rPr>
          <w:rFonts w:asciiTheme="majorHAnsi" w:hAnsiTheme="majorHAnsi" w:cstheme="majorHAnsi"/>
          <w:b w:val="0"/>
          <w:color w:val="000000" w:themeColor="text1"/>
        </w:rPr>
      </w:pPr>
      <w:bookmarkStart w:id="280" w:name="_Ref233282476"/>
      <w:bookmarkStart w:id="281" w:name="_Toc236912942"/>
      <w:r w:rsidRPr="003015CD">
        <w:rPr>
          <w:rFonts w:asciiTheme="majorHAnsi" w:hAnsiTheme="majorHAnsi" w:cstheme="majorHAnsi"/>
          <w:color w:val="000000" w:themeColor="text1"/>
        </w:rPr>
        <w:t xml:space="preserve">A9.1 </w:t>
      </w:r>
      <w:r w:rsidR="00FD03E5" w:rsidRPr="003015CD">
        <w:rPr>
          <w:rFonts w:asciiTheme="majorHAnsi" w:hAnsiTheme="majorHAnsi" w:cstheme="majorHAnsi"/>
          <w:color w:val="000000" w:themeColor="text1"/>
        </w:rPr>
        <w:t>General considerations for GSPRs that potentially require clinical data for confirmation of conformity</w:t>
      </w:r>
      <w:bookmarkEnd w:id="280"/>
      <w:bookmarkEnd w:id="281"/>
    </w:p>
    <w:p w14:paraId="02142215" w14:textId="77777777" w:rsidR="00FD03E5" w:rsidRPr="003015CD" w:rsidRDefault="00FD03E5" w:rsidP="00081885">
      <w:pPr>
        <w:spacing w:line="260" w:lineRule="exact"/>
        <w:jc w:val="both"/>
      </w:pPr>
      <w:r w:rsidRPr="003015CD">
        <w:t>This section presents g</w:t>
      </w:r>
      <w:r w:rsidRPr="003015CD">
        <w:rPr>
          <w:rFonts w:asciiTheme="minorHAnsi" w:hAnsiTheme="minorHAnsi" w:cstheme="minorHAnsi"/>
        </w:rPr>
        <w:t xml:space="preserve">eneral considerations on aspects which may require clinical data to support confirmation of conformity </w:t>
      </w:r>
      <w:r w:rsidRPr="003015CD">
        <w:t>in relation to the</w:t>
      </w:r>
    </w:p>
    <w:p w14:paraId="596C2B9C" w14:textId="77777777" w:rsidR="00FD03E5" w:rsidRPr="003015CD" w:rsidRDefault="00FD03E5" w:rsidP="00081885">
      <w:pPr>
        <w:numPr>
          <w:ilvl w:val="0"/>
          <w:numId w:val="46"/>
        </w:numPr>
        <w:contextualSpacing/>
        <w:jc w:val="both"/>
        <w:rPr>
          <w:rFonts w:asciiTheme="majorHAnsi" w:hAnsiTheme="majorHAnsi" w:cstheme="majorBidi"/>
          <w:color w:val="000000" w:themeColor="text1"/>
        </w:rPr>
      </w:pPr>
      <w:r w:rsidRPr="003015CD">
        <w:rPr>
          <w:rFonts w:asciiTheme="majorHAnsi" w:hAnsiTheme="majorHAnsi"/>
          <w:color w:val="000000" w:themeColor="text1"/>
        </w:rPr>
        <w:t>device safety and performance</w:t>
      </w:r>
      <w:r w:rsidRPr="003015CD">
        <w:rPr>
          <w:rFonts w:asciiTheme="majorHAnsi" w:hAnsiTheme="majorHAnsi" w:cstheme="majorHAnsi"/>
          <w:color w:val="000000" w:themeColor="text1"/>
        </w:rPr>
        <w:t xml:space="preserve">, </w:t>
      </w:r>
    </w:p>
    <w:p w14:paraId="25D1F16B" w14:textId="77777777" w:rsidR="00FD03E5" w:rsidRPr="003015CD" w:rsidRDefault="00FD03E5" w:rsidP="00081885">
      <w:pPr>
        <w:numPr>
          <w:ilvl w:val="0"/>
          <w:numId w:val="46"/>
        </w:numPr>
        <w:contextualSpacing/>
        <w:jc w:val="both"/>
        <w:rPr>
          <w:rFonts w:asciiTheme="majorHAnsi" w:hAnsiTheme="majorHAnsi" w:cstheme="majorBidi"/>
          <w:color w:val="000000" w:themeColor="text1"/>
        </w:rPr>
      </w:pPr>
      <w:r w:rsidRPr="003015CD">
        <w:rPr>
          <w:rFonts w:asciiTheme="majorHAnsi" w:hAnsiTheme="majorHAnsi" w:cstheme="majorHAnsi"/>
          <w:color w:val="000000" w:themeColor="text1"/>
        </w:rPr>
        <w:t xml:space="preserve">evaluation of undesirable side-effects, </w:t>
      </w:r>
      <w:r w:rsidRPr="003015CD">
        <w:rPr>
          <w:rFonts w:asciiTheme="majorHAnsi" w:hAnsiTheme="majorHAnsi" w:cstheme="majorBidi"/>
          <w:color w:val="000000" w:themeColor="text1"/>
        </w:rPr>
        <w:t xml:space="preserve">and </w:t>
      </w:r>
    </w:p>
    <w:p w14:paraId="02275604" w14:textId="46CC3DBF" w:rsidR="00FD03E5" w:rsidRPr="003015CD" w:rsidRDefault="00FD03E5" w:rsidP="00081885">
      <w:pPr>
        <w:numPr>
          <w:ilvl w:val="0"/>
          <w:numId w:val="46"/>
        </w:numPr>
        <w:contextualSpacing/>
        <w:jc w:val="both"/>
        <w:rPr>
          <w:rFonts w:asciiTheme="majorHAnsi" w:hAnsiTheme="majorHAnsi" w:cstheme="majorBidi"/>
          <w:color w:val="000000" w:themeColor="text1"/>
        </w:rPr>
      </w:pPr>
      <w:r w:rsidRPr="003015CD">
        <w:rPr>
          <w:rFonts w:asciiTheme="majorHAnsi" w:hAnsiTheme="majorHAnsi" w:cstheme="majorBidi"/>
          <w:color w:val="000000" w:themeColor="text1"/>
        </w:rPr>
        <w:t>evaluation of the acceptability of the benefit-risk profile for the device.</w:t>
      </w:r>
    </w:p>
    <w:p w14:paraId="3A1B7726" w14:textId="77777777" w:rsidR="00FD03E5" w:rsidRPr="003015CD" w:rsidRDefault="00FD03E5" w:rsidP="00081885">
      <w:pPr>
        <w:spacing w:beforeAutospacing="1" w:afterAutospacing="1"/>
        <w:rPr>
          <w:rFonts w:asciiTheme="minorHAnsi" w:hAnsiTheme="minorHAnsi" w:cstheme="minorHAnsi"/>
        </w:rPr>
      </w:pPr>
      <w:r w:rsidRPr="003015CD">
        <w:rPr>
          <w:rFonts w:asciiTheme="minorHAnsi" w:hAnsiTheme="minorHAnsi" w:cstheme="minorHAnsi"/>
        </w:rPr>
        <w:t>The table below describes which GSPRs, when applicable, may require clinical data and how often for confirmation of conformity for the device under evaluation, including a non-exhaustive list of aspects to consider</w:t>
      </w:r>
      <w:r w:rsidRPr="003015CD">
        <w:rPr>
          <w:rFonts w:ascii="Segoe UI" w:eastAsia="Times New Roman" w:hAnsi="Segoe UI" w:cs="Segoe UI"/>
          <w:sz w:val="21"/>
          <w:szCs w:val="21"/>
          <w:lang w:eastAsia="it-IT"/>
        </w:rPr>
        <w:t xml:space="preserve">. </w:t>
      </w:r>
      <w:r w:rsidRPr="003015CD">
        <w:rPr>
          <w:rFonts w:asciiTheme="minorHAnsi" w:hAnsiTheme="minorHAnsi" w:cstheme="minorHAnsi"/>
        </w:rPr>
        <w:t>Manufacturers may take this list into account and tailor their approach based on specific characteristics of the device under evaluation.</w:t>
      </w:r>
    </w:p>
    <w:p w14:paraId="4AB6C047" w14:textId="4979C06E" w:rsidR="00FD03E5" w:rsidRPr="003015CD" w:rsidRDefault="00FD03E5" w:rsidP="00081885">
      <w:pPr>
        <w:spacing w:line="259" w:lineRule="auto"/>
        <w:jc w:val="both"/>
        <w:rPr>
          <w:rFonts w:asciiTheme="minorHAnsi" w:hAnsiTheme="minorHAnsi" w:cstheme="minorHAnsi"/>
        </w:rPr>
      </w:pPr>
      <w:r w:rsidRPr="003015CD">
        <w:rPr>
          <w:rFonts w:asciiTheme="minorHAnsi" w:hAnsiTheme="minorHAnsi" w:cstheme="minorHAnsi"/>
        </w:rPr>
        <w:t xml:space="preserve">These elements will support the analysis of relevant clinical data and its documentation in the CER (see Appendix </w:t>
      </w:r>
      <w:r w:rsidRPr="003015CD">
        <w:rPr>
          <w:rFonts w:asciiTheme="minorHAnsi" w:hAnsiTheme="minorHAnsi" w:cstheme="minorHAnsi"/>
        </w:rPr>
        <w:fldChar w:fldCharType="begin"/>
      </w:r>
      <w:r w:rsidRPr="003015CD">
        <w:rPr>
          <w:rFonts w:asciiTheme="minorHAnsi" w:hAnsiTheme="minorHAnsi" w:cstheme="minorHAnsi"/>
        </w:rPr>
        <w:instrText xml:space="preserve"> REF _Ref233282569 \r \h </w:instrText>
      </w:r>
      <w:r w:rsidR="000E1F53" w:rsidRPr="003015CD">
        <w:rPr>
          <w:rFonts w:asciiTheme="minorHAnsi" w:hAnsiTheme="minorHAnsi" w:cstheme="minorHAnsi"/>
        </w:rPr>
        <w:instrText xml:space="preserve"> \* MERGEFORMAT </w:instrText>
      </w:r>
      <w:r w:rsidRPr="003015CD">
        <w:rPr>
          <w:rFonts w:asciiTheme="minorHAnsi" w:hAnsiTheme="minorHAnsi" w:cstheme="minorHAnsi"/>
        </w:rPr>
      </w:r>
      <w:r w:rsidRPr="003015CD">
        <w:rPr>
          <w:rFonts w:asciiTheme="minorHAnsi" w:hAnsiTheme="minorHAnsi" w:cstheme="minorHAnsi"/>
        </w:rPr>
        <w:fldChar w:fldCharType="separate"/>
      </w:r>
      <w:r w:rsidR="001D11FB" w:rsidRPr="003015CD">
        <w:rPr>
          <w:rFonts w:asciiTheme="minorHAnsi" w:hAnsiTheme="minorHAnsi" w:cstheme="minorHAnsi"/>
        </w:rPr>
        <w:t>A1</w:t>
      </w:r>
      <w:r w:rsidRPr="003015CD">
        <w:rPr>
          <w:rFonts w:asciiTheme="minorHAnsi" w:hAnsiTheme="minorHAnsi" w:cstheme="minorHAnsi"/>
        </w:rPr>
        <w:fldChar w:fldCharType="end"/>
      </w:r>
      <w:r w:rsidR="0029416A" w:rsidRPr="003015CD">
        <w:rPr>
          <w:rFonts w:asciiTheme="minorHAnsi" w:hAnsiTheme="minorHAnsi" w:cstheme="minorHAnsi"/>
        </w:rPr>
        <w:t>1</w:t>
      </w:r>
      <w:r w:rsidRPr="003015CD">
        <w:rPr>
          <w:rFonts w:asciiTheme="minorHAnsi" w:hAnsiTheme="minorHAnsi" w:cstheme="minorHAnsi"/>
        </w:rPr>
        <w:t>).</w:t>
      </w:r>
    </w:p>
    <w:p w14:paraId="5FFB3B9B" w14:textId="77777777" w:rsidR="00FD03E5" w:rsidRPr="003015CD" w:rsidRDefault="00FD03E5" w:rsidP="00081885">
      <w:pPr>
        <w:spacing w:line="260" w:lineRule="exact"/>
        <w:jc w:val="both"/>
        <w:rPr>
          <w:rFonts w:asciiTheme="minorHAnsi" w:hAnsiTheme="minorHAnsi" w:cstheme="minorHAnsi"/>
        </w:rPr>
      </w:pPr>
    </w:p>
    <w:tbl>
      <w:tblPr>
        <w:tblStyle w:val="Grigliatabella1"/>
        <w:tblW w:w="9923" w:type="dxa"/>
        <w:jc w:val="center"/>
        <w:tblLook w:val="04A0" w:firstRow="1" w:lastRow="0" w:firstColumn="1" w:lastColumn="0" w:noHBand="0" w:noVBand="1"/>
      </w:tblPr>
      <w:tblGrid>
        <w:gridCol w:w="727"/>
        <w:gridCol w:w="2395"/>
        <w:gridCol w:w="6801"/>
      </w:tblGrid>
      <w:tr w:rsidR="00FD03E5" w:rsidRPr="003015CD" w14:paraId="1D89ED82" w14:textId="77777777">
        <w:trPr>
          <w:cantSplit/>
          <w:trHeight w:val="283"/>
          <w:tblHeader/>
          <w:jc w:val="center"/>
        </w:trPr>
        <w:tc>
          <w:tcPr>
            <w:tcW w:w="727" w:type="dxa"/>
            <w:shd w:val="clear" w:color="auto" w:fill="C6D9F1" w:themeFill="text2" w:themeFillTint="33"/>
          </w:tcPr>
          <w:p w14:paraId="442AA504" w14:textId="77777777" w:rsidR="00FD03E5" w:rsidRPr="003015CD" w:rsidRDefault="00FD03E5" w:rsidP="00081885">
            <w:pPr>
              <w:spacing w:before="0" w:after="0" w:line="260" w:lineRule="exact"/>
              <w:rPr>
                <w:rFonts w:asciiTheme="minorHAnsi" w:hAnsiTheme="minorHAnsi" w:cstheme="minorHAnsi"/>
                <w:b/>
                <w:bCs/>
                <w:sz w:val="18"/>
                <w:szCs w:val="18"/>
              </w:rPr>
            </w:pPr>
          </w:p>
          <w:p w14:paraId="33096006" w14:textId="77777777" w:rsidR="00FD03E5" w:rsidRPr="003015CD" w:rsidRDefault="00FD03E5" w:rsidP="00081885">
            <w:pPr>
              <w:spacing w:before="0" w:after="0" w:line="260" w:lineRule="exact"/>
              <w:rPr>
                <w:rFonts w:asciiTheme="minorHAnsi" w:hAnsiTheme="minorHAnsi" w:cstheme="minorHAnsi"/>
                <w:b/>
                <w:bCs/>
                <w:sz w:val="18"/>
                <w:szCs w:val="18"/>
              </w:rPr>
            </w:pPr>
            <w:r w:rsidRPr="003015CD">
              <w:rPr>
                <w:rFonts w:asciiTheme="minorHAnsi" w:hAnsiTheme="minorHAnsi" w:cstheme="minorHAnsi"/>
                <w:b/>
                <w:bCs/>
                <w:sz w:val="18"/>
                <w:szCs w:val="18"/>
              </w:rPr>
              <w:t>GSPR</w:t>
            </w:r>
          </w:p>
        </w:tc>
        <w:tc>
          <w:tcPr>
            <w:tcW w:w="2395" w:type="dxa"/>
            <w:shd w:val="clear" w:color="auto" w:fill="C6D9F1" w:themeFill="text2" w:themeFillTint="33"/>
          </w:tcPr>
          <w:p w14:paraId="09B58A4B" w14:textId="77777777" w:rsidR="00FD03E5" w:rsidRPr="003015CD" w:rsidRDefault="00FD03E5" w:rsidP="00081885">
            <w:pPr>
              <w:spacing w:before="0" w:after="0" w:line="260" w:lineRule="exact"/>
              <w:rPr>
                <w:rFonts w:asciiTheme="minorHAnsi" w:hAnsiTheme="minorHAnsi" w:cstheme="minorHAnsi"/>
                <w:b/>
                <w:bCs/>
                <w:sz w:val="18"/>
                <w:szCs w:val="18"/>
              </w:rPr>
            </w:pPr>
            <w:r w:rsidRPr="003015CD">
              <w:rPr>
                <w:rFonts w:asciiTheme="minorHAnsi" w:hAnsiTheme="minorHAnsi" w:cstheme="minorHAnsi"/>
                <w:b/>
                <w:bCs/>
                <w:sz w:val="18"/>
                <w:szCs w:val="18"/>
              </w:rPr>
              <w:t>Need confirmation from clinical data?</w:t>
            </w:r>
          </w:p>
        </w:tc>
        <w:tc>
          <w:tcPr>
            <w:tcW w:w="6801" w:type="dxa"/>
            <w:shd w:val="clear" w:color="auto" w:fill="C6D9F1" w:themeFill="text2" w:themeFillTint="33"/>
          </w:tcPr>
          <w:p w14:paraId="148716FF" w14:textId="77777777" w:rsidR="00FD03E5" w:rsidRPr="003015CD" w:rsidRDefault="00FD03E5" w:rsidP="00081885">
            <w:pPr>
              <w:spacing w:before="0" w:after="0" w:line="260" w:lineRule="exact"/>
              <w:rPr>
                <w:rFonts w:asciiTheme="minorHAnsi" w:hAnsiTheme="minorHAnsi" w:cstheme="minorHAnsi"/>
                <w:b/>
                <w:bCs/>
                <w:sz w:val="18"/>
                <w:szCs w:val="18"/>
              </w:rPr>
            </w:pPr>
            <w:r w:rsidRPr="003015CD">
              <w:rPr>
                <w:rFonts w:asciiTheme="minorHAnsi" w:hAnsiTheme="minorHAnsi" w:cstheme="minorHAnsi"/>
                <w:b/>
                <w:bCs/>
                <w:sz w:val="18"/>
                <w:szCs w:val="18"/>
              </w:rPr>
              <w:t xml:space="preserve">Rationale/ Example of approach </w:t>
            </w:r>
          </w:p>
        </w:tc>
      </w:tr>
      <w:tr w:rsidR="00FD03E5" w:rsidRPr="003015CD" w14:paraId="19E9FCC6" w14:textId="77777777">
        <w:trPr>
          <w:trHeight w:val="283"/>
          <w:jc w:val="center"/>
        </w:trPr>
        <w:tc>
          <w:tcPr>
            <w:tcW w:w="9923" w:type="dxa"/>
            <w:gridSpan w:val="3"/>
            <w:shd w:val="clear" w:color="auto" w:fill="DBE5F1" w:themeFill="accent1" w:themeFillTint="33"/>
          </w:tcPr>
          <w:p w14:paraId="4F6968E5" w14:textId="77777777" w:rsidR="00FD03E5" w:rsidRPr="003015CD" w:rsidRDefault="00FD03E5" w:rsidP="00081885">
            <w:pPr>
              <w:spacing w:before="0" w:after="0" w:line="260" w:lineRule="exact"/>
              <w:rPr>
                <w:rFonts w:asciiTheme="minorHAnsi" w:hAnsiTheme="minorHAnsi" w:cstheme="minorHAnsi"/>
                <w:b/>
                <w:sz w:val="18"/>
                <w:szCs w:val="18"/>
              </w:rPr>
            </w:pPr>
            <w:r w:rsidRPr="003015CD">
              <w:rPr>
                <w:rFonts w:asciiTheme="minorHAnsi" w:hAnsiTheme="minorHAnsi" w:cstheme="minorHAnsi"/>
                <w:b/>
                <w:sz w:val="18"/>
                <w:szCs w:val="18"/>
              </w:rPr>
              <w:t>GENERAL REQUIREMENTS</w:t>
            </w:r>
          </w:p>
        </w:tc>
      </w:tr>
      <w:tr w:rsidR="00FD03E5" w:rsidRPr="003015CD" w14:paraId="5A10595C" w14:textId="77777777">
        <w:trPr>
          <w:jc w:val="center"/>
        </w:trPr>
        <w:tc>
          <w:tcPr>
            <w:tcW w:w="727" w:type="dxa"/>
            <w:shd w:val="clear" w:color="auto" w:fill="DBE5F1" w:themeFill="accent1" w:themeFillTint="33"/>
          </w:tcPr>
          <w:p w14:paraId="4092FAC4"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w:t>
            </w:r>
          </w:p>
        </w:tc>
        <w:tc>
          <w:tcPr>
            <w:tcW w:w="2395" w:type="dxa"/>
          </w:tcPr>
          <w:p w14:paraId="61AB0BF1"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 xml:space="preserve">Always. </w:t>
            </w:r>
            <w:r w:rsidRPr="003015CD">
              <w:rPr>
                <w:rFonts w:asciiTheme="minorHAnsi" w:hAnsiTheme="minorHAnsi" w:cstheme="minorHAnsi"/>
                <w:sz w:val="20"/>
              </w:rPr>
              <w:br/>
              <w:t xml:space="preserve">For all medical devices, clinical data on safety, performance and clinical benefits must exists as per Article 61(1). </w:t>
            </w:r>
          </w:p>
          <w:p w14:paraId="79F5F51D" w14:textId="77777777" w:rsidR="00FD03E5" w:rsidRPr="003015CD" w:rsidRDefault="00FD03E5" w:rsidP="00081885">
            <w:pPr>
              <w:spacing w:before="0" w:after="0" w:line="260" w:lineRule="exact"/>
              <w:rPr>
                <w:rFonts w:asciiTheme="minorHAnsi" w:hAnsiTheme="minorHAnsi" w:cstheme="minorHAnsi"/>
                <w:b/>
                <w:bCs/>
                <w:sz w:val="20"/>
              </w:rPr>
            </w:pPr>
          </w:p>
          <w:p w14:paraId="6BC94E32"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24C9CD53" w14:textId="0799CDA9" w:rsidR="00FD03E5" w:rsidRPr="003015CD" w:rsidRDefault="00FD03E5" w:rsidP="00081885">
            <w:pPr>
              <w:spacing w:before="0" w:after="60" w:line="260" w:lineRule="exact"/>
              <w:jc w:val="both"/>
              <w:rPr>
                <w:rFonts w:asciiTheme="majorHAnsi" w:hAnsiTheme="majorHAnsi" w:cstheme="majorBidi"/>
                <w:sz w:val="20"/>
              </w:rPr>
            </w:pPr>
            <w:r w:rsidRPr="003015CD">
              <w:rPr>
                <w:rFonts w:asciiTheme="majorHAnsi" w:hAnsiTheme="majorHAnsi" w:cstheme="majorBidi"/>
                <w:sz w:val="20"/>
              </w:rPr>
              <w:t xml:space="preserve">GSPR 1 outlines a set of requirements that, if fulfilled, can be expected to allow the conclusion that the device under evaluation is safe and effective. To ensure compliance with GSPR 1, safety and performance need to be prioritised from the earliest stages of design and manufacturing, to prevent potential harm before it happens. Further, manufacturers are required to evaluate the device safety, performance and acceptability of the benefit-risk profile taking into account the SOTA. </w:t>
            </w:r>
          </w:p>
          <w:p w14:paraId="6CD6B80D" w14:textId="77777777" w:rsidR="00FD03E5" w:rsidRPr="003015CD" w:rsidRDefault="00FD03E5" w:rsidP="00081885">
            <w:pPr>
              <w:spacing w:before="0" w:after="60" w:line="260" w:lineRule="exact"/>
              <w:jc w:val="both"/>
              <w:rPr>
                <w:rFonts w:asciiTheme="majorHAnsi" w:hAnsiTheme="majorHAnsi" w:cstheme="majorHAnsi"/>
                <w:sz w:val="20"/>
              </w:rPr>
            </w:pPr>
            <w:r w:rsidRPr="003015CD">
              <w:rPr>
                <w:rFonts w:asciiTheme="majorHAnsi" w:hAnsiTheme="majorHAnsi" w:cstheme="majorHAnsi"/>
                <w:sz w:val="20"/>
              </w:rPr>
              <w:t xml:space="preserve">In particular, GSPR 1 aspects that may require confirmation of conformity based on clinical data are: </w:t>
            </w:r>
          </w:p>
          <w:p w14:paraId="045FAED5" w14:textId="0AAFEF26" w:rsidR="00FD03E5" w:rsidRPr="003015CD" w:rsidRDefault="00FD03E5" w:rsidP="00081885">
            <w:pPr>
              <w:numPr>
                <w:ilvl w:val="0"/>
                <w:numId w:val="93"/>
              </w:numPr>
              <w:autoSpaceDE w:val="0"/>
              <w:autoSpaceDN w:val="0"/>
              <w:adjustRightInd w:val="0"/>
              <w:spacing w:before="40" w:after="40" w:line="260" w:lineRule="exact"/>
              <w:ind w:left="318"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the device shall achieve the performance intended by the manufacturer</w:t>
            </w:r>
          </w:p>
          <w:p w14:paraId="65C2C844" w14:textId="57337A5C" w:rsidR="00FD03E5" w:rsidRPr="003015CD" w:rsidRDefault="00FD03E5" w:rsidP="00081885">
            <w:pPr>
              <w:numPr>
                <w:ilvl w:val="0"/>
                <w:numId w:val="93"/>
              </w:numPr>
              <w:autoSpaceDE w:val="0"/>
              <w:autoSpaceDN w:val="0"/>
              <w:adjustRightInd w:val="0"/>
              <w:spacing w:before="40" w:after="40" w:line="260" w:lineRule="exact"/>
              <w:ind w:left="318"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the device shall be safe and effective</w:t>
            </w:r>
          </w:p>
          <w:p w14:paraId="7C89BCF4" w14:textId="03CD0188" w:rsidR="00FD03E5" w:rsidRPr="003015CD" w:rsidRDefault="00FD03E5" w:rsidP="00081885">
            <w:pPr>
              <w:numPr>
                <w:ilvl w:val="0"/>
                <w:numId w:val="93"/>
              </w:numPr>
              <w:autoSpaceDE w:val="0"/>
              <w:autoSpaceDN w:val="0"/>
              <w:adjustRightInd w:val="0"/>
              <w:spacing w:before="40" w:after="40" w:line="260" w:lineRule="exact"/>
              <w:ind w:left="318" w:hanging="142"/>
              <w:jc w:val="both"/>
              <w:rPr>
                <w:rFonts w:asciiTheme="majorHAnsi" w:hAnsiTheme="majorHAnsi" w:cstheme="majorHAnsi"/>
                <w:color w:val="000000" w:themeColor="text1"/>
                <w:sz w:val="20"/>
              </w:rPr>
            </w:pPr>
            <w:r w:rsidRPr="003015CD">
              <w:rPr>
                <w:rFonts w:asciiTheme="majorHAnsi" w:hAnsiTheme="majorHAnsi" w:cstheme="majorHAnsi"/>
                <w:color w:val="000000" w:themeColor="text1"/>
                <w:sz w:val="20"/>
              </w:rPr>
              <w:t>the device shall not compromise the clinical condition or the safety of patients, or the safety and health of users or, where applicable, other persons</w:t>
            </w:r>
          </w:p>
          <w:p w14:paraId="4B22DE31" w14:textId="7067346D" w:rsidR="00FD03E5" w:rsidRPr="003015CD" w:rsidRDefault="00FD03E5" w:rsidP="00081885">
            <w:pPr>
              <w:numPr>
                <w:ilvl w:val="0"/>
                <w:numId w:val="93"/>
              </w:numPr>
              <w:autoSpaceDE w:val="0"/>
              <w:autoSpaceDN w:val="0"/>
              <w:adjustRightInd w:val="0"/>
              <w:spacing w:before="40" w:after="40" w:line="260" w:lineRule="exact"/>
              <w:ind w:left="318" w:hanging="142"/>
              <w:jc w:val="both"/>
              <w:rPr>
                <w:rFonts w:asciiTheme="majorHAnsi" w:hAnsiTheme="majorHAnsi" w:cstheme="majorBidi"/>
                <w:color w:val="000000" w:themeColor="text1"/>
                <w:sz w:val="20"/>
              </w:rPr>
            </w:pPr>
            <w:r w:rsidRPr="003015CD">
              <w:rPr>
                <w:rFonts w:asciiTheme="majorHAnsi" w:hAnsiTheme="majorHAnsi" w:cstheme="majorBidi"/>
                <w:color w:val="000000" w:themeColor="text1"/>
                <w:sz w:val="20"/>
              </w:rPr>
              <w:t>any risks which may be associated with the use of the device must constitute acceptable risks when weighed against the benefits to the patient and must be compatible with a high level of protection of health and safety, taking into account the generally acknowledged SOTA.</w:t>
            </w:r>
          </w:p>
          <w:p w14:paraId="13B2D9E4" w14:textId="77777777" w:rsidR="00FD03E5" w:rsidRPr="003015CD" w:rsidRDefault="00FD03E5" w:rsidP="00081885">
            <w:pPr>
              <w:spacing w:before="0" w:after="0" w:line="260" w:lineRule="exact"/>
              <w:rPr>
                <w:rFonts w:asciiTheme="majorHAnsi" w:hAnsiTheme="majorHAnsi" w:cstheme="majorHAnsi"/>
              </w:rPr>
            </w:pPr>
          </w:p>
          <w:p w14:paraId="4F5DBC5F" w14:textId="7059FBA8" w:rsidR="00FD03E5" w:rsidRPr="003015CD" w:rsidRDefault="00FD03E5" w:rsidP="00081885">
            <w:pPr>
              <w:spacing w:before="0" w:after="0" w:line="260" w:lineRule="exact"/>
              <w:rPr>
                <w:rFonts w:asciiTheme="minorHAnsi" w:hAnsiTheme="minorHAnsi" w:cstheme="minorHAnsi"/>
                <w:sz w:val="20"/>
              </w:rPr>
            </w:pPr>
            <w:r w:rsidRPr="003015CD">
              <w:rPr>
                <w:rFonts w:asciiTheme="majorHAnsi" w:hAnsiTheme="majorHAnsi" w:cstheme="majorHAnsi"/>
                <w:sz w:val="20"/>
              </w:rPr>
              <w:t>S</w:t>
            </w:r>
            <w:r w:rsidRPr="003015CD">
              <w:rPr>
                <w:rFonts w:asciiTheme="minorHAnsi" w:hAnsiTheme="minorHAnsi" w:cstheme="minorHAnsi"/>
                <w:sz w:val="20"/>
              </w:rPr>
              <w:t xml:space="preserve">ee also Appendix </w:t>
            </w:r>
            <w:r w:rsidRPr="003015CD">
              <w:rPr>
                <w:rFonts w:asciiTheme="minorHAnsi" w:hAnsiTheme="minorHAnsi" w:cstheme="minorHAnsi"/>
                <w:sz w:val="20"/>
              </w:rPr>
              <w:fldChar w:fldCharType="begin"/>
            </w:r>
            <w:r w:rsidRPr="003015CD">
              <w:rPr>
                <w:rFonts w:asciiTheme="minorHAnsi" w:hAnsiTheme="minorHAnsi" w:cstheme="minorHAnsi"/>
                <w:sz w:val="20"/>
              </w:rPr>
              <w:instrText xml:space="preserve"> REF _Ref233282512 \r \h </w:instrText>
            </w:r>
            <w:r w:rsidR="0047335B" w:rsidRPr="003015CD">
              <w:rPr>
                <w:rFonts w:asciiTheme="minorHAnsi" w:hAnsiTheme="minorHAnsi" w:cstheme="minorHAnsi"/>
                <w:sz w:val="20"/>
              </w:rPr>
              <w:instrText xml:space="preserve"> \* MERGEFORMAT </w:instrText>
            </w:r>
            <w:r w:rsidRPr="003015CD">
              <w:rPr>
                <w:rFonts w:asciiTheme="minorHAnsi" w:hAnsiTheme="minorHAnsi" w:cstheme="minorHAnsi"/>
                <w:sz w:val="20"/>
              </w:rPr>
            </w:r>
            <w:r w:rsidRPr="003015CD">
              <w:rPr>
                <w:rFonts w:asciiTheme="minorHAnsi" w:hAnsiTheme="minorHAnsi" w:cstheme="minorHAnsi"/>
                <w:sz w:val="20"/>
              </w:rPr>
              <w:fldChar w:fldCharType="separate"/>
            </w:r>
            <w:r w:rsidR="001D11FB" w:rsidRPr="003015CD">
              <w:rPr>
                <w:rFonts w:asciiTheme="minorHAnsi" w:hAnsiTheme="minorHAnsi" w:cstheme="minorHAnsi"/>
                <w:sz w:val="20"/>
              </w:rPr>
              <w:t>A9.3</w:t>
            </w:r>
            <w:r w:rsidRPr="003015CD">
              <w:rPr>
                <w:rFonts w:asciiTheme="minorHAnsi" w:hAnsiTheme="minorHAnsi" w:cstheme="minorHAnsi"/>
                <w:sz w:val="20"/>
              </w:rPr>
              <w:fldChar w:fldCharType="end"/>
            </w:r>
            <w:r w:rsidRPr="003015CD">
              <w:rPr>
                <w:rFonts w:asciiTheme="minorHAnsi" w:hAnsiTheme="minorHAnsi" w:cstheme="minorHAnsi"/>
                <w:sz w:val="20"/>
              </w:rPr>
              <w:t xml:space="preserve"> on evaluation of the acceptability of the benefit-risk profile. </w:t>
            </w:r>
          </w:p>
        </w:tc>
      </w:tr>
      <w:tr w:rsidR="00FD03E5" w:rsidRPr="003015CD" w14:paraId="665DB07F" w14:textId="77777777">
        <w:trPr>
          <w:trHeight w:val="2699"/>
          <w:jc w:val="center"/>
        </w:trPr>
        <w:tc>
          <w:tcPr>
            <w:tcW w:w="727" w:type="dxa"/>
            <w:shd w:val="clear" w:color="auto" w:fill="DBE5F1" w:themeFill="accent1" w:themeFillTint="33"/>
          </w:tcPr>
          <w:p w14:paraId="4040F7E3"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2-4</w:t>
            </w:r>
          </w:p>
        </w:tc>
        <w:tc>
          <w:tcPr>
            <w:tcW w:w="2395" w:type="dxa"/>
          </w:tcPr>
          <w:p w14:paraId="177294A9" w14:textId="77777777" w:rsidR="00FD03E5" w:rsidRPr="003015CD" w:rsidRDefault="00FD03E5" w:rsidP="00081885">
            <w:pPr>
              <w:spacing w:before="0" w:after="0" w:line="260" w:lineRule="exact"/>
              <w:rPr>
                <w:rFonts w:asciiTheme="minorHAnsi" w:hAnsiTheme="minorHAnsi" w:cstheme="minorHAnsi"/>
                <w:color w:val="000000" w:themeColor="text1"/>
                <w:sz w:val="20"/>
              </w:rPr>
            </w:pPr>
            <w:r w:rsidRPr="003015CD">
              <w:rPr>
                <w:rFonts w:asciiTheme="minorHAnsi" w:hAnsiTheme="minorHAnsi" w:cstheme="minorHAnsi"/>
                <w:sz w:val="20"/>
              </w:rPr>
              <w:t>Usually, by relation with GSPR 1.</w:t>
            </w:r>
          </w:p>
        </w:tc>
        <w:tc>
          <w:tcPr>
            <w:tcW w:w="6801" w:type="dxa"/>
          </w:tcPr>
          <w:p w14:paraId="21BDDF07" w14:textId="7E063F7E" w:rsidR="00FD03E5" w:rsidRPr="003015CD" w:rsidRDefault="00FD03E5" w:rsidP="00081885">
            <w:pPr>
              <w:spacing w:before="0" w:after="60" w:line="260" w:lineRule="exact"/>
              <w:jc w:val="both"/>
              <w:rPr>
                <w:rFonts w:asciiTheme="majorHAnsi" w:hAnsiTheme="majorHAnsi" w:cstheme="majorHAnsi"/>
                <w:sz w:val="20"/>
              </w:rPr>
            </w:pPr>
            <w:r w:rsidRPr="003015CD">
              <w:rPr>
                <w:rFonts w:asciiTheme="majorHAnsi" w:hAnsiTheme="majorHAnsi" w:cstheme="majorHAnsi"/>
                <w:sz w:val="20"/>
              </w:rPr>
              <w:t>Throughout the lifecycle of the device, the manufacturer shall apply a risk management system, which establishes a process to assess the</w:t>
            </w:r>
            <w:r w:rsidRPr="003015CD" w:rsidDel="00FD7623">
              <w:rPr>
                <w:rFonts w:asciiTheme="majorHAnsi" w:hAnsiTheme="majorHAnsi" w:cstheme="majorHAnsi"/>
                <w:sz w:val="20"/>
              </w:rPr>
              <w:t xml:space="preserve"> </w:t>
            </w:r>
            <w:r w:rsidRPr="003015CD">
              <w:rPr>
                <w:rFonts w:asciiTheme="majorHAnsi" w:hAnsiTheme="majorHAnsi" w:cstheme="majorHAnsi"/>
                <w:sz w:val="20"/>
              </w:rPr>
              <w:t>acceptability of benefit-risk profile</w:t>
            </w:r>
            <w:r w:rsidR="0047335B" w:rsidRPr="003015CD">
              <w:rPr>
                <w:rFonts w:asciiTheme="majorHAnsi" w:hAnsiTheme="majorHAnsi" w:cstheme="majorHAnsi"/>
                <w:sz w:val="20"/>
              </w:rPr>
              <w:t xml:space="preserve"> </w:t>
            </w:r>
            <w:r w:rsidRPr="003015CD">
              <w:rPr>
                <w:rFonts w:asciiTheme="majorHAnsi" w:hAnsiTheme="majorHAnsi" w:cstheme="majorHAnsi"/>
                <w:sz w:val="20"/>
              </w:rPr>
              <w:t>as per GSPR 1.</w:t>
            </w:r>
          </w:p>
          <w:p w14:paraId="0C21DBE6" w14:textId="6AA953C0" w:rsidR="00FD03E5" w:rsidRPr="003015CD" w:rsidRDefault="00FD03E5" w:rsidP="00081885">
            <w:pPr>
              <w:spacing w:before="0" w:after="60" w:line="260" w:lineRule="exact"/>
              <w:jc w:val="both"/>
              <w:rPr>
                <w:rFonts w:asciiTheme="majorHAnsi" w:hAnsiTheme="majorHAnsi" w:cstheme="majorHAnsi"/>
                <w:sz w:val="20"/>
              </w:rPr>
            </w:pPr>
            <w:r w:rsidRPr="003015CD">
              <w:rPr>
                <w:rFonts w:asciiTheme="majorHAnsi" w:hAnsiTheme="majorHAnsi" w:cstheme="majorHAnsi"/>
                <w:sz w:val="20"/>
              </w:rPr>
              <w:t>If a residual risk is not judged acceptable based on the criteria established in the risk management plan, and further risk control measures are not practicable, the manufacturer may need to collect clinical data. For example, for a certain indication or patient population additional clinical data may be needed. The evidence must support the conclusion that the benefits outweigh the residual risks.</w:t>
            </w:r>
          </w:p>
          <w:p w14:paraId="09FDBD8E" w14:textId="77777777" w:rsidR="00FD03E5" w:rsidRPr="003015CD" w:rsidRDefault="00FD03E5" w:rsidP="00081885">
            <w:pPr>
              <w:spacing w:before="0" w:after="60" w:line="260" w:lineRule="exact"/>
              <w:jc w:val="both"/>
              <w:rPr>
                <w:rFonts w:asciiTheme="majorHAnsi" w:hAnsiTheme="majorHAnsi" w:cstheme="majorHAnsi"/>
                <w:sz w:val="20"/>
              </w:rPr>
            </w:pPr>
          </w:p>
        </w:tc>
      </w:tr>
      <w:tr w:rsidR="00FD03E5" w:rsidRPr="003015CD" w14:paraId="172C54CD" w14:textId="77777777">
        <w:trPr>
          <w:jc w:val="center"/>
        </w:trPr>
        <w:tc>
          <w:tcPr>
            <w:tcW w:w="727" w:type="dxa"/>
            <w:shd w:val="clear" w:color="auto" w:fill="DBE5F1" w:themeFill="accent1" w:themeFillTint="33"/>
          </w:tcPr>
          <w:p w14:paraId="3348F604"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5</w:t>
            </w:r>
          </w:p>
        </w:tc>
        <w:tc>
          <w:tcPr>
            <w:tcW w:w="2395" w:type="dxa"/>
          </w:tcPr>
          <w:p w14:paraId="1112D74A" w14:textId="77777777" w:rsidR="00FD03E5" w:rsidRPr="003015CD" w:rsidRDefault="00FD03E5" w:rsidP="00081885">
            <w:pPr>
              <w:spacing w:before="0" w:after="0" w:line="260" w:lineRule="exact"/>
              <w:rPr>
                <w:rFonts w:asciiTheme="minorHAnsi" w:hAnsiTheme="minorHAnsi" w:cstheme="minorHAnsi"/>
                <w:color w:val="000000" w:themeColor="text1"/>
                <w:sz w:val="20"/>
              </w:rPr>
            </w:pPr>
            <w:r w:rsidRPr="003015CD">
              <w:rPr>
                <w:rFonts w:asciiTheme="minorHAnsi" w:hAnsiTheme="minorHAnsi" w:cstheme="minorHAnsi"/>
                <w:sz w:val="20"/>
              </w:rPr>
              <w:t>Usually</w:t>
            </w:r>
          </w:p>
        </w:tc>
        <w:tc>
          <w:tcPr>
            <w:tcW w:w="6801" w:type="dxa"/>
          </w:tcPr>
          <w:p w14:paraId="36155704" w14:textId="77777777" w:rsidR="00FD03E5" w:rsidRPr="003015CD" w:rsidRDefault="00FD03E5" w:rsidP="00081885">
            <w:pPr>
              <w:jc w:val="both"/>
              <w:rPr>
                <w:sz w:val="20"/>
              </w:rPr>
            </w:pPr>
            <w:r w:rsidRPr="003015CD">
              <w:rPr>
                <w:sz w:val="20"/>
              </w:rPr>
              <w:t xml:space="preserve">Non-clinical testing, which may be based on available standards, </w:t>
            </w:r>
            <w:r w:rsidRPr="003015CD">
              <w:rPr>
                <w:rFonts w:asciiTheme="majorHAnsi" w:hAnsiTheme="majorHAnsi" w:cstheme="majorHAnsi"/>
                <w:sz w:val="20"/>
              </w:rPr>
              <w:t xml:space="preserve">may be used to reduce risks related to use error, including risks related to ergonomic features and usability, during device development. However, such </w:t>
            </w:r>
            <w:r w:rsidRPr="003015CD">
              <w:rPr>
                <w:sz w:val="20"/>
              </w:rPr>
              <w:t xml:space="preserve">testing </w:t>
            </w:r>
            <w:r w:rsidRPr="003015CD">
              <w:rPr>
                <w:rFonts w:asciiTheme="majorHAnsi" w:hAnsiTheme="majorHAnsi" w:cstheme="majorHAnsi"/>
                <w:sz w:val="20"/>
              </w:rPr>
              <w:t>may not consider all design and usability aspects that may contribute to safety concerns related to use error.</w:t>
            </w:r>
          </w:p>
          <w:p w14:paraId="6BB7FA49" w14:textId="6F82E092" w:rsidR="00FD03E5" w:rsidRPr="003015CD" w:rsidRDefault="00FD03E5" w:rsidP="00081885">
            <w:pPr>
              <w:jc w:val="both"/>
              <w:rPr>
                <w:sz w:val="20"/>
              </w:rPr>
            </w:pPr>
            <w:r w:rsidRPr="003015CD">
              <w:rPr>
                <w:sz w:val="20"/>
              </w:rPr>
              <w:t>Results from usability evaluations conducted under simulated use conditions may not be fully generalizable to real-world use scenarios and</w:t>
            </w:r>
            <w:r w:rsidRPr="003015CD" w:rsidDel="00E70281">
              <w:rPr>
                <w:sz w:val="20"/>
              </w:rPr>
              <w:t xml:space="preserve"> </w:t>
            </w:r>
            <w:r w:rsidRPr="003015CD">
              <w:rPr>
                <w:sz w:val="20"/>
              </w:rPr>
              <w:t xml:space="preserve">may not identify all potential use errors related to the user interface and human factors. For devices with a user interface, the design may contribute to use errors due to non-intuitive, counter-intuitive or hard-to-learn displays, alarms or controls. The resulting risks may not be fully revealed during simulated usability testing and may only become evident under real-world, time-critical or stressful clinical conditions, or when the device is used infrequently. </w:t>
            </w:r>
          </w:p>
          <w:p w14:paraId="0C09A774" w14:textId="77777777" w:rsidR="00FD03E5" w:rsidRPr="003015CD" w:rsidRDefault="00FD03E5" w:rsidP="00081885">
            <w:pPr>
              <w:jc w:val="both"/>
              <w:rPr>
                <w:sz w:val="20"/>
              </w:rPr>
            </w:pPr>
            <w:r w:rsidRPr="003015CD">
              <w:rPr>
                <w:sz w:val="20"/>
              </w:rPr>
              <w:t xml:space="preserve">Examples include risks related to the ergonomic features of the device, design of user interfaces, the environment in which the device is intended to be used, and the knowledge, experience, education, training and medical and physical conditions of the intended user, all of which may need to require confirming clinical data. </w:t>
            </w:r>
          </w:p>
          <w:p w14:paraId="6969B407" w14:textId="77777777" w:rsidR="00FD03E5" w:rsidRPr="003015CD" w:rsidRDefault="00FD03E5" w:rsidP="00081885">
            <w:pPr>
              <w:jc w:val="both"/>
              <w:rPr>
                <w:sz w:val="20"/>
              </w:rPr>
            </w:pPr>
            <w:r w:rsidRPr="003015CD">
              <w:rPr>
                <w:sz w:val="20"/>
              </w:rPr>
              <w:t xml:space="preserve">For medical devices intended by the manufacturer for use by the lay population, GSPR 22 should also be considered. </w:t>
            </w:r>
          </w:p>
        </w:tc>
      </w:tr>
      <w:tr w:rsidR="00FD03E5" w:rsidRPr="003015CD" w14:paraId="57C090C6" w14:textId="77777777">
        <w:trPr>
          <w:jc w:val="center"/>
        </w:trPr>
        <w:tc>
          <w:tcPr>
            <w:tcW w:w="727" w:type="dxa"/>
            <w:shd w:val="clear" w:color="auto" w:fill="DBE5F1" w:themeFill="accent1" w:themeFillTint="33"/>
          </w:tcPr>
          <w:p w14:paraId="1ABDF14D"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6</w:t>
            </w:r>
          </w:p>
        </w:tc>
        <w:tc>
          <w:tcPr>
            <w:tcW w:w="2395" w:type="dxa"/>
          </w:tcPr>
          <w:p w14:paraId="03DECCA0" w14:textId="231B6301" w:rsidR="00FD03E5" w:rsidRPr="003015CD" w:rsidRDefault="00FD03E5" w:rsidP="00081885">
            <w:pPr>
              <w:spacing w:before="0" w:after="0" w:line="260" w:lineRule="exact"/>
              <w:rPr>
                <w:rFonts w:asciiTheme="minorHAnsi" w:hAnsiTheme="minorHAnsi" w:cstheme="minorHAnsi"/>
                <w:color w:val="000000" w:themeColor="text1"/>
                <w:sz w:val="20"/>
              </w:rPr>
            </w:pPr>
            <w:r w:rsidRPr="003015CD">
              <w:rPr>
                <w:rFonts w:asciiTheme="minorHAnsi" w:hAnsiTheme="minorHAnsi" w:cstheme="minorHAnsi"/>
                <w:sz w:val="20"/>
              </w:rPr>
              <w:t xml:space="preserve">Usually </w:t>
            </w:r>
          </w:p>
        </w:tc>
        <w:tc>
          <w:tcPr>
            <w:tcW w:w="6801" w:type="dxa"/>
          </w:tcPr>
          <w:p w14:paraId="23FF6700"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Clinical data may be required to confirm safety and performance over the lifetime of the device, particularly for devices where the interactions of the device with the user or patient may change over time. </w:t>
            </w:r>
          </w:p>
          <w:p w14:paraId="181F1DBB"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Clinical data may be particularly relevant for implantable devices with degradation profiles (e.g., bioresorbable stents), devices that rely on coatings or active substances whose stability may change over time, and drug–device combinations where the durability of both components must be clinically validated. In these cases, clinical evaluation must integrate evidence demonstrating that the benefit–risk profile remains favourable throughout the intended lifetime of the device. Clinical evidence from clinical data may be used to:</w:t>
            </w:r>
          </w:p>
          <w:p w14:paraId="7CC44148" w14:textId="77777777"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 xml:space="preserve"> - validate the extent of device degradation over time and if it could result in a loss of device performance or compromise the health or safety of the patient or the user or (where applicable) of other persons, with respect to the results from non-clinical tests (see also GSPR 10 and GSPR 13);</w:t>
            </w:r>
          </w:p>
          <w:p w14:paraId="100969C2" w14:textId="77777777"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 determine potential clinical impact (new clinical conditions or contra-indications) and to identify the information that need to be provided to the users, where the use of a particular substance or processing method in conjunction with a device could limit its lifetime (see also GSPR 10);</w:t>
            </w:r>
          </w:p>
          <w:p w14:paraId="542B0208"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 - confirm, under clinical conditions, the long-term compatibility between the medical device and the medicinal product(s) concerned, when the device is intended to administer medicinal products. It is expected that both the effectiveness of the medicinal products and the performance of the devices, as outlined in their respective indications and intended use, are maintained as foreseen by the manufacturer. Clinical evidence can confirm this performance during lifetime and clinically validate the compatibility of combination (see also GSPR 12).</w:t>
            </w:r>
          </w:p>
          <w:p w14:paraId="10F9BC7C" w14:textId="77777777" w:rsidR="00FD03E5" w:rsidRPr="003015CD" w:rsidRDefault="00FD03E5" w:rsidP="00081885">
            <w:pPr>
              <w:spacing w:before="0" w:after="120" w:line="260" w:lineRule="exact"/>
              <w:jc w:val="both"/>
              <w:rPr>
                <w:rFonts w:asciiTheme="majorHAnsi" w:hAnsiTheme="majorHAnsi" w:cstheme="majorHAnsi"/>
                <w:sz w:val="20"/>
              </w:rPr>
            </w:pPr>
          </w:p>
        </w:tc>
      </w:tr>
      <w:tr w:rsidR="00FD03E5" w:rsidRPr="003015CD" w14:paraId="5CD2CBBC" w14:textId="77777777">
        <w:trPr>
          <w:jc w:val="center"/>
        </w:trPr>
        <w:tc>
          <w:tcPr>
            <w:tcW w:w="727" w:type="dxa"/>
            <w:shd w:val="clear" w:color="auto" w:fill="DBE5F1" w:themeFill="accent1" w:themeFillTint="33"/>
          </w:tcPr>
          <w:p w14:paraId="117EF0D2"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7</w:t>
            </w:r>
          </w:p>
        </w:tc>
        <w:tc>
          <w:tcPr>
            <w:tcW w:w="2395" w:type="dxa"/>
          </w:tcPr>
          <w:p w14:paraId="4DE9698D"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Occasionally</w:t>
            </w:r>
          </w:p>
        </w:tc>
        <w:tc>
          <w:tcPr>
            <w:tcW w:w="6801" w:type="dxa"/>
          </w:tcPr>
          <w:p w14:paraId="0E832815" w14:textId="4FF52512"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Conformity is generally demonstrated by non-clinical evidence such as packaging validation, environmental stress testing, and stability studies. Depending on the type of device, the materials, the level of innovation of the technology, or inadequate/inexistent methods to</w:t>
            </w:r>
            <w:r w:rsidRPr="003015CD" w:rsidDel="00490980">
              <w:rPr>
                <w:rFonts w:asciiTheme="majorHAnsi" w:hAnsiTheme="majorHAnsi" w:cstheme="majorHAnsi"/>
                <w:sz w:val="20"/>
              </w:rPr>
              <w:t xml:space="preserve"> </w:t>
            </w:r>
            <w:r w:rsidRPr="003015CD">
              <w:rPr>
                <w:rFonts w:asciiTheme="majorHAnsi" w:hAnsiTheme="majorHAnsi" w:cstheme="majorHAnsi"/>
                <w:sz w:val="20"/>
              </w:rPr>
              <w:t xml:space="preserve">simulate the conditions and impacts, clinical data may be required to address uncertainties as to whether the transport and storage under real-world conditions may affect the device’s characteristics, safety and performance at the point of use. </w:t>
            </w:r>
          </w:p>
          <w:p w14:paraId="58A569A5" w14:textId="45F476B8" w:rsidR="00FD03E5" w:rsidRPr="003015CD" w:rsidRDefault="00FD03E5" w:rsidP="00081885">
            <w:pPr>
              <w:spacing w:before="0" w:after="120" w:line="260" w:lineRule="exact"/>
              <w:jc w:val="both"/>
              <w:rPr>
                <w:rFonts w:asciiTheme="majorHAnsi" w:hAnsiTheme="majorHAnsi" w:cstheme="majorBidi"/>
                <w:sz w:val="20"/>
              </w:rPr>
            </w:pPr>
            <w:r w:rsidRPr="003015CD">
              <w:rPr>
                <w:rFonts w:asciiTheme="majorHAnsi" w:hAnsiTheme="majorHAnsi" w:cstheme="majorBidi"/>
                <w:sz w:val="20"/>
              </w:rPr>
              <w:t>In particular, for devices sensitive to environmental conditions such as temperature, humidity or vibration, clinical evidence representative of intended use environment may be needed to confirm that performance is not adversely affected during the clinical use.</w:t>
            </w:r>
          </w:p>
        </w:tc>
      </w:tr>
      <w:tr w:rsidR="00FD03E5" w:rsidRPr="003015CD" w14:paraId="75F37AED" w14:textId="77777777">
        <w:trPr>
          <w:jc w:val="center"/>
        </w:trPr>
        <w:tc>
          <w:tcPr>
            <w:tcW w:w="727" w:type="dxa"/>
            <w:shd w:val="clear" w:color="auto" w:fill="DBE5F1" w:themeFill="accent1" w:themeFillTint="33"/>
          </w:tcPr>
          <w:p w14:paraId="1DDEE19C"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8</w:t>
            </w:r>
          </w:p>
        </w:tc>
        <w:tc>
          <w:tcPr>
            <w:tcW w:w="2395" w:type="dxa"/>
          </w:tcPr>
          <w:p w14:paraId="0A81F03F"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 xml:space="preserve">Always. </w:t>
            </w:r>
          </w:p>
          <w:p w14:paraId="35EA5ACF" w14:textId="77777777" w:rsidR="00FD03E5" w:rsidRPr="003015CD" w:rsidRDefault="00FD03E5" w:rsidP="00081885">
            <w:pPr>
              <w:spacing w:before="0" w:after="0" w:line="260" w:lineRule="exact"/>
              <w:rPr>
                <w:rFonts w:asciiTheme="minorHAnsi" w:hAnsiTheme="minorHAnsi" w:cstheme="minorHAnsi"/>
                <w:sz w:val="20"/>
              </w:rPr>
            </w:pPr>
          </w:p>
          <w:p w14:paraId="7AAA7A55"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7924057D" w14:textId="318016F3"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Evaluating undesirable side effects of medical devices is essential for ensuring patient safety and requires a multi-faceted approach using multiple data sources. S</w:t>
            </w:r>
            <w:r w:rsidRPr="003015CD">
              <w:rPr>
                <w:rFonts w:asciiTheme="minorHAnsi" w:hAnsiTheme="minorHAnsi" w:cstheme="minorHAnsi"/>
                <w:sz w:val="20"/>
              </w:rPr>
              <w:t xml:space="preserve">ee Appendix </w:t>
            </w:r>
            <w:r w:rsidRPr="003015CD">
              <w:rPr>
                <w:rFonts w:asciiTheme="minorHAnsi" w:hAnsiTheme="minorHAnsi" w:cstheme="minorHAnsi"/>
                <w:sz w:val="20"/>
              </w:rPr>
              <w:fldChar w:fldCharType="begin"/>
            </w:r>
            <w:r w:rsidRPr="003015CD">
              <w:rPr>
                <w:rFonts w:asciiTheme="minorHAnsi" w:hAnsiTheme="minorHAnsi" w:cstheme="minorHAnsi"/>
                <w:bCs/>
                <w:sz w:val="20"/>
              </w:rPr>
              <w:instrText xml:space="preserve"> REF _Ref233282534 \r \h </w:instrText>
            </w:r>
            <w:r w:rsidR="00593BE8" w:rsidRPr="003015CD">
              <w:rPr>
                <w:rFonts w:asciiTheme="minorHAnsi" w:hAnsiTheme="minorHAnsi" w:cstheme="minorHAnsi"/>
                <w:bCs/>
                <w:sz w:val="20"/>
              </w:rPr>
              <w:instrText xml:space="preserve"> \* MERGEFORMAT </w:instrText>
            </w:r>
            <w:r w:rsidRPr="003015CD">
              <w:rPr>
                <w:rFonts w:asciiTheme="minorHAnsi" w:hAnsiTheme="minorHAnsi" w:cstheme="minorHAnsi"/>
                <w:sz w:val="20"/>
              </w:rPr>
            </w:r>
            <w:r w:rsidRPr="003015CD">
              <w:rPr>
                <w:rFonts w:asciiTheme="minorHAnsi" w:hAnsiTheme="minorHAnsi" w:cstheme="minorHAnsi"/>
                <w:sz w:val="20"/>
              </w:rPr>
              <w:fldChar w:fldCharType="separate"/>
            </w:r>
            <w:r w:rsidR="001D11FB" w:rsidRPr="003015CD">
              <w:rPr>
                <w:rFonts w:asciiTheme="minorHAnsi" w:hAnsiTheme="minorHAnsi" w:cstheme="minorHAnsi"/>
                <w:sz w:val="20"/>
              </w:rPr>
              <w:t>A9.2</w:t>
            </w:r>
            <w:r w:rsidRPr="003015CD">
              <w:rPr>
                <w:rFonts w:asciiTheme="minorHAnsi" w:hAnsiTheme="minorHAnsi" w:cstheme="minorHAnsi"/>
                <w:sz w:val="20"/>
              </w:rPr>
              <w:fldChar w:fldCharType="end"/>
            </w:r>
            <w:r w:rsidRPr="003015CD">
              <w:rPr>
                <w:rFonts w:asciiTheme="minorHAnsi" w:hAnsiTheme="minorHAnsi" w:cstheme="minorHAnsi"/>
                <w:bCs/>
                <w:sz w:val="20"/>
              </w:rPr>
              <w:t>.</w:t>
            </w:r>
            <w:r w:rsidRPr="003015CD">
              <w:rPr>
                <w:rFonts w:asciiTheme="minorHAnsi" w:hAnsiTheme="minorHAnsi" w:cstheme="minorHAnsi"/>
                <w:sz w:val="20"/>
              </w:rPr>
              <w:t xml:space="preserve"> on evaluation of the undesirable side-effects</w:t>
            </w:r>
          </w:p>
        </w:tc>
      </w:tr>
      <w:tr w:rsidR="00FD03E5" w:rsidRPr="003015CD" w14:paraId="2675E802" w14:textId="77777777">
        <w:trPr>
          <w:jc w:val="center"/>
        </w:trPr>
        <w:tc>
          <w:tcPr>
            <w:tcW w:w="727" w:type="dxa"/>
            <w:shd w:val="clear" w:color="auto" w:fill="DBE5F1" w:themeFill="accent1" w:themeFillTint="33"/>
          </w:tcPr>
          <w:p w14:paraId="18BFD34E"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9</w:t>
            </w:r>
          </w:p>
        </w:tc>
        <w:tc>
          <w:tcPr>
            <w:tcW w:w="2395" w:type="dxa"/>
          </w:tcPr>
          <w:p w14:paraId="121A1EE5"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Usually, for devices without a medical purpose included in Annex XVI.</w:t>
            </w:r>
          </w:p>
        </w:tc>
        <w:tc>
          <w:tcPr>
            <w:tcW w:w="6801" w:type="dxa"/>
          </w:tcPr>
          <w:p w14:paraId="0F1FFC94"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Clinical evaluation of devices without a medical purpose included in Annex XVI shall be based on relevant clinical data concerning safety. </w:t>
            </w:r>
          </w:p>
          <w:p w14:paraId="592974E2" w14:textId="10C44523"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Please see also Commission Implementing Regulation (EU) 2022/2346 and MDCG 2023-6 Guidance on demonstration of equivalence for Annex XVI</w:t>
            </w:r>
            <w:r w:rsidR="007E6D36" w:rsidRPr="003015CD">
              <w:rPr>
                <w:rFonts w:asciiTheme="majorHAnsi" w:hAnsiTheme="majorHAnsi" w:cstheme="majorHAnsi"/>
                <w:sz w:val="20"/>
              </w:rPr>
              <w:t xml:space="preserve"> products</w:t>
            </w:r>
            <w:r w:rsidRPr="003015CD">
              <w:rPr>
                <w:rFonts w:asciiTheme="majorHAnsi" w:hAnsiTheme="majorHAnsi" w:cstheme="majorHAnsi"/>
                <w:sz w:val="20"/>
              </w:rPr>
              <w:t xml:space="preserve">. </w:t>
            </w:r>
          </w:p>
        </w:tc>
      </w:tr>
      <w:tr w:rsidR="00FD03E5" w:rsidRPr="003015CD" w14:paraId="33D6C27F" w14:textId="77777777">
        <w:trPr>
          <w:jc w:val="center"/>
        </w:trPr>
        <w:tc>
          <w:tcPr>
            <w:tcW w:w="9923" w:type="dxa"/>
            <w:gridSpan w:val="3"/>
            <w:shd w:val="clear" w:color="auto" w:fill="DBE5F1" w:themeFill="accent1" w:themeFillTint="33"/>
          </w:tcPr>
          <w:p w14:paraId="14524967" w14:textId="77777777" w:rsidR="00FD03E5" w:rsidRPr="003015CD" w:rsidRDefault="00FD03E5" w:rsidP="00081885">
            <w:pPr>
              <w:spacing w:before="0" w:after="0" w:line="260" w:lineRule="exact"/>
              <w:jc w:val="both"/>
              <w:rPr>
                <w:rFonts w:asciiTheme="majorHAnsi" w:hAnsiTheme="majorHAnsi" w:cstheme="majorHAnsi"/>
                <w:b/>
                <w:sz w:val="18"/>
                <w:szCs w:val="18"/>
              </w:rPr>
            </w:pPr>
            <w:r w:rsidRPr="003015CD">
              <w:rPr>
                <w:rFonts w:asciiTheme="majorHAnsi" w:hAnsiTheme="majorHAnsi" w:cstheme="majorHAnsi"/>
                <w:b/>
                <w:sz w:val="18"/>
                <w:szCs w:val="18"/>
              </w:rPr>
              <w:t>REQUIREMENTS REGARDING DESIGN AND MANUFACTURE</w:t>
            </w:r>
          </w:p>
        </w:tc>
      </w:tr>
      <w:tr w:rsidR="00FD03E5" w:rsidRPr="003015CD" w14:paraId="4B01D443" w14:textId="77777777">
        <w:trPr>
          <w:jc w:val="center"/>
        </w:trPr>
        <w:tc>
          <w:tcPr>
            <w:tcW w:w="727" w:type="dxa"/>
            <w:shd w:val="clear" w:color="auto" w:fill="DBE5F1" w:themeFill="accent1" w:themeFillTint="33"/>
          </w:tcPr>
          <w:p w14:paraId="50F03FF4"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10</w:t>
            </w:r>
          </w:p>
        </w:tc>
        <w:tc>
          <w:tcPr>
            <w:tcW w:w="2395" w:type="dxa"/>
          </w:tcPr>
          <w:p w14:paraId="2BD247DD" w14:textId="77777777" w:rsidR="00FD03E5" w:rsidRPr="003015CD" w:rsidRDefault="00FD03E5" w:rsidP="00081885">
            <w:pPr>
              <w:spacing w:before="0" w:after="0" w:line="260" w:lineRule="exact"/>
              <w:rPr>
                <w:rFonts w:asciiTheme="minorHAnsi" w:hAnsiTheme="minorHAnsi" w:cstheme="minorHAnsi"/>
                <w:b/>
                <w:bCs/>
                <w:sz w:val="20"/>
              </w:rPr>
            </w:pPr>
            <w:r w:rsidRPr="003015CD">
              <w:rPr>
                <w:rFonts w:asciiTheme="minorHAnsi" w:hAnsiTheme="minorHAnsi" w:cstheme="minorHAnsi"/>
                <w:sz w:val="20"/>
              </w:rPr>
              <w:t>Usually</w:t>
            </w:r>
            <w:r w:rsidRPr="003015CD" w:rsidDel="00556609">
              <w:rPr>
                <w:rFonts w:asciiTheme="minorHAnsi" w:hAnsiTheme="minorHAnsi" w:cstheme="minorHAnsi"/>
                <w:sz w:val="20"/>
              </w:rPr>
              <w:t xml:space="preserve"> </w:t>
            </w:r>
          </w:p>
          <w:p w14:paraId="3D1BA30E"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684B2BA5" w14:textId="77777777" w:rsidR="00FD03E5" w:rsidRPr="003015CD" w:rsidRDefault="00FD03E5" w:rsidP="00081885">
            <w:pPr>
              <w:spacing w:before="0" w:after="0" w:line="260" w:lineRule="exact"/>
              <w:jc w:val="both"/>
              <w:rPr>
                <w:rFonts w:asciiTheme="majorHAnsi" w:hAnsiTheme="majorHAnsi" w:cstheme="majorHAnsi"/>
                <w:sz w:val="20"/>
                <w:u w:val="single"/>
              </w:rPr>
            </w:pPr>
            <w:r w:rsidRPr="003015CD">
              <w:rPr>
                <w:rFonts w:asciiTheme="majorHAnsi" w:hAnsiTheme="majorHAnsi" w:cstheme="majorHAnsi"/>
                <w:sz w:val="19"/>
                <w:szCs w:val="19"/>
                <w:u w:val="single"/>
              </w:rPr>
              <w:t>Chemical, physical and biological properties</w:t>
            </w:r>
          </w:p>
          <w:p w14:paraId="26D657CC"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Special attention should be given to the need to confirm compliance where the human biological response cannot be fully predicted based on </w:t>
            </w:r>
            <w:r w:rsidRPr="003015CD">
              <w:rPr>
                <w:rFonts w:asciiTheme="majorHAnsi" w:hAnsiTheme="majorHAnsi" w:cstheme="majorHAnsi"/>
                <w:i/>
                <w:sz w:val="20"/>
              </w:rPr>
              <w:t>in vitro</w:t>
            </w:r>
            <w:r w:rsidRPr="003015CD">
              <w:rPr>
                <w:rFonts w:asciiTheme="majorHAnsi" w:hAnsiTheme="majorHAnsi" w:cstheme="majorHAnsi"/>
                <w:sz w:val="20"/>
              </w:rPr>
              <w:t xml:space="preserve"> or animal tests.</w:t>
            </w:r>
          </w:p>
          <w:p w14:paraId="07F2F472" w14:textId="77777777" w:rsidR="00FD03E5" w:rsidRPr="003015CD" w:rsidRDefault="00FD03E5" w:rsidP="00081885">
            <w:pPr>
              <w:rPr>
                <w:sz w:val="20"/>
              </w:rPr>
            </w:pPr>
            <w:r w:rsidRPr="003015CD">
              <w:rPr>
                <w:sz w:val="20"/>
              </w:rPr>
              <w:t>For example (not exhaustive), clinical data may be needed in the following cases:</w:t>
            </w:r>
          </w:p>
          <w:p w14:paraId="0E9869E5" w14:textId="2B2EA9FF" w:rsidR="00FD03E5" w:rsidRPr="003015CD" w:rsidRDefault="00FD03E5" w:rsidP="00081885">
            <w:pPr>
              <w:numPr>
                <w:ilvl w:val="0"/>
                <w:numId w:val="313"/>
              </w:numPr>
              <w:spacing w:before="0" w:after="120" w:line="260" w:lineRule="exact"/>
              <w:contextualSpacing/>
              <w:jc w:val="both"/>
              <w:rPr>
                <w:rFonts w:asciiTheme="majorHAnsi" w:hAnsiTheme="majorHAnsi" w:cstheme="majorHAnsi"/>
                <w:sz w:val="20"/>
              </w:rPr>
            </w:pPr>
            <w:r w:rsidRPr="003015CD">
              <w:rPr>
                <w:rFonts w:asciiTheme="majorHAnsi" w:hAnsiTheme="majorHAnsi" w:cstheme="majorHAnsi"/>
                <w:sz w:val="20"/>
              </w:rPr>
              <w:t xml:space="preserve">for certain substances, confirmation of functionality and of the absorption, distribution, metabolism and excretion profile may only be possible </w:t>
            </w:r>
            <w:r w:rsidRPr="003015CD" w:rsidDel="00225522">
              <w:rPr>
                <w:rFonts w:asciiTheme="majorHAnsi" w:hAnsiTheme="majorHAnsi" w:cstheme="majorHAnsi"/>
                <w:sz w:val="20"/>
              </w:rPr>
              <w:t xml:space="preserve">through </w:t>
            </w:r>
            <w:r w:rsidRPr="003015CD">
              <w:rPr>
                <w:rFonts w:asciiTheme="majorHAnsi" w:hAnsiTheme="majorHAnsi" w:cstheme="majorHAnsi"/>
                <w:sz w:val="20"/>
              </w:rPr>
              <w:t xml:space="preserve">clinical data. </w:t>
            </w:r>
          </w:p>
          <w:p w14:paraId="08233DAD" w14:textId="4B18BE66"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 xml:space="preserve">for devices incorporating substances classified as carcinogenic, mutagenic or toxic to reproduction (CMR), or substances with endocrine-disrupting properties, clinical data is generally required to confirm the acceptability of the benefit-risk profile. In such cases, non-clinical data alone may be insufficient to adequately predict the human biological response, particularly with regard to long-term effects, cumulative exposure or use in vulnerable populations. Clinical data should support the justification for the continued use of these substances by demonstrating that the identified risks are adequately controlled and outweighed by the clinical benefits under the intended conditions of use. Clinical evaluation should also contribute to confirming that no suitable alternatives </w:t>
            </w:r>
            <w:r w:rsidRPr="003015CD" w:rsidDel="00225522">
              <w:rPr>
                <w:rFonts w:asciiTheme="majorHAnsi" w:hAnsiTheme="majorHAnsi" w:cstheme="majorHAnsi"/>
                <w:sz w:val="20"/>
              </w:rPr>
              <w:t xml:space="preserve">exist </w:t>
            </w:r>
            <w:r w:rsidRPr="003015CD">
              <w:rPr>
                <w:rFonts w:asciiTheme="majorHAnsi" w:hAnsiTheme="majorHAnsi" w:cstheme="majorHAnsi"/>
                <w:sz w:val="20"/>
              </w:rPr>
              <w:t>(including alternative substances, device designs, manufacturing processes or medical treatments) that would achieve equivalent functionality, performance and a more favourable benefit-risk profile. Where applicable, the clinical evaluation should reflect the latest Commission-mandated scientific guidelines relevant to the substances concerned</w:t>
            </w:r>
            <w:r w:rsidRPr="003015CD">
              <w:rPr>
                <w:rFonts w:asciiTheme="majorHAnsi" w:hAnsiTheme="majorHAnsi" w:cstheme="majorHAnsi"/>
                <w:sz w:val="20"/>
                <w:vertAlign w:val="superscript"/>
              </w:rPr>
              <w:footnoteReference w:id="120"/>
            </w:r>
            <w:r w:rsidRPr="003015CD">
              <w:rPr>
                <w:rFonts w:asciiTheme="majorHAnsi" w:hAnsiTheme="majorHAnsi" w:cstheme="majorHAnsi"/>
                <w:sz w:val="20"/>
              </w:rPr>
              <w:t>.</w:t>
            </w:r>
          </w:p>
        </w:tc>
      </w:tr>
      <w:tr w:rsidR="00FD03E5" w:rsidRPr="003015CD" w14:paraId="6087B7E6" w14:textId="77777777">
        <w:trPr>
          <w:jc w:val="center"/>
        </w:trPr>
        <w:tc>
          <w:tcPr>
            <w:tcW w:w="727" w:type="dxa"/>
            <w:shd w:val="clear" w:color="auto" w:fill="DBE5F1" w:themeFill="accent1" w:themeFillTint="33"/>
          </w:tcPr>
          <w:p w14:paraId="2038F3F2"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11</w:t>
            </w:r>
          </w:p>
        </w:tc>
        <w:tc>
          <w:tcPr>
            <w:tcW w:w="2395" w:type="dxa"/>
          </w:tcPr>
          <w:p w14:paraId="43F34A14"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Occasionally</w:t>
            </w:r>
          </w:p>
        </w:tc>
        <w:tc>
          <w:tcPr>
            <w:tcW w:w="6801" w:type="dxa"/>
          </w:tcPr>
          <w:p w14:paraId="676DBFD3" w14:textId="77777777" w:rsidR="00FD03E5" w:rsidRPr="003015CD" w:rsidRDefault="00FD03E5" w:rsidP="00081885">
            <w:pPr>
              <w:spacing w:before="0" w:after="0" w:line="260" w:lineRule="exact"/>
              <w:jc w:val="both"/>
              <w:rPr>
                <w:rFonts w:asciiTheme="majorHAnsi" w:hAnsiTheme="majorHAnsi" w:cstheme="majorHAnsi"/>
                <w:sz w:val="20"/>
                <w:u w:val="single"/>
              </w:rPr>
            </w:pPr>
            <w:r w:rsidRPr="003015CD">
              <w:rPr>
                <w:rFonts w:asciiTheme="majorHAnsi" w:hAnsiTheme="majorHAnsi" w:cstheme="majorHAnsi"/>
                <w:sz w:val="19"/>
                <w:szCs w:val="19"/>
                <w:u w:val="single"/>
              </w:rPr>
              <w:t>Infection and microbial contamination</w:t>
            </w:r>
            <w:r w:rsidRPr="003015CD">
              <w:rPr>
                <w:rFonts w:asciiTheme="majorHAnsi" w:hAnsiTheme="majorHAnsi" w:cstheme="majorHAnsi"/>
                <w:sz w:val="19"/>
                <w:szCs w:val="19"/>
                <w:highlight w:val="yellow"/>
                <w:u w:val="single"/>
              </w:rPr>
              <w:t xml:space="preserve"> </w:t>
            </w:r>
          </w:p>
          <w:p w14:paraId="7864E454" w14:textId="5E4FE566" w:rsidR="00FD03E5" w:rsidRPr="003015CD" w:rsidRDefault="00FD03E5" w:rsidP="00081885">
            <w:pPr>
              <w:spacing w:before="0" w:after="0" w:line="260" w:lineRule="exact"/>
              <w:jc w:val="both"/>
              <w:rPr>
                <w:rFonts w:asciiTheme="majorHAnsi" w:hAnsiTheme="majorHAnsi" w:cstheme="majorHAnsi"/>
              </w:rPr>
            </w:pPr>
            <w:r w:rsidRPr="003015CD">
              <w:rPr>
                <w:rFonts w:asciiTheme="majorHAnsi" w:hAnsiTheme="majorHAnsi" w:cstheme="majorHAnsi"/>
                <w:sz w:val="20"/>
              </w:rPr>
              <w:t xml:space="preserve">While sterility validation, microbiological testing and conformity with relevant standards generally support conformity with GSPR </w:t>
            </w:r>
            <w:r w:rsidRPr="003015CD" w:rsidDel="00D32A85">
              <w:rPr>
                <w:rFonts w:asciiTheme="majorHAnsi" w:hAnsiTheme="majorHAnsi" w:cstheme="majorHAnsi"/>
                <w:sz w:val="20"/>
              </w:rPr>
              <w:t>11</w:t>
            </w:r>
            <w:r w:rsidRPr="003015CD">
              <w:rPr>
                <w:rFonts w:asciiTheme="majorHAnsi" w:hAnsiTheme="majorHAnsi" w:cstheme="majorHAnsi"/>
                <w:sz w:val="20"/>
              </w:rPr>
              <w:t>, clinical data may be relevant and necessary to confirm conformity in real use</w:t>
            </w:r>
            <w:r w:rsidRPr="003015CD" w:rsidDel="0031513B">
              <w:rPr>
                <w:rFonts w:asciiTheme="majorHAnsi" w:hAnsiTheme="majorHAnsi" w:cstheme="majorHAnsi"/>
                <w:sz w:val="20"/>
              </w:rPr>
              <w:t xml:space="preserve">. </w:t>
            </w:r>
            <w:r w:rsidRPr="003015CD">
              <w:rPr>
                <w:rFonts w:asciiTheme="majorHAnsi" w:hAnsiTheme="majorHAnsi" w:cstheme="majorHAnsi"/>
                <w:sz w:val="20"/>
              </w:rPr>
              <w:t>In particular, for long-term invasive devices, reusable devices, or devices used in high-risk patient populations, clinical evidence may be needed to confirm that the device does not lead to infection or microbial contamination beyond what is predicted in non-clinical assessments.</w:t>
            </w:r>
          </w:p>
          <w:p w14:paraId="5198732F" w14:textId="033D871B"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 xml:space="preserve">In the case of reusable devices, aspects related to </w:t>
            </w:r>
            <w:r w:rsidRPr="003015CD" w:rsidDel="00225522">
              <w:rPr>
                <w:rFonts w:asciiTheme="majorHAnsi" w:hAnsiTheme="majorHAnsi" w:cstheme="majorHAnsi"/>
                <w:sz w:val="20"/>
              </w:rPr>
              <w:t xml:space="preserve">reprocessing </w:t>
            </w:r>
            <w:r w:rsidRPr="003015CD">
              <w:rPr>
                <w:rFonts w:asciiTheme="majorHAnsi" w:hAnsiTheme="majorHAnsi" w:cstheme="majorHAnsi"/>
                <w:sz w:val="20"/>
              </w:rPr>
              <w:t xml:space="preserve">(e.g., cleaning, disinfection and sterilization) require particular attention. For example, </w:t>
            </w:r>
            <w:r w:rsidRPr="003015CD" w:rsidDel="00225522">
              <w:rPr>
                <w:rFonts w:asciiTheme="majorHAnsi" w:hAnsiTheme="majorHAnsi" w:cstheme="majorHAnsi"/>
                <w:sz w:val="20"/>
              </w:rPr>
              <w:t xml:space="preserve">where </w:t>
            </w:r>
            <w:r w:rsidRPr="003015CD">
              <w:rPr>
                <w:rFonts w:asciiTheme="majorHAnsi" w:hAnsiTheme="majorHAnsi" w:cstheme="majorHAnsi"/>
                <w:sz w:val="20"/>
              </w:rPr>
              <w:t xml:space="preserve">the maximum number of reuse cycles is determined </w:t>
            </w:r>
            <w:r w:rsidRPr="003015CD" w:rsidDel="00225522">
              <w:rPr>
                <w:rFonts w:asciiTheme="majorHAnsi" w:hAnsiTheme="majorHAnsi" w:cstheme="majorHAnsi"/>
                <w:sz w:val="20"/>
              </w:rPr>
              <w:t xml:space="preserve">using </w:t>
            </w:r>
            <w:r w:rsidRPr="003015CD">
              <w:rPr>
                <w:rFonts w:asciiTheme="majorHAnsi" w:hAnsiTheme="majorHAnsi" w:cstheme="majorHAnsi"/>
                <w:sz w:val="20"/>
              </w:rPr>
              <w:t>simulated conditions, additional clinical data may  be required  to confirm that these limits remain adequate under routine clinical use and to verify that repeated real-world reprocessing does not lead to an increased risk of infection or microbial contamination.</w:t>
            </w:r>
          </w:p>
        </w:tc>
      </w:tr>
      <w:tr w:rsidR="00FD03E5" w:rsidRPr="003015CD" w14:paraId="230990C7" w14:textId="77777777">
        <w:trPr>
          <w:jc w:val="center"/>
        </w:trPr>
        <w:tc>
          <w:tcPr>
            <w:tcW w:w="727" w:type="dxa"/>
            <w:shd w:val="clear" w:color="auto" w:fill="DBE5F1" w:themeFill="accent1" w:themeFillTint="33"/>
          </w:tcPr>
          <w:p w14:paraId="51A6ECFD" w14:textId="77777777" w:rsidR="00FD03E5" w:rsidRPr="003015CD" w:rsidRDefault="00FD03E5" w:rsidP="00081885">
            <w:pPr>
              <w:spacing w:before="0" w:after="0" w:line="260" w:lineRule="exact"/>
              <w:rPr>
                <w:rFonts w:asciiTheme="minorHAnsi" w:hAnsiTheme="minorHAnsi" w:cstheme="minorHAnsi"/>
                <w:sz w:val="20"/>
                <w:highlight w:val="yellow"/>
              </w:rPr>
            </w:pPr>
            <w:r w:rsidRPr="003015CD">
              <w:rPr>
                <w:rFonts w:asciiTheme="minorHAnsi" w:hAnsiTheme="minorHAnsi" w:cstheme="minorHAnsi"/>
                <w:sz w:val="20"/>
              </w:rPr>
              <w:t>12</w:t>
            </w:r>
          </w:p>
        </w:tc>
        <w:tc>
          <w:tcPr>
            <w:tcW w:w="2395" w:type="dxa"/>
          </w:tcPr>
          <w:p w14:paraId="0BDE781C"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Usually</w:t>
            </w:r>
          </w:p>
          <w:p w14:paraId="70B2879C"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0C0969C8" w14:textId="77777777" w:rsidR="00FD03E5" w:rsidRPr="003015CD" w:rsidRDefault="00FD03E5" w:rsidP="00081885">
            <w:pPr>
              <w:spacing w:before="0" w:after="0" w:line="260" w:lineRule="exact"/>
              <w:jc w:val="both"/>
              <w:rPr>
                <w:rFonts w:asciiTheme="majorHAnsi" w:hAnsiTheme="majorHAnsi" w:cstheme="majorHAnsi"/>
                <w:sz w:val="19"/>
                <w:szCs w:val="19"/>
                <w:u w:val="single"/>
              </w:rPr>
            </w:pPr>
            <w:r w:rsidRPr="003015CD">
              <w:rPr>
                <w:rFonts w:asciiTheme="majorHAnsi" w:hAnsiTheme="majorHAnsi" w:cstheme="majorHAnsi"/>
                <w:sz w:val="19"/>
                <w:szCs w:val="19"/>
                <w:u w:val="single"/>
              </w:rPr>
              <w:t>Devices incorporating a substance considered to be a medicinal product and devices that are composed of substances or of combinations of substances that are absorbed by or locally dispersed in the human body.</w:t>
            </w:r>
          </w:p>
          <w:p w14:paraId="0A4DEAAF" w14:textId="77777777" w:rsidR="00FD03E5" w:rsidRPr="003015CD" w:rsidRDefault="00FD03E5" w:rsidP="00081885">
            <w:pPr>
              <w:jc w:val="both"/>
              <w:rPr>
                <w:sz w:val="20"/>
              </w:rPr>
            </w:pPr>
            <w:r w:rsidRPr="003015CD">
              <w:rPr>
                <w:sz w:val="20"/>
              </w:rPr>
              <w:t>For devices incorporating a substance considered to be a medicinal product, clinical data may be required to confirm the safety and usefulness of a medicinal product as a part of the device, in addition to clinical data on the device under evaluation to confirm its safety and performance.</w:t>
            </w:r>
          </w:p>
          <w:p w14:paraId="6A30FB30" w14:textId="77777777" w:rsidR="00FD03E5" w:rsidRPr="003015CD" w:rsidRDefault="00FD03E5" w:rsidP="00081885">
            <w:pPr>
              <w:jc w:val="both"/>
              <w:rPr>
                <w:sz w:val="20"/>
              </w:rPr>
            </w:pPr>
            <w:r w:rsidRPr="003015CD">
              <w:rPr>
                <w:sz w:val="20"/>
              </w:rPr>
              <w:t>For devices</w:t>
            </w:r>
            <w:r w:rsidRPr="003015CD">
              <w:rPr>
                <w:rFonts w:asciiTheme="majorHAnsi" w:hAnsiTheme="majorHAnsi" w:cstheme="majorHAnsi"/>
                <w:sz w:val="20"/>
              </w:rPr>
              <w:t xml:space="preserve"> composed of substances or combinations of substances that are absorbed by or locally dispersed in the human body</w:t>
            </w:r>
            <w:r w:rsidRPr="003015CD">
              <w:rPr>
                <w:sz w:val="20"/>
              </w:rPr>
              <w:t>, where non-clinical data are insufficient to fully characterise human exposure, clinical data on absorption, distribution, metabolism and excretion, toxicity, interactions and local tolerance, would be needed, as applicable.</w:t>
            </w:r>
          </w:p>
          <w:p w14:paraId="5460DCF5" w14:textId="75DD9A83" w:rsidR="00FD03E5" w:rsidRPr="003015CD" w:rsidRDefault="00FD03E5" w:rsidP="00081885">
            <w:pPr>
              <w:spacing w:before="0" w:after="120" w:line="260" w:lineRule="exact"/>
              <w:jc w:val="both"/>
              <w:rPr>
                <w:rFonts w:asciiTheme="majorHAnsi" w:hAnsiTheme="majorHAnsi" w:cstheme="majorHAnsi"/>
                <w:sz w:val="20"/>
                <w:highlight w:val="yellow"/>
              </w:rPr>
            </w:pPr>
            <w:r w:rsidRPr="003015CD">
              <w:rPr>
                <w:rFonts w:asciiTheme="majorHAnsi" w:hAnsiTheme="majorHAnsi" w:cstheme="majorHAnsi"/>
                <w:sz w:val="20"/>
              </w:rPr>
              <w:t>Clinical evaluation should reflect the applicable requirements of Directive 2001/83/EC and take into account relevant scientific guidelines issued by the European Medicines Agency, with any deviations appropriately justified</w:t>
            </w:r>
            <w:r w:rsidRPr="003015CD">
              <w:rPr>
                <w:rFonts w:asciiTheme="majorHAnsi" w:hAnsiTheme="majorHAnsi" w:cstheme="majorHAnsi"/>
                <w:sz w:val="20"/>
                <w:vertAlign w:val="superscript"/>
              </w:rPr>
              <w:footnoteReference w:id="121"/>
            </w:r>
            <w:r w:rsidRPr="003015CD">
              <w:rPr>
                <w:rFonts w:asciiTheme="majorHAnsi" w:hAnsiTheme="majorHAnsi" w:cstheme="majorHAnsi"/>
                <w:sz w:val="20"/>
              </w:rPr>
              <w:t>.</w:t>
            </w:r>
          </w:p>
        </w:tc>
      </w:tr>
      <w:tr w:rsidR="00FD03E5" w:rsidRPr="003015CD" w14:paraId="3C1488DF" w14:textId="77777777">
        <w:trPr>
          <w:jc w:val="center"/>
        </w:trPr>
        <w:tc>
          <w:tcPr>
            <w:tcW w:w="727" w:type="dxa"/>
            <w:shd w:val="clear" w:color="auto" w:fill="DBE5F1" w:themeFill="accent1" w:themeFillTint="33"/>
          </w:tcPr>
          <w:p w14:paraId="4103D9BD"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13</w:t>
            </w:r>
          </w:p>
        </w:tc>
        <w:tc>
          <w:tcPr>
            <w:tcW w:w="2395" w:type="dxa"/>
          </w:tcPr>
          <w:p w14:paraId="4BC51162" w14:textId="092B9636" w:rsidR="00FD03E5" w:rsidRPr="003015CD" w:rsidRDefault="001538B2"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Occasionally</w:t>
            </w:r>
          </w:p>
          <w:p w14:paraId="6238C1C1"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366DEB32" w14:textId="77777777" w:rsidR="00FD03E5" w:rsidRPr="003015CD" w:rsidRDefault="00FD03E5" w:rsidP="00081885">
            <w:pPr>
              <w:spacing w:line="260" w:lineRule="exact"/>
              <w:jc w:val="both"/>
              <w:rPr>
                <w:rFonts w:asciiTheme="majorHAnsi" w:hAnsiTheme="majorHAnsi" w:cstheme="majorHAnsi"/>
                <w:sz w:val="19"/>
                <w:szCs w:val="19"/>
                <w:u w:val="single"/>
              </w:rPr>
            </w:pPr>
            <w:r w:rsidRPr="003015CD">
              <w:rPr>
                <w:rFonts w:asciiTheme="majorHAnsi" w:hAnsiTheme="majorHAnsi" w:cstheme="majorHAnsi"/>
                <w:sz w:val="19"/>
                <w:szCs w:val="19"/>
                <w:u w:val="single"/>
              </w:rPr>
              <w:t>Devices incorporating materials of biological origin</w:t>
            </w:r>
          </w:p>
          <w:p w14:paraId="458B009B" w14:textId="77777777" w:rsidR="00FD03E5" w:rsidRPr="003015CD" w:rsidRDefault="00FD03E5" w:rsidP="00081885">
            <w:pPr>
              <w:spacing w:after="120" w:line="260" w:lineRule="exact"/>
              <w:jc w:val="both"/>
              <w:rPr>
                <w:rFonts w:asciiTheme="majorHAnsi" w:hAnsiTheme="majorHAnsi" w:cstheme="majorHAnsi"/>
                <w:sz w:val="20"/>
              </w:rPr>
            </w:pPr>
            <w:r w:rsidRPr="003015CD">
              <w:rPr>
                <w:rFonts w:asciiTheme="majorHAnsi" w:hAnsiTheme="majorHAnsi" w:cstheme="majorHAnsi"/>
                <w:sz w:val="20"/>
              </w:rPr>
              <w:t xml:space="preserve">For devices incorporating materials of biological origin, including non-viable tissues or cells of human or animal origin or other non-viable biological substances, compliance with GSPR 13 is primarily supported by non-clinical data addressing the safety of the materials, including validated methods for the elimination or inactivation of transmissible agents. </w:t>
            </w:r>
          </w:p>
          <w:p w14:paraId="00A30311" w14:textId="77777777" w:rsidR="00FD03E5" w:rsidRPr="003015CD" w:rsidRDefault="00FD03E5" w:rsidP="00081885">
            <w:pPr>
              <w:spacing w:line="260" w:lineRule="exact"/>
              <w:jc w:val="both"/>
              <w:rPr>
                <w:rFonts w:asciiTheme="majorHAnsi" w:hAnsiTheme="majorHAnsi" w:cstheme="majorHAnsi"/>
                <w:sz w:val="20"/>
              </w:rPr>
            </w:pPr>
            <w:r w:rsidRPr="003015CD">
              <w:rPr>
                <w:rFonts w:asciiTheme="majorHAnsi" w:hAnsiTheme="majorHAnsi" w:cstheme="majorHAnsi"/>
                <w:sz w:val="20"/>
              </w:rPr>
              <w:t xml:space="preserve">Requirements set out in Directive 2004/23/EC and Directive 2002/98/EC, or in Regulation (EU) 722/2012, as applicable, should be addressed, as applicable. </w:t>
            </w:r>
          </w:p>
          <w:p w14:paraId="08B964F7" w14:textId="3EFB2B88" w:rsidR="00FD03E5" w:rsidRPr="003015CD" w:rsidRDefault="00FD03E5" w:rsidP="00081885">
            <w:pPr>
              <w:spacing w:after="120" w:line="260" w:lineRule="exact"/>
              <w:jc w:val="both"/>
              <w:rPr>
                <w:rFonts w:asciiTheme="majorHAnsi" w:hAnsiTheme="majorHAnsi" w:cstheme="majorHAnsi"/>
                <w:sz w:val="20"/>
              </w:rPr>
            </w:pPr>
            <w:r w:rsidRPr="003015CD">
              <w:rPr>
                <w:rFonts w:asciiTheme="majorHAnsi" w:hAnsiTheme="majorHAnsi" w:cstheme="majorHAnsi"/>
                <w:sz w:val="20"/>
              </w:rPr>
              <w:t>However, clinical data may be required where residual risks remain or where non-clinical data alone are insufficient to confirm the acceptability of the overall benefit-risk profile.</w:t>
            </w:r>
          </w:p>
          <w:p w14:paraId="4B631DA4" w14:textId="77777777" w:rsidR="00FD03E5" w:rsidRPr="003015CD" w:rsidRDefault="00FD03E5" w:rsidP="00081885">
            <w:pPr>
              <w:spacing w:after="120" w:line="260" w:lineRule="exact"/>
              <w:jc w:val="both"/>
              <w:rPr>
                <w:rFonts w:asciiTheme="majorHAnsi" w:hAnsiTheme="majorHAnsi" w:cstheme="majorHAnsi"/>
                <w:color w:val="333333"/>
                <w:sz w:val="20"/>
                <w:shd w:val="clear" w:color="auto" w:fill="FFFFFF"/>
              </w:rPr>
            </w:pPr>
            <w:r w:rsidRPr="003015CD">
              <w:rPr>
                <w:rFonts w:asciiTheme="majorHAnsi" w:hAnsiTheme="majorHAnsi" w:cstheme="majorHAnsi"/>
                <w:color w:val="333333"/>
                <w:sz w:val="20"/>
                <w:shd w:val="clear" w:color="auto" w:fill="FFFFFF"/>
              </w:rPr>
              <w:t xml:space="preserve">For example, clinical data may be required in the following cases. </w:t>
            </w:r>
          </w:p>
          <w:p w14:paraId="3474ED9D" w14:textId="0A487132" w:rsidR="00FD03E5" w:rsidRPr="003015CD" w:rsidRDefault="00FD03E5" w:rsidP="00081885">
            <w:pPr>
              <w:numPr>
                <w:ilvl w:val="0"/>
                <w:numId w:val="312"/>
              </w:numPr>
              <w:spacing w:after="120" w:line="260" w:lineRule="exact"/>
              <w:contextualSpacing/>
              <w:jc w:val="both"/>
              <w:rPr>
                <w:rFonts w:asciiTheme="majorHAnsi" w:hAnsiTheme="majorHAnsi" w:cstheme="majorHAnsi"/>
                <w:sz w:val="20"/>
              </w:rPr>
            </w:pPr>
            <w:r w:rsidRPr="003015CD">
              <w:rPr>
                <w:rFonts w:asciiTheme="majorHAnsi" w:hAnsiTheme="majorHAnsi" w:cstheme="majorHAnsi"/>
                <w:color w:val="333333"/>
                <w:sz w:val="20"/>
                <w:shd w:val="clear" w:color="auto" w:fill="FFFFFF"/>
              </w:rPr>
              <w:t xml:space="preserve">For devices manufactured utilising derivatives of tissues or cells of human origin which are non-viable or are rendered non-viable, in accordance with Directive 2004/23/EC any serious adverse reaction observed during or after clinical application that may be linked to the quality or safety of tissues or cells, where </w:t>
            </w:r>
            <w:r w:rsidRPr="003015CD" w:rsidDel="00225522">
              <w:rPr>
                <w:rFonts w:asciiTheme="majorHAnsi" w:hAnsiTheme="majorHAnsi" w:cstheme="majorHAnsi"/>
                <w:color w:val="333333"/>
                <w:sz w:val="20"/>
                <w:shd w:val="clear" w:color="auto" w:fill="FFFFFF"/>
              </w:rPr>
              <w:t xml:space="preserve">identified, </w:t>
            </w:r>
            <w:r w:rsidRPr="003015CD">
              <w:rPr>
                <w:rFonts w:asciiTheme="majorHAnsi" w:hAnsiTheme="majorHAnsi" w:cstheme="majorHAnsi"/>
                <w:color w:val="333333"/>
                <w:sz w:val="20"/>
                <w:shd w:val="clear" w:color="auto" w:fill="FFFFFF"/>
              </w:rPr>
              <w:t>shall be taken into account in the clinical evaluation.</w:t>
            </w:r>
          </w:p>
          <w:p w14:paraId="04CC77B5" w14:textId="77777777" w:rsidR="00FD03E5" w:rsidRPr="003015CD" w:rsidRDefault="00FD03E5" w:rsidP="00081885">
            <w:pPr>
              <w:spacing w:after="120" w:line="260" w:lineRule="exact"/>
              <w:ind w:left="720"/>
              <w:contextualSpacing/>
              <w:jc w:val="both"/>
              <w:rPr>
                <w:rFonts w:asciiTheme="majorHAnsi" w:hAnsiTheme="majorHAnsi" w:cstheme="majorHAnsi"/>
                <w:color w:val="333333"/>
                <w:sz w:val="20"/>
                <w:shd w:val="clear" w:color="auto" w:fill="FFFFFF"/>
              </w:rPr>
            </w:pPr>
          </w:p>
          <w:p w14:paraId="3318FBCC" w14:textId="77777777" w:rsidR="00FD03E5" w:rsidRPr="003015CD" w:rsidRDefault="00FD03E5" w:rsidP="00081885">
            <w:pPr>
              <w:numPr>
                <w:ilvl w:val="0"/>
                <w:numId w:val="312"/>
              </w:numPr>
              <w:spacing w:after="120" w:line="260" w:lineRule="exact"/>
              <w:contextualSpacing/>
              <w:jc w:val="both"/>
              <w:rPr>
                <w:rFonts w:asciiTheme="majorHAnsi" w:hAnsiTheme="majorHAnsi" w:cstheme="majorHAnsi"/>
                <w:color w:val="333333"/>
                <w:sz w:val="20"/>
                <w:shd w:val="clear" w:color="auto" w:fill="FFFFFF"/>
              </w:rPr>
            </w:pPr>
            <w:r w:rsidRPr="003015CD">
              <w:rPr>
                <w:rFonts w:asciiTheme="majorHAnsi" w:hAnsiTheme="majorHAnsi" w:cstheme="majorHAnsi"/>
                <w:color w:val="333333"/>
                <w:sz w:val="20"/>
                <w:shd w:val="clear" w:color="auto" w:fill="FFFFFF"/>
              </w:rPr>
              <w:t>For devices manufactured using non-viable animal tissues or derivatives rendered non-viable</w:t>
            </w:r>
            <w:r w:rsidRPr="003015CD">
              <w:rPr>
                <w:sz w:val="19"/>
                <w:szCs w:val="19"/>
              </w:rPr>
              <w:t xml:space="preserve"> referred to in </w:t>
            </w:r>
            <w:r w:rsidRPr="003015CD">
              <w:rPr>
                <w:rFonts w:asciiTheme="majorHAnsi" w:hAnsiTheme="majorHAnsi" w:cstheme="majorHAnsi"/>
                <w:color w:val="333333"/>
                <w:sz w:val="20"/>
                <w:shd w:val="clear" w:color="auto" w:fill="FFFFFF"/>
              </w:rPr>
              <w:t>Regulation (EU) No 722/201, manufacturer must justify, the decision to use such materials, including a rationale for the acceptability of the overall transmissible spongiform encephalopathy (TSE) risk estimate. This justification should take into account the expected clinical benefit, potential residual risk and suitable alternatives, such as lower risk tissues or synthetic alternatives. Clinical data may be necessary to support the confirmation of the expected clinical benefit.</w:t>
            </w:r>
          </w:p>
          <w:p w14:paraId="60809EEB" w14:textId="77777777" w:rsidR="00FD03E5" w:rsidRPr="003015CD" w:rsidRDefault="00FD03E5" w:rsidP="00081885">
            <w:pPr>
              <w:spacing w:after="120" w:line="260" w:lineRule="exact"/>
              <w:ind w:left="720"/>
              <w:contextualSpacing/>
              <w:jc w:val="both"/>
              <w:rPr>
                <w:rFonts w:asciiTheme="majorHAnsi" w:hAnsiTheme="majorHAnsi" w:cstheme="majorHAnsi"/>
                <w:color w:val="333333"/>
                <w:sz w:val="20"/>
                <w:shd w:val="clear" w:color="auto" w:fill="FFFFFF"/>
              </w:rPr>
            </w:pPr>
          </w:p>
          <w:p w14:paraId="415D8718" w14:textId="77777777" w:rsidR="00FD03E5" w:rsidRPr="003015CD" w:rsidRDefault="00FD03E5" w:rsidP="00081885">
            <w:pPr>
              <w:numPr>
                <w:ilvl w:val="0"/>
                <w:numId w:val="312"/>
              </w:numPr>
              <w:spacing w:after="120" w:line="260" w:lineRule="exact"/>
              <w:contextualSpacing/>
              <w:jc w:val="both"/>
              <w:rPr>
                <w:rFonts w:asciiTheme="majorHAnsi" w:hAnsiTheme="majorHAnsi" w:cstheme="majorHAnsi"/>
                <w:color w:val="333333"/>
                <w:sz w:val="20"/>
                <w:shd w:val="clear" w:color="auto" w:fill="FFFFFF"/>
              </w:rPr>
            </w:pPr>
            <w:r w:rsidRPr="003015CD">
              <w:rPr>
                <w:rFonts w:asciiTheme="majorHAnsi" w:hAnsiTheme="majorHAnsi" w:cstheme="majorHAnsi"/>
                <w:color w:val="333333"/>
                <w:sz w:val="20"/>
                <w:shd w:val="clear" w:color="auto" w:fill="FFFFFF"/>
              </w:rPr>
              <w:t xml:space="preserve">For all devices incorporating tissue of biological origin, </w:t>
            </w:r>
            <w:r w:rsidRPr="003015CD">
              <w:rPr>
                <w:rFonts w:asciiTheme="majorHAnsi" w:hAnsiTheme="majorHAnsi" w:cstheme="majorHAnsi"/>
                <w:sz w:val="20"/>
              </w:rPr>
              <w:t>where the implementation of elimination or inactivation methods may lead to degradation of the material that may compromise the clinical benefit, performance or functionality of the device, clinical data are expected to support the assessment of the clinical impact of such degradation. Clinical evaluation should address whether the resulting residual risks are acceptable in view of the intended purpose and the expected clinical benefits.</w:t>
            </w:r>
          </w:p>
        </w:tc>
      </w:tr>
      <w:tr w:rsidR="00FD03E5" w:rsidRPr="003015CD" w14:paraId="5584519B" w14:textId="77777777">
        <w:trPr>
          <w:jc w:val="center"/>
        </w:trPr>
        <w:tc>
          <w:tcPr>
            <w:tcW w:w="727" w:type="dxa"/>
            <w:shd w:val="clear" w:color="auto" w:fill="DBE5F1" w:themeFill="accent1" w:themeFillTint="33"/>
          </w:tcPr>
          <w:p w14:paraId="7AD3B517"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14 - 16</w:t>
            </w:r>
          </w:p>
        </w:tc>
        <w:tc>
          <w:tcPr>
            <w:tcW w:w="2395" w:type="dxa"/>
          </w:tcPr>
          <w:p w14:paraId="26D72AA5"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Occasionally</w:t>
            </w:r>
          </w:p>
        </w:tc>
        <w:tc>
          <w:tcPr>
            <w:tcW w:w="6801" w:type="dxa"/>
          </w:tcPr>
          <w:p w14:paraId="278BB603" w14:textId="77777777" w:rsidR="00FD03E5" w:rsidRPr="003015CD" w:rsidRDefault="00FD03E5" w:rsidP="00081885">
            <w:pPr>
              <w:spacing w:before="0" w:after="0" w:line="260" w:lineRule="exact"/>
              <w:jc w:val="both"/>
              <w:rPr>
                <w:sz w:val="19"/>
                <w:szCs w:val="19"/>
                <w:u w:val="single"/>
              </w:rPr>
            </w:pPr>
            <w:r w:rsidRPr="003015CD">
              <w:rPr>
                <w:sz w:val="19"/>
                <w:szCs w:val="19"/>
                <w:u w:val="single"/>
              </w:rPr>
              <w:t>Construction of devices and interaction with their environment</w:t>
            </w:r>
          </w:p>
          <w:p w14:paraId="630CAD43"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When the device is used in combination with other devices or equipment, the whole combination, including the connection system, shall not impair the specified performance of devices nor cause negative/unfavourable medical manifestations due to negative interactions, unwanted reciprocal interference or complex interoperability during combined use. For example, for devices used in complex hospital settings, or in home environments where conditions are less controlled, clinical evidence may be necessary to confirm that device construction does not lead to unexpected safety or performance issues.</w:t>
            </w:r>
          </w:p>
          <w:p w14:paraId="785FD288" w14:textId="77777777" w:rsidR="00FD03E5" w:rsidRPr="003015CD" w:rsidRDefault="00FD03E5" w:rsidP="00081885">
            <w:pPr>
              <w:spacing w:before="0" w:after="0" w:line="260" w:lineRule="exact"/>
              <w:jc w:val="both"/>
              <w:rPr>
                <w:b/>
                <w:sz w:val="19"/>
                <w:szCs w:val="19"/>
                <w:u w:val="single"/>
              </w:rPr>
            </w:pPr>
          </w:p>
          <w:p w14:paraId="0F1C9A87" w14:textId="77777777" w:rsidR="00FD03E5" w:rsidRPr="003015CD" w:rsidRDefault="00FD03E5" w:rsidP="00081885">
            <w:pPr>
              <w:spacing w:before="0" w:after="0" w:line="260" w:lineRule="exact"/>
              <w:jc w:val="both"/>
              <w:rPr>
                <w:sz w:val="19"/>
                <w:szCs w:val="19"/>
                <w:u w:val="single"/>
              </w:rPr>
            </w:pPr>
            <w:r w:rsidRPr="003015CD">
              <w:rPr>
                <w:sz w:val="19"/>
                <w:szCs w:val="19"/>
                <w:u w:val="single"/>
              </w:rPr>
              <w:t>Devices with a diagnostic or measuring function</w:t>
            </w:r>
          </w:p>
          <w:p w14:paraId="5760EEE7" w14:textId="0D82ED62"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For these devices</w:t>
            </w:r>
            <w:r w:rsidR="0096039B" w:rsidRPr="003015CD">
              <w:rPr>
                <w:rFonts w:asciiTheme="majorHAnsi" w:hAnsiTheme="majorHAnsi" w:cstheme="majorHAnsi"/>
                <w:sz w:val="20"/>
              </w:rPr>
              <w:t>,</w:t>
            </w:r>
            <w:r w:rsidRPr="003015CD">
              <w:rPr>
                <w:rFonts w:asciiTheme="majorHAnsi" w:hAnsiTheme="majorHAnsi" w:cstheme="majorHAnsi"/>
                <w:sz w:val="20"/>
              </w:rPr>
              <w:t xml:space="preserve"> clinical </w:t>
            </w:r>
            <w:r w:rsidR="0096039B" w:rsidRPr="003015CD">
              <w:rPr>
                <w:rFonts w:asciiTheme="majorHAnsi" w:hAnsiTheme="majorHAnsi" w:cstheme="majorHAnsi"/>
                <w:sz w:val="20"/>
              </w:rPr>
              <w:t>data</w:t>
            </w:r>
            <w:r w:rsidRPr="003015CD">
              <w:rPr>
                <w:rFonts w:asciiTheme="majorHAnsi" w:hAnsiTheme="majorHAnsi" w:cstheme="majorHAnsi"/>
                <w:sz w:val="20"/>
              </w:rPr>
              <w:t xml:space="preserve"> may be needed to confirm accuracy and reproducibility when used as intended.</w:t>
            </w:r>
          </w:p>
          <w:p w14:paraId="3CBA0729"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The following list gives examples of performance aspects that may be relevant to diagnostic devices and that, where relevant, may require supportive clinical data: </w:t>
            </w:r>
          </w:p>
          <w:p w14:paraId="47B1714F" w14:textId="77777777" w:rsidR="00FD03E5" w:rsidRPr="003015CD" w:rsidRDefault="00FD03E5" w:rsidP="00081885">
            <w:pPr>
              <w:spacing w:before="0" w:after="0" w:line="260" w:lineRule="exact"/>
              <w:ind w:left="315"/>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reproducibility of independent acquisition of images (same patient, same machine, different user);</w:t>
            </w:r>
          </w:p>
          <w:p w14:paraId="7D54AD20" w14:textId="77777777" w:rsidR="00FD03E5" w:rsidRPr="003015CD" w:rsidRDefault="00FD03E5" w:rsidP="00081885">
            <w:pPr>
              <w:spacing w:before="0" w:after="0" w:line="260" w:lineRule="exact"/>
              <w:ind w:left="315"/>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reproducibility of independent reporting of images (same patient, same machine, same images, different user);</w:t>
            </w:r>
          </w:p>
          <w:p w14:paraId="3482A521" w14:textId="77777777" w:rsidR="00FD03E5" w:rsidRPr="003015CD" w:rsidRDefault="00FD03E5" w:rsidP="00081885">
            <w:pPr>
              <w:spacing w:before="0" w:after="0" w:line="260" w:lineRule="exact"/>
              <w:ind w:left="315"/>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 xml:space="preserve">diagnostic sensitivity and specificity of the test for major indications; positive and negative predictive values of the test; </w:t>
            </w:r>
          </w:p>
          <w:p w14:paraId="1305AA40" w14:textId="77777777" w:rsidR="00FD03E5" w:rsidRPr="003015CD" w:rsidRDefault="00FD03E5" w:rsidP="00081885">
            <w:pPr>
              <w:spacing w:before="0" w:after="0" w:line="260" w:lineRule="exact"/>
              <w:ind w:left="315"/>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comparisons of performance of new iterations of diagnostic software against previous software versions;</w:t>
            </w:r>
          </w:p>
          <w:p w14:paraId="5B6102C2" w14:textId="77777777" w:rsidR="00FD03E5" w:rsidRPr="003015CD" w:rsidRDefault="00FD03E5" w:rsidP="00081885">
            <w:pPr>
              <w:spacing w:before="0" w:after="120" w:line="260" w:lineRule="exact"/>
              <w:ind w:left="318"/>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normal values by age and gender, reflecting the groups in which the diagnostic system may be used.</w:t>
            </w:r>
          </w:p>
          <w:p w14:paraId="33B3BE72" w14:textId="7C933796"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A similar approach may be taken for devices with a measuring function.</w:t>
            </w:r>
          </w:p>
          <w:p w14:paraId="119DD975" w14:textId="77777777" w:rsidR="00FD03E5" w:rsidRPr="003015CD" w:rsidRDefault="00FD03E5" w:rsidP="00081885">
            <w:pPr>
              <w:spacing w:before="0" w:after="0" w:line="260" w:lineRule="exact"/>
              <w:jc w:val="both"/>
              <w:rPr>
                <w:b/>
                <w:sz w:val="19"/>
                <w:szCs w:val="19"/>
                <w:u w:val="single"/>
              </w:rPr>
            </w:pPr>
          </w:p>
          <w:p w14:paraId="6FAC2043" w14:textId="77777777" w:rsidR="00FD03E5" w:rsidRPr="003015CD" w:rsidRDefault="00FD03E5" w:rsidP="00081885">
            <w:pPr>
              <w:spacing w:before="0" w:after="0" w:line="260" w:lineRule="exact"/>
              <w:jc w:val="both"/>
              <w:rPr>
                <w:sz w:val="19"/>
                <w:szCs w:val="19"/>
                <w:u w:val="single"/>
              </w:rPr>
            </w:pPr>
            <w:r w:rsidRPr="003015CD">
              <w:rPr>
                <w:sz w:val="19"/>
                <w:szCs w:val="19"/>
                <w:u w:val="single"/>
              </w:rPr>
              <w:t>Protection against radiation</w:t>
            </w:r>
          </w:p>
          <w:p w14:paraId="7ED892CA" w14:textId="77777777"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Clinical data may be required where the exposure of patients or users to ionising or non-ionising radiation cannot be fully characterised under non-clinical conditions. For example, for diagnostic imaging or therapeutic devices, clinical data may be necessary to confirm that radiation levels remain within recommended safe limits during clinical use, including repeated or long-term exposure.</w:t>
            </w:r>
          </w:p>
        </w:tc>
      </w:tr>
      <w:tr w:rsidR="00FD03E5" w:rsidRPr="003015CD" w14:paraId="2B5DBCFA" w14:textId="77777777">
        <w:trPr>
          <w:jc w:val="center"/>
        </w:trPr>
        <w:tc>
          <w:tcPr>
            <w:tcW w:w="727" w:type="dxa"/>
            <w:shd w:val="clear" w:color="auto" w:fill="DBE5F1" w:themeFill="accent1" w:themeFillTint="33"/>
          </w:tcPr>
          <w:p w14:paraId="503B9BD2"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17-18</w:t>
            </w:r>
          </w:p>
        </w:tc>
        <w:tc>
          <w:tcPr>
            <w:tcW w:w="2395" w:type="dxa"/>
          </w:tcPr>
          <w:p w14:paraId="19D5B270" w14:textId="77777777" w:rsidR="00FD03E5" w:rsidRPr="003015CD" w:rsidRDefault="00FD03E5" w:rsidP="00081885">
            <w:pPr>
              <w:spacing w:before="0" w:after="0" w:line="260" w:lineRule="exact"/>
              <w:rPr>
                <w:rFonts w:asciiTheme="minorHAnsi" w:hAnsiTheme="minorHAnsi" w:cstheme="minorHAnsi"/>
                <w:b/>
                <w:bCs/>
                <w:sz w:val="20"/>
              </w:rPr>
            </w:pPr>
            <w:r w:rsidRPr="003015CD">
              <w:rPr>
                <w:rFonts w:asciiTheme="minorHAnsi" w:hAnsiTheme="minorHAnsi" w:cstheme="minorHAnsi"/>
                <w:sz w:val="20"/>
              </w:rPr>
              <w:t>Usually</w:t>
            </w:r>
            <w:r w:rsidRPr="003015CD" w:rsidDel="00556609">
              <w:rPr>
                <w:rFonts w:asciiTheme="minorHAnsi" w:hAnsiTheme="minorHAnsi" w:cstheme="minorHAnsi"/>
                <w:sz w:val="20"/>
              </w:rPr>
              <w:t xml:space="preserve"> </w:t>
            </w:r>
          </w:p>
          <w:p w14:paraId="362B42C9"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114A8816" w14:textId="77777777" w:rsidR="00FD03E5" w:rsidRPr="003015CD" w:rsidRDefault="00FD03E5" w:rsidP="00081885">
            <w:pPr>
              <w:spacing w:before="0" w:after="0" w:line="260" w:lineRule="exact"/>
              <w:jc w:val="both"/>
              <w:rPr>
                <w:rFonts w:asciiTheme="majorHAnsi" w:hAnsiTheme="majorHAnsi" w:cstheme="majorHAnsi"/>
                <w:sz w:val="20"/>
                <w:u w:val="single"/>
              </w:rPr>
            </w:pPr>
            <w:r w:rsidRPr="003015CD">
              <w:rPr>
                <w:rFonts w:asciiTheme="majorHAnsi" w:hAnsiTheme="majorHAnsi" w:cstheme="majorHAnsi"/>
                <w:sz w:val="20"/>
                <w:u w:val="single"/>
              </w:rPr>
              <w:t>Electronic programmable systems/Active devices and devices connected to them</w:t>
            </w:r>
          </w:p>
          <w:p w14:paraId="735377E0" w14:textId="61EDD178"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For medical devices incorporating electronic programmable systems, including software and software that are medical devices in themselves, clinical data may be required where uncertainty remains regarding the potential impact of software </w:t>
            </w:r>
            <w:r w:rsidR="00FF4349" w:rsidRPr="003015CD">
              <w:rPr>
                <w:rFonts w:asciiTheme="majorHAnsi" w:hAnsiTheme="majorHAnsi" w:cstheme="majorHAnsi"/>
                <w:sz w:val="20"/>
              </w:rPr>
              <w:t>behaviour</w:t>
            </w:r>
            <w:r w:rsidRPr="003015CD">
              <w:rPr>
                <w:rFonts w:asciiTheme="majorHAnsi" w:hAnsiTheme="majorHAnsi" w:cstheme="majorHAnsi"/>
                <w:sz w:val="20"/>
              </w:rPr>
              <w:t xml:space="preserve">, user interaction or cybersecurity risk control </w:t>
            </w:r>
            <w:r w:rsidRPr="003015CD" w:rsidDel="00225522">
              <w:rPr>
                <w:rFonts w:asciiTheme="majorHAnsi" w:hAnsiTheme="majorHAnsi" w:cstheme="majorHAnsi"/>
                <w:sz w:val="20"/>
              </w:rPr>
              <w:t xml:space="preserve">measures </w:t>
            </w:r>
            <w:r w:rsidRPr="003015CD">
              <w:rPr>
                <w:rFonts w:asciiTheme="majorHAnsi" w:hAnsiTheme="majorHAnsi" w:cstheme="majorHAnsi"/>
                <w:sz w:val="20"/>
              </w:rPr>
              <w:t>or other issues may have on patient safety or clinical performance in clinical use. This is particularly relevant where the system directly supports or drives therapeutic or diagnostic decisions. Where such risks cannot be fully assessed through bench testing alone, clinical data may be necessary to confirm safety and performance when used as intended.</w:t>
            </w:r>
          </w:p>
          <w:p w14:paraId="642ABBF1" w14:textId="73E9AD60"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 xml:space="preserve">Some examples when clinical data may be required </w:t>
            </w:r>
            <w:r w:rsidRPr="003015CD" w:rsidDel="00225522">
              <w:rPr>
                <w:rFonts w:asciiTheme="majorHAnsi" w:hAnsiTheme="majorHAnsi" w:cstheme="majorHAnsi"/>
                <w:sz w:val="20"/>
              </w:rPr>
              <w:t>include</w:t>
            </w:r>
            <w:r w:rsidRPr="003015CD">
              <w:rPr>
                <w:rFonts w:asciiTheme="majorHAnsi" w:hAnsiTheme="majorHAnsi" w:cstheme="majorHAnsi"/>
                <w:sz w:val="20"/>
              </w:rPr>
              <w:t xml:space="preserve"> (list not exhaustive)</w:t>
            </w:r>
          </w:p>
          <w:p w14:paraId="5678F839" w14:textId="75EF4E50"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when performance has been validated on controlled datasets which cannot reliably predict accuracy across diverse patient populations and when variable</w:t>
            </w:r>
            <w:r w:rsidR="00E819B3" w:rsidRPr="003015CD">
              <w:rPr>
                <w:rFonts w:asciiTheme="majorHAnsi" w:hAnsiTheme="majorHAnsi" w:cstheme="majorHAnsi"/>
                <w:sz w:val="20"/>
              </w:rPr>
              <w:t xml:space="preserve"> inputs</w:t>
            </w:r>
            <w:r w:rsidRPr="003015CD">
              <w:rPr>
                <w:rFonts w:asciiTheme="majorHAnsi" w:hAnsiTheme="majorHAnsi" w:cstheme="majorHAnsi"/>
                <w:sz w:val="20"/>
              </w:rPr>
              <w:t xml:space="preserve"> </w:t>
            </w:r>
            <w:r w:rsidR="00E819B3" w:rsidRPr="003015CD">
              <w:rPr>
                <w:rFonts w:asciiTheme="majorHAnsi" w:hAnsiTheme="majorHAnsi" w:cstheme="majorHAnsi"/>
                <w:sz w:val="20"/>
              </w:rPr>
              <w:t xml:space="preserve">(such as </w:t>
            </w:r>
            <w:r w:rsidRPr="003015CD">
              <w:rPr>
                <w:rFonts w:asciiTheme="majorHAnsi" w:hAnsiTheme="majorHAnsi" w:cstheme="majorHAnsi"/>
                <w:sz w:val="20"/>
              </w:rPr>
              <w:t>image quality</w:t>
            </w:r>
            <w:r w:rsidR="00E819B3" w:rsidRPr="003015CD">
              <w:rPr>
                <w:rFonts w:asciiTheme="majorHAnsi" w:hAnsiTheme="majorHAnsi" w:cstheme="majorHAnsi"/>
                <w:sz w:val="20"/>
              </w:rPr>
              <w:t>)</w:t>
            </w:r>
            <w:r w:rsidRPr="003015CD">
              <w:rPr>
                <w:rFonts w:asciiTheme="majorHAnsi" w:hAnsiTheme="majorHAnsi" w:cstheme="majorHAnsi"/>
                <w:sz w:val="20"/>
              </w:rPr>
              <w:t xml:space="preserve"> may be encountered in clinical use. </w:t>
            </w:r>
          </w:p>
          <w:p w14:paraId="79D77D38" w14:textId="61BA2AF5"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 xml:space="preserve">when bench validation has confirmed correct dosing algorithms, </w:t>
            </w:r>
            <w:r w:rsidRPr="003015CD" w:rsidDel="00225522">
              <w:rPr>
                <w:rFonts w:asciiTheme="majorHAnsi" w:hAnsiTheme="majorHAnsi" w:cstheme="majorHAnsi"/>
                <w:sz w:val="20"/>
              </w:rPr>
              <w:t xml:space="preserve">but </w:t>
            </w:r>
            <w:r w:rsidRPr="003015CD">
              <w:rPr>
                <w:rFonts w:asciiTheme="majorHAnsi" w:hAnsiTheme="majorHAnsi" w:cstheme="majorHAnsi"/>
                <w:sz w:val="20"/>
              </w:rPr>
              <w:t xml:space="preserve">the interaction between the user interface, alarm systems and clinical workflows, needs to be confirmed by clinical data to ensure that it does not result in dosing errors. </w:t>
            </w:r>
          </w:p>
          <w:p w14:paraId="5AEBB75E"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w:t>
            </w:r>
            <w:r w:rsidRPr="003015CD">
              <w:rPr>
                <w:rFonts w:asciiTheme="majorHAnsi" w:hAnsiTheme="majorHAnsi" w:cstheme="majorHAnsi"/>
                <w:sz w:val="20"/>
              </w:rPr>
              <w:tab/>
              <w:t xml:space="preserve"> to confirm that the device output is correctly interpreted and used by the intended users, and that the algorithms perform as intended and meet the intended purpose. </w:t>
            </w:r>
          </w:p>
          <w:p w14:paraId="1FE66BE4" w14:textId="77777777" w:rsidR="00FD03E5" w:rsidRPr="003015CD" w:rsidRDefault="00FD03E5" w:rsidP="00081885">
            <w:pPr>
              <w:spacing w:before="0" w:after="0" w:line="260" w:lineRule="exact"/>
              <w:jc w:val="both"/>
              <w:rPr>
                <w:rFonts w:asciiTheme="majorHAnsi" w:hAnsiTheme="majorHAnsi" w:cstheme="majorHAnsi"/>
                <w:sz w:val="20"/>
              </w:rPr>
            </w:pPr>
          </w:p>
          <w:p w14:paraId="65C5BC07" w14:textId="2661826A"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For further information on clinical data for medical devices software</w:t>
            </w:r>
            <w:r w:rsidR="00EF03FD" w:rsidRPr="003015CD">
              <w:rPr>
                <w:rFonts w:asciiTheme="majorHAnsi" w:hAnsiTheme="majorHAnsi" w:cstheme="majorHAnsi"/>
                <w:sz w:val="20"/>
              </w:rPr>
              <w:t xml:space="preserve"> see Appendix </w:t>
            </w:r>
            <w:r w:rsidR="00EF03FD" w:rsidRPr="003015CD">
              <w:rPr>
                <w:rFonts w:asciiTheme="majorHAnsi" w:hAnsiTheme="majorHAnsi" w:cstheme="majorHAnsi"/>
                <w:sz w:val="20"/>
              </w:rPr>
              <w:fldChar w:fldCharType="begin"/>
            </w:r>
            <w:r w:rsidR="00EF03FD" w:rsidRPr="003015CD">
              <w:rPr>
                <w:rFonts w:asciiTheme="majorHAnsi" w:hAnsiTheme="majorHAnsi" w:cstheme="majorHAnsi"/>
                <w:sz w:val="20"/>
              </w:rPr>
              <w:instrText xml:space="preserve"> REF _Ref233282631 \r \h  \* MERGEFORMAT </w:instrText>
            </w:r>
            <w:r w:rsidR="00EF03FD" w:rsidRPr="003015CD">
              <w:rPr>
                <w:rFonts w:asciiTheme="majorHAnsi" w:hAnsiTheme="majorHAnsi" w:cstheme="majorHAnsi"/>
                <w:sz w:val="20"/>
              </w:rPr>
            </w:r>
            <w:r w:rsidR="00EF03FD" w:rsidRPr="003015CD">
              <w:rPr>
                <w:rFonts w:asciiTheme="majorHAnsi" w:hAnsiTheme="majorHAnsi" w:cstheme="majorHAnsi"/>
                <w:sz w:val="20"/>
              </w:rPr>
              <w:fldChar w:fldCharType="separate"/>
            </w:r>
            <w:r w:rsidR="00EF03FD" w:rsidRPr="003015CD">
              <w:rPr>
                <w:rFonts w:asciiTheme="majorHAnsi" w:hAnsiTheme="majorHAnsi" w:cstheme="majorHAnsi"/>
                <w:sz w:val="20"/>
              </w:rPr>
              <w:t>A4</w:t>
            </w:r>
            <w:r w:rsidR="00EF03FD" w:rsidRPr="003015CD">
              <w:rPr>
                <w:rFonts w:asciiTheme="majorHAnsi" w:hAnsiTheme="majorHAnsi" w:cstheme="majorHAnsi"/>
                <w:sz w:val="20"/>
              </w:rPr>
              <w:fldChar w:fldCharType="end"/>
            </w:r>
            <w:r w:rsidRPr="003015CD">
              <w:rPr>
                <w:rFonts w:asciiTheme="majorHAnsi" w:hAnsiTheme="majorHAnsi" w:cstheme="majorHAnsi"/>
                <w:sz w:val="20"/>
              </w:rPr>
              <w:t>.</w:t>
            </w:r>
          </w:p>
          <w:p w14:paraId="6DCB4D34" w14:textId="77777777" w:rsidR="00FD03E5" w:rsidRPr="003015CD" w:rsidRDefault="00FD03E5" w:rsidP="00081885">
            <w:pPr>
              <w:spacing w:before="0" w:after="0" w:line="260" w:lineRule="exact"/>
              <w:jc w:val="both"/>
              <w:rPr>
                <w:rFonts w:asciiTheme="majorHAnsi" w:hAnsiTheme="majorHAnsi" w:cstheme="majorHAnsi"/>
                <w:sz w:val="20"/>
              </w:rPr>
            </w:pPr>
          </w:p>
        </w:tc>
      </w:tr>
      <w:tr w:rsidR="00FD03E5" w:rsidRPr="003015CD" w14:paraId="618C2B0E" w14:textId="77777777">
        <w:trPr>
          <w:jc w:val="center"/>
        </w:trPr>
        <w:tc>
          <w:tcPr>
            <w:tcW w:w="727" w:type="dxa"/>
            <w:shd w:val="clear" w:color="auto" w:fill="DBE5F1" w:themeFill="accent1" w:themeFillTint="33"/>
          </w:tcPr>
          <w:p w14:paraId="46278AAD"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19</w:t>
            </w:r>
          </w:p>
        </w:tc>
        <w:tc>
          <w:tcPr>
            <w:tcW w:w="2395" w:type="dxa"/>
          </w:tcPr>
          <w:p w14:paraId="75FFF01A"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Occasionally</w:t>
            </w:r>
          </w:p>
        </w:tc>
        <w:tc>
          <w:tcPr>
            <w:tcW w:w="6801" w:type="dxa"/>
          </w:tcPr>
          <w:p w14:paraId="76AB0CCE" w14:textId="77777777" w:rsidR="00FD03E5" w:rsidRPr="003015CD" w:rsidRDefault="00FD03E5" w:rsidP="00081885">
            <w:pPr>
              <w:spacing w:before="0" w:after="120" w:line="260" w:lineRule="exact"/>
              <w:jc w:val="both"/>
              <w:rPr>
                <w:rFonts w:asciiTheme="majorHAnsi" w:hAnsiTheme="majorHAnsi" w:cstheme="majorHAnsi"/>
                <w:sz w:val="20"/>
                <w:u w:val="single"/>
              </w:rPr>
            </w:pPr>
            <w:r w:rsidRPr="003015CD">
              <w:rPr>
                <w:rFonts w:asciiTheme="majorHAnsi" w:hAnsiTheme="majorHAnsi" w:cstheme="majorHAnsi"/>
                <w:sz w:val="20"/>
                <w:u w:val="single"/>
              </w:rPr>
              <w:t>Active implantable devices</w:t>
            </w:r>
          </w:p>
          <w:p w14:paraId="1B172251" w14:textId="77777777"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For implantable medical devices, clinical investigations, which will generate clinical data, are mandatory as per Article 61(4), with the applicable exemptions</w:t>
            </w:r>
            <w:r w:rsidRPr="003015CD">
              <w:rPr>
                <w:rFonts w:asciiTheme="majorHAnsi" w:hAnsiTheme="majorHAnsi" w:cstheme="majorHAnsi"/>
                <w:sz w:val="20"/>
                <w:vertAlign w:val="superscript"/>
              </w:rPr>
              <w:footnoteReference w:id="122"/>
            </w:r>
            <w:r w:rsidRPr="003015CD">
              <w:rPr>
                <w:rFonts w:asciiTheme="majorHAnsi" w:hAnsiTheme="majorHAnsi" w:cstheme="majorHAnsi"/>
                <w:sz w:val="20"/>
              </w:rPr>
              <w:t>. Some aspects that may require support from clinical data include the characteristics of the patient population the effect of physical activity or ageing on implant performance, the expected lifetime of the implant, the reversibility of the implantation, whether the implant can be modified or configured while implanted and the access connection to perform this modification or configuration (e.g. physical access point or wireless connection to the implanted medical device).</w:t>
            </w:r>
          </w:p>
        </w:tc>
      </w:tr>
      <w:tr w:rsidR="00FD03E5" w:rsidRPr="003015CD" w14:paraId="2D5DD04F" w14:textId="77777777">
        <w:trPr>
          <w:trHeight w:val="283"/>
          <w:jc w:val="center"/>
        </w:trPr>
        <w:tc>
          <w:tcPr>
            <w:tcW w:w="727" w:type="dxa"/>
            <w:shd w:val="clear" w:color="auto" w:fill="DBE5F1" w:themeFill="accent1" w:themeFillTint="33"/>
          </w:tcPr>
          <w:p w14:paraId="595CA9AD"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20-21</w:t>
            </w:r>
          </w:p>
        </w:tc>
        <w:tc>
          <w:tcPr>
            <w:tcW w:w="2395" w:type="dxa"/>
          </w:tcPr>
          <w:p w14:paraId="52E639C6"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Occasionally</w:t>
            </w:r>
          </w:p>
        </w:tc>
        <w:tc>
          <w:tcPr>
            <w:tcW w:w="6801" w:type="dxa"/>
          </w:tcPr>
          <w:p w14:paraId="6543384B" w14:textId="77777777" w:rsidR="00FD03E5" w:rsidRPr="003015CD" w:rsidRDefault="00FD03E5" w:rsidP="00081885">
            <w:pPr>
              <w:spacing w:before="0" w:after="0" w:line="260" w:lineRule="exact"/>
              <w:jc w:val="both"/>
              <w:rPr>
                <w:rFonts w:asciiTheme="majorHAnsi" w:hAnsiTheme="majorHAnsi" w:cstheme="majorHAnsi"/>
                <w:sz w:val="20"/>
                <w:u w:val="single"/>
              </w:rPr>
            </w:pPr>
            <w:r w:rsidRPr="003015CD">
              <w:rPr>
                <w:rFonts w:asciiTheme="majorHAnsi" w:hAnsiTheme="majorHAnsi" w:cstheme="majorHAnsi"/>
                <w:sz w:val="20"/>
                <w:u w:val="single"/>
              </w:rPr>
              <w:t>Protection against mechanical and thermal risks</w:t>
            </w:r>
          </w:p>
          <w:p w14:paraId="5ED38D81" w14:textId="77777777" w:rsidR="00FD03E5" w:rsidRPr="003015CD" w:rsidRDefault="00FD03E5" w:rsidP="00081885">
            <w:pPr>
              <w:spacing w:before="0" w:after="120" w:line="260" w:lineRule="exact"/>
              <w:jc w:val="both"/>
              <w:rPr>
                <w:rFonts w:asciiTheme="majorHAnsi" w:hAnsiTheme="majorHAnsi" w:cstheme="majorHAnsi"/>
                <w:sz w:val="20"/>
                <w:u w:val="single"/>
              </w:rPr>
            </w:pPr>
            <w:r w:rsidRPr="003015CD">
              <w:rPr>
                <w:rFonts w:asciiTheme="majorHAnsi" w:hAnsiTheme="majorHAnsi" w:cstheme="majorHAnsi"/>
                <w:sz w:val="20"/>
                <w:u w:val="single"/>
              </w:rPr>
              <w:t>Protection against the risks posed to the patient or user by devices supplying energy or substances</w:t>
            </w:r>
          </w:p>
          <w:p w14:paraId="74E87C28"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While non-clinical testing is generally the primary means to demonstrate conformity, manufacturers should be aware that clinical data may be required to confirm where residual uncertainties remain regarding whether test conditions, test methods or acceptance criteria adequately reflect real-world clinical conditions. In particular:</w:t>
            </w:r>
          </w:p>
          <w:p w14:paraId="15EFF2C2" w14:textId="1C9468C6" w:rsidR="00FD03E5" w:rsidRPr="003015CD" w:rsidRDefault="00FD03E5" w:rsidP="00081885">
            <w:pPr>
              <w:numPr>
                <w:ilvl w:val="0"/>
                <w:numId w:val="310"/>
              </w:numPr>
              <w:spacing w:before="0" w:after="0" w:line="260" w:lineRule="exact"/>
              <w:ind w:left="407" w:hanging="142"/>
              <w:jc w:val="both"/>
              <w:rPr>
                <w:rFonts w:asciiTheme="majorHAnsi" w:hAnsiTheme="majorHAnsi" w:cstheme="majorHAnsi"/>
                <w:sz w:val="20"/>
              </w:rPr>
            </w:pPr>
            <w:r w:rsidRPr="003015CD">
              <w:rPr>
                <w:rFonts w:asciiTheme="majorHAnsi" w:hAnsiTheme="majorHAnsi" w:cstheme="majorHAnsi"/>
                <w:sz w:val="20"/>
              </w:rPr>
              <w:t>for implantable or long-term use devices, devices that generate or dissipate heat, or devices exposed to variable mechanical loads depending on patient-specific factors [GSPR 20]</w:t>
            </w:r>
            <w:r w:rsidR="004D6C57" w:rsidRPr="003015CD">
              <w:rPr>
                <w:rFonts w:asciiTheme="majorHAnsi" w:hAnsiTheme="majorHAnsi" w:cstheme="majorHAnsi"/>
                <w:sz w:val="20"/>
              </w:rPr>
              <w:t>, or;</w:t>
            </w:r>
          </w:p>
          <w:p w14:paraId="3140C96E" w14:textId="1A36E63B" w:rsidR="00FD03E5" w:rsidRPr="003015CD" w:rsidRDefault="00FD03E5" w:rsidP="00081885">
            <w:pPr>
              <w:numPr>
                <w:ilvl w:val="0"/>
                <w:numId w:val="310"/>
              </w:numPr>
              <w:spacing w:before="0" w:after="0" w:line="260" w:lineRule="exact"/>
              <w:ind w:left="407" w:hanging="142"/>
              <w:jc w:val="both"/>
              <w:rPr>
                <w:rFonts w:asciiTheme="majorHAnsi" w:hAnsiTheme="majorHAnsi" w:cstheme="majorHAnsi"/>
                <w:sz w:val="20"/>
              </w:rPr>
            </w:pPr>
            <w:r w:rsidRPr="003015CD">
              <w:rPr>
                <w:rFonts w:asciiTheme="majorHAnsi" w:hAnsiTheme="majorHAnsi" w:cstheme="majorHAnsi"/>
                <w:sz w:val="20"/>
              </w:rPr>
              <w:t>devices that deliver energy or substances directly into the human body, where variables such as tissue response, absorption, distribution, or unintended effects on adjacent structures may not be fully captured through bench or preclinical testing [GSPR 21]</w:t>
            </w:r>
          </w:p>
          <w:p w14:paraId="1D7C4958" w14:textId="1474F780"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clinical data should confirm that the relevant safety requirements are met in practice.</w:t>
            </w:r>
          </w:p>
          <w:p w14:paraId="44167A47" w14:textId="77777777" w:rsidR="00FD03E5" w:rsidRPr="003015CD" w:rsidRDefault="00FD03E5" w:rsidP="00081885">
            <w:pPr>
              <w:spacing w:before="0" w:after="120" w:line="260" w:lineRule="exact"/>
              <w:jc w:val="both"/>
              <w:rPr>
                <w:rFonts w:asciiTheme="majorHAnsi" w:hAnsiTheme="majorHAnsi" w:cstheme="majorHAnsi"/>
                <w:sz w:val="20"/>
              </w:rPr>
            </w:pPr>
            <w:r w:rsidRPr="003015CD">
              <w:rPr>
                <w:rFonts w:asciiTheme="majorHAnsi" w:hAnsiTheme="majorHAnsi" w:cstheme="majorHAnsi"/>
                <w:sz w:val="20"/>
              </w:rPr>
              <w:t>The confirmation of conformity to these GSPRs could be also related with ergonomic features (in this case may be combined with GSPR 5).</w:t>
            </w:r>
          </w:p>
        </w:tc>
      </w:tr>
      <w:tr w:rsidR="00FD03E5" w:rsidRPr="003015CD" w14:paraId="55075355" w14:textId="77777777">
        <w:trPr>
          <w:trHeight w:val="2625"/>
          <w:jc w:val="center"/>
        </w:trPr>
        <w:tc>
          <w:tcPr>
            <w:tcW w:w="727" w:type="dxa"/>
            <w:shd w:val="clear" w:color="auto" w:fill="DBE5F1" w:themeFill="accent1" w:themeFillTint="33"/>
          </w:tcPr>
          <w:p w14:paraId="030D2A5D"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22</w:t>
            </w:r>
          </w:p>
        </w:tc>
        <w:tc>
          <w:tcPr>
            <w:tcW w:w="2395" w:type="dxa"/>
          </w:tcPr>
          <w:p w14:paraId="2B1EE616"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 xml:space="preserve">Usually. </w:t>
            </w:r>
          </w:p>
        </w:tc>
        <w:tc>
          <w:tcPr>
            <w:tcW w:w="6801" w:type="dxa"/>
          </w:tcPr>
          <w:p w14:paraId="5B6DAB97" w14:textId="77777777" w:rsidR="00FD03E5" w:rsidRPr="003015CD" w:rsidRDefault="00FD03E5" w:rsidP="00081885">
            <w:pPr>
              <w:spacing w:before="0" w:after="120" w:line="260" w:lineRule="exact"/>
              <w:jc w:val="both"/>
              <w:rPr>
                <w:rFonts w:asciiTheme="majorHAnsi" w:hAnsiTheme="majorHAnsi" w:cstheme="majorHAnsi"/>
                <w:sz w:val="20"/>
                <w:u w:val="single"/>
              </w:rPr>
            </w:pPr>
            <w:r w:rsidRPr="003015CD">
              <w:rPr>
                <w:rFonts w:asciiTheme="majorHAnsi" w:hAnsiTheme="majorHAnsi" w:cstheme="majorHAnsi"/>
                <w:sz w:val="20"/>
                <w:u w:val="single"/>
              </w:rPr>
              <w:t>Protection against the risks posed by medical devices intended by the manufacturer for use by lay persons</w:t>
            </w:r>
          </w:p>
          <w:p w14:paraId="5C05ACE3"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For devices for use by lay persons, clinical data may be necessary to confirm usability, safety, and performance under real conditions of use. For example, clinical data may be useful to confirm that instructions for use are clear, that the device can be handled correctly by lay persons, and that potential risks related to variations in use are minimized.</w:t>
            </w:r>
          </w:p>
          <w:p w14:paraId="60C67640" w14:textId="77777777" w:rsidR="00FD03E5" w:rsidRPr="003015CD" w:rsidRDefault="00FD03E5" w:rsidP="00081885">
            <w:pPr>
              <w:spacing w:before="0" w:after="0" w:line="260" w:lineRule="exact"/>
              <w:jc w:val="both"/>
              <w:rPr>
                <w:rFonts w:asciiTheme="majorHAnsi" w:hAnsiTheme="majorHAnsi" w:cstheme="majorHAnsi"/>
                <w:sz w:val="20"/>
              </w:rPr>
            </w:pPr>
          </w:p>
          <w:p w14:paraId="38B363C5" w14:textId="77777777" w:rsidR="00FD03E5" w:rsidRPr="003015CD" w:rsidRDefault="00FD03E5" w:rsidP="00081885">
            <w:pPr>
              <w:spacing w:before="0" w:after="0" w:line="260" w:lineRule="exact"/>
              <w:jc w:val="both"/>
              <w:rPr>
                <w:rFonts w:asciiTheme="majorHAnsi" w:hAnsiTheme="majorHAnsi" w:cstheme="majorHAnsi"/>
                <w:sz w:val="20"/>
              </w:rPr>
            </w:pPr>
            <w:r w:rsidRPr="003015CD">
              <w:rPr>
                <w:rFonts w:asciiTheme="majorHAnsi" w:hAnsiTheme="majorHAnsi" w:cstheme="majorHAnsi"/>
                <w:sz w:val="20"/>
              </w:rPr>
              <w:t>Moreover, where appropriate, the manufacturer shall include a procedure by which the lay person can verify, at the time of use, if the device performs as intended by the manufacturer. Clinical data may be necessary to determine if such procedure is correct.</w:t>
            </w:r>
          </w:p>
        </w:tc>
      </w:tr>
      <w:tr w:rsidR="00FD03E5" w:rsidRPr="003015CD" w14:paraId="59B33703" w14:textId="77777777">
        <w:trPr>
          <w:jc w:val="center"/>
        </w:trPr>
        <w:tc>
          <w:tcPr>
            <w:tcW w:w="9923" w:type="dxa"/>
            <w:gridSpan w:val="3"/>
            <w:shd w:val="clear" w:color="auto" w:fill="DBE5F1" w:themeFill="accent1" w:themeFillTint="33"/>
          </w:tcPr>
          <w:p w14:paraId="1514CAC2" w14:textId="77777777" w:rsidR="00FD03E5" w:rsidRPr="003015CD" w:rsidRDefault="00FD03E5" w:rsidP="00081885">
            <w:pPr>
              <w:spacing w:before="0" w:after="0" w:line="260" w:lineRule="exact"/>
              <w:jc w:val="both"/>
              <w:rPr>
                <w:rFonts w:asciiTheme="majorHAnsi" w:hAnsiTheme="majorHAnsi" w:cstheme="majorHAnsi"/>
                <w:b/>
                <w:sz w:val="18"/>
                <w:szCs w:val="18"/>
              </w:rPr>
            </w:pPr>
            <w:r w:rsidRPr="003015CD">
              <w:rPr>
                <w:rFonts w:asciiTheme="majorHAnsi" w:hAnsiTheme="majorHAnsi" w:cstheme="majorHAnsi"/>
                <w:b/>
                <w:sz w:val="18"/>
                <w:szCs w:val="18"/>
              </w:rPr>
              <w:t>REQUIREMENTS REGARDING THE INFORMATION SUPPLIED WITH THE DEVICE</w:t>
            </w:r>
          </w:p>
        </w:tc>
      </w:tr>
      <w:tr w:rsidR="00FD03E5" w:rsidRPr="003015CD" w14:paraId="53D7251F" w14:textId="77777777">
        <w:trPr>
          <w:jc w:val="center"/>
        </w:trPr>
        <w:tc>
          <w:tcPr>
            <w:tcW w:w="727" w:type="dxa"/>
            <w:shd w:val="clear" w:color="auto" w:fill="DBE5F1" w:themeFill="accent1" w:themeFillTint="33"/>
          </w:tcPr>
          <w:p w14:paraId="4B525351"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23</w:t>
            </w:r>
          </w:p>
        </w:tc>
        <w:tc>
          <w:tcPr>
            <w:tcW w:w="2395" w:type="dxa"/>
          </w:tcPr>
          <w:p w14:paraId="3053337A" w14:textId="77777777" w:rsidR="00FD03E5" w:rsidRPr="003015CD" w:rsidRDefault="00FD03E5" w:rsidP="00081885">
            <w:pPr>
              <w:spacing w:before="0" w:after="0" w:line="260" w:lineRule="exact"/>
              <w:rPr>
                <w:rFonts w:asciiTheme="minorHAnsi" w:hAnsiTheme="minorHAnsi" w:cstheme="minorHAnsi"/>
                <w:sz w:val="20"/>
              </w:rPr>
            </w:pPr>
            <w:r w:rsidRPr="003015CD">
              <w:rPr>
                <w:rFonts w:asciiTheme="minorHAnsi" w:hAnsiTheme="minorHAnsi" w:cstheme="minorHAnsi"/>
                <w:sz w:val="20"/>
              </w:rPr>
              <w:t>Usually</w:t>
            </w:r>
          </w:p>
          <w:p w14:paraId="02EA9C20" w14:textId="77777777" w:rsidR="00FD03E5" w:rsidRPr="003015CD" w:rsidRDefault="00FD03E5" w:rsidP="00081885">
            <w:pPr>
              <w:spacing w:before="0" w:after="0" w:line="260" w:lineRule="exact"/>
              <w:rPr>
                <w:rFonts w:asciiTheme="minorHAnsi" w:hAnsiTheme="minorHAnsi" w:cstheme="minorHAnsi"/>
                <w:sz w:val="20"/>
              </w:rPr>
            </w:pPr>
          </w:p>
        </w:tc>
        <w:tc>
          <w:tcPr>
            <w:tcW w:w="6801" w:type="dxa"/>
          </w:tcPr>
          <w:p w14:paraId="6DB1AA17" w14:textId="130D1E89" w:rsidR="00FD03E5" w:rsidRPr="003015CD" w:rsidRDefault="00FD03E5" w:rsidP="00081885">
            <w:pPr>
              <w:spacing w:before="0" w:after="120" w:line="260" w:lineRule="exact"/>
              <w:jc w:val="both"/>
              <w:rPr>
                <w:rFonts w:asciiTheme="majorHAnsi" w:hAnsiTheme="majorHAnsi" w:cstheme="majorBidi"/>
                <w:sz w:val="20"/>
              </w:rPr>
            </w:pPr>
            <w:r w:rsidRPr="003015CD">
              <w:rPr>
                <w:rFonts w:asciiTheme="majorHAnsi" w:hAnsiTheme="majorHAnsi" w:cstheme="majorBidi"/>
                <w:sz w:val="20"/>
              </w:rPr>
              <w:t>The information provided in the IFU or labelling (e.g. intended purpose, expected clinical benefits, residual risks, side effects, warnings, precautions, contraindications, guidance on how the user is expected to act to in predictable abnormal situations, alarms or use-related issues during operation instructions for managing foreseeable unwanted situations) should be supported by sufficient clinical evidence and be consistent with the clinical evaluation</w:t>
            </w:r>
            <w:r w:rsidR="00573728" w:rsidRPr="003015CD">
              <w:rPr>
                <w:rFonts w:asciiTheme="majorHAnsi" w:hAnsiTheme="majorHAnsi" w:cstheme="majorBidi"/>
                <w:sz w:val="20"/>
              </w:rPr>
              <w:t>.</w:t>
            </w:r>
          </w:p>
        </w:tc>
      </w:tr>
    </w:tbl>
    <w:p w14:paraId="7FB7FE55" w14:textId="77777777" w:rsidR="00FD03E5" w:rsidRPr="003015CD" w:rsidRDefault="00FD03E5" w:rsidP="00081885">
      <w:pPr>
        <w:spacing w:line="259" w:lineRule="auto"/>
        <w:jc w:val="both"/>
        <w:rPr>
          <w:rFonts w:asciiTheme="minorHAnsi" w:hAnsiTheme="minorHAnsi" w:cstheme="minorHAnsi"/>
          <w:color w:val="000000" w:themeColor="text1"/>
        </w:rPr>
      </w:pPr>
    </w:p>
    <w:p w14:paraId="50A50E8B" w14:textId="5EE57AE9" w:rsidR="00FD03E5" w:rsidRPr="003015CD" w:rsidRDefault="00E071F0" w:rsidP="00D35986">
      <w:pPr>
        <w:pStyle w:val="Titre2"/>
        <w:numPr>
          <w:ilvl w:val="0"/>
          <w:numId w:val="0"/>
        </w:numPr>
        <w:jc w:val="both"/>
        <w:rPr>
          <w:rFonts w:asciiTheme="majorHAnsi" w:hAnsiTheme="majorHAnsi" w:cstheme="majorHAnsi"/>
          <w:b w:val="0"/>
          <w:color w:val="000000" w:themeColor="text1"/>
        </w:rPr>
      </w:pPr>
      <w:bookmarkStart w:id="282" w:name="_Ref233282534"/>
      <w:bookmarkStart w:id="283" w:name="_Toc236912943"/>
      <w:r w:rsidRPr="003015CD">
        <w:rPr>
          <w:rFonts w:asciiTheme="majorHAnsi" w:hAnsiTheme="majorHAnsi" w:cstheme="majorHAnsi"/>
          <w:color w:val="000000" w:themeColor="text1"/>
        </w:rPr>
        <w:t xml:space="preserve">A9.2 </w:t>
      </w:r>
      <w:r w:rsidR="00FD03E5" w:rsidRPr="003015CD">
        <w:rPr>
          <w:rFonts w:asciiTheme="majorHAnsi" w:hAnsiTheme="majorHAnsi" w:cstheme="majorHAnsi"/>
          <w:color w:val="000000" w:themeColor="text1"/>
        </w:rPr>
        <w:t>Evaluation of the undesirable side-effects</w:t>
      </w:r>
      <w:bookmarkEnd w:id="282"/>
      <w:bookmarkEnd w:id="283"/>
    </w:p>
    <w:p w14:paraId="672BDA83"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GSPR 8 requires that </w:t>
      </w:r>
      <w:r w:rsidRPr="003015CD">
        <w:rPr>
          <w:szCs w:val="22"/>
          <w:lang w:eastAsia="it-IT"/>
        </w:rPr>
        <w:t>any undesirable side-effect</w:t>
      </w:r>
      <w:r w:rsidRPr="003015CD">
        <w:rPr>
          <w:rFonts w:asciiTheme="minorHAnsi" w:hAnsiTheme="minorHAnsi" w:cstheme="minorHAnsi"/>
          <w:vertAlign w:val="superscript"/>
        </w:rPr>
        <w:footnoteReference w:id="123"/>
      </w:r>
      <w:r w:rsidRPr="003015CD">
        <w:rPr>
          <w:szCs w:val="22"/>
          <w:lang w:eastAsia="it-IT"/>
        </w:rPr>
        <w:t xml:space="preserve"> </w:t>
      </w:r>
      <w:r w:rsidRPr="003015CD">
        <w:rPr>
          <w:szCs w:val="22"/>
          <w:vertAlign w:val="superscript"/>
          <w:lang w:eastAsia="it-IT"/>
        </w:rPr>
        <w:footnoteReference w:id="124"/>
      </w:r>
      <w:r w:rsidRPr="003015CD">
        <w:rPr>
          <w:szCs w:val="22"/>
          <w:lang w:eastAsia="it-IT"/>
        </w:rPr>
        <w:t xml:space="preserve"> must constitute an acceptable risk when weighed against the intended benefits. </w:t>
      </w:r>
      <w:r w:rsidRPr="003015CD" w:rsidDel="000C54B9">
        <w:rPr>
          <w:rFonts w:asciiTheme="minorHAnsi" w:hAnsiTheme="minorHAnsi" w:cstheme="minorHAnsi"/>
          <w:color w:val="000000" w:themeColor="text1"/>
        </w:rPr>
        <w:t xml:space="preserve"> </w:t>
      </w:r>
    </w:p>
    <w:p w14:paraId="186AC2A3" w14:textId="4B1DDD0A" w:rsidR="00FD03E5" w:rsidRPr="003015CD" w:rsidRDefault="00FD03E5" w:rsidP="00081885">
      <w:pPr>
        <w:spacing w:before="120" w:after="0" w:line="260" w:lineRule="exact"/>
        <w:jc w:val="both"/>
        <w:rPr>
          <w:rFonts w:asciiTheme="minorHAnsi" w:hAnsiTheme="minorHAnsi" w:cstheme="minorHAnsi"/>
        </w:rPr>
      </w:pPr>
      <w:r w:rsidRPr="003015CD">
        <w:rPr>
          <w:rFonts w:asciiTheme="minorHAnsi" w:hAnsiTheme="minorHAnsi" w:cstheme="minorHAnsi"/>
        </w:rPr>
        <w:t xml:space="preserve">Undesirable side-effects can be expected </w:t>
      </w:r>
      <w:r w:rsidR="00D4674B" w:rsidRPr="003015CD">
        <w:rPr>
          <w:rFonts w:asciiTheme="minorHAnsi" w:hAnsiTheme="minorHAnsi" w:cstheme="minorHAnsi"/>
        </w:rPr>
        <w:t xml:space="preserve">or </w:t>
      </w:r>
      <w:r w:rsidRPr="003015CD">
        <w:rPr>
          <w:rFonts w:asciiTheme="minorHAnsi" w:hAnsiTheme="minorHAnsi" w:cstheme="minorHAnsi"/>
        </w:rPr>
        <w:t>unexpected</w:t>
      </w:r>
      <w:r w:rsidRPr="003015CD">
        <w:rPr>
          <w:rFonts w:asciiTheme="minorHAnsi" w:hAnsiTheme="minorHAnsi" w:cstheme="minorHAnsi"/>
          <w:vertAlign w:val="superscript"/>
        </w:rPr>
        <w:footnoteReference w:id="125"/>
      </w:r>
      <w:r w:rsidRPr="003015CD">
        <w:rPr>
          <w:rFonts w:asciiTheme="minorHAnsi" w:hAnsiTheme="minorHAnsi" w:cstheme="minorHAnsi"/>
        </w:rPr>
        <w:t>:</w:t>
      </w:r>
    </w:p>
    <w:p w14:paraId="52B9A208" w14:textId="28C6FC2D" w:rsidR="00FD03E5" w:rsidRPr="003015CD" w:rsidRDefault="00FD03E5" w:rsidP="00081885">
      <w:pPr>
        <w:numPr>
          <w:ilvl w:val="0"/>
          <w:numId w:val="94"/>
        </w:numPr>
        <w:spacing w:line="260" w:lineRule="exact"/>
        <w:ind w:left="568" w:hanging="284"/>
        <w:jc w:val="both"/>
        <w:rPr>
          <w:rFonts w:asciiTheme="minorHAnsi" w:hAnsiTheme="minorHAnsi" w:cstheme="minorHAnsi"/>
        </w:rPr>
      </w:pPr>
      <w:r w:rsidRPr="003015CD">
        <w:rPr>
          <w:rFonts w:asciiTheme="minorHAnsi" w:hAnsiTheme="minorHAnsi" w:cstheme="minorHAnsi"/>
        </w:rPr>
        <w:t>expected undesirable side-effects must be clearly documented in the instructions for use and indicated and quantified in the manufacturer’s technical documentation</w:t>
      </w:r>
    </w:p>
    <w:p w14:paraId="3689FD4D" w14:textId="1B72E919" w:rsidR="00FD03E5" w:rsidRPr="003015CD" w:rsidRDefault="00FD03E5" w:rsidP="00081885">
      <w:pPr>
        <w:numPr>
          <w:ilvl w:val="0"/>
          <w:numId w:val="94"/>
        </w:numPr>
        <w:spacing w:line="260" w:lineRule="exact"/>
        <w:ind w:left="568" w:hanging="284"/>
        <w:jc w:val="both"/>
        <w:rPr>
          <w:rFonts w:asciiTheme="minorHAnsi" w:hAnsiTheme="minorHAnsi" w:cstheme="minorHAnsi"/>
        </w:rPr>
      </w:pPr>
      <w:r w:rsidRPr="003015CD">
        <w:rPr>
          <w:rFonts w:asciiTheme="minorHAnsi" w:hAnsiTheme="minorHAnsi" w:cstheme="minorHAnsi"/>
        </w:rPr>
        <w:t xml:space="preserve">unexpected undesirable side-effects are not considered </w:t>
      </w:r>
      <w:r w:rsidRPr="003015CD">
        <w:rPr>
          <w:rFonts w:asciiTheme="minorHAnsi" w:hAnsiTheme="minorHAnsi" w:cstheme="minorHAnsi"/>
          <w:i/>
          <w:iCs/>
        </w:rPr>
        <w:t>a priori</w:t>
      </w:r>
      <w:r w:rsidRPr="003015CD">
        <w:rPr>
          <w:rFonts w:asciiTheme="minorHAnsi" w:hAnsiTheme="minorHAnsi" w:cstheme="minorHAnsi"/>
        </w:rPr>
        <w:t xml:space="preserve"> in the manufacturer’s risk analysis, quantified in the manufacturer’s technical documentation or documented in the product information. If unexpected undesirable side-effects occur, they are to be handled like all incidents, which means that a (re)evaluation of the acceptability of the risks, and the amount of clinical evidence to balance the risks could be necessary. </w:t>
      </w:r>
    </w:p>
    <w:p w14:paraId="66C73821"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In order to evaluate the acceptability of an undesirable </w:t>
      </w:r>
      <w:r w:rsidRPr="003015CD">
        <w:rPr>
          <w:rFonts w:asciiTheme="minorHAnsi" w:hAnsiTheme="minorHAnsi" w:cstheme="minorHAnsi"/>
        </w:rPr>
        <w:t>side-effect</w:t>
      </w:r>
      <w:r w:rsidRPr="003015CD">
        <w:rPr>
          <w:rFonts w:asciiTheme="minorHAnsi" w:hAnsiTheme="minorHAnsi" w:cstheme="minorHAnsi"/>
          <w:color w:val="000000" w:themeColor="text1"/>
        </w:rPr>
        <w:t>:</w:t>
      </w:r>
    </w:p>
    <w:p w14:paraId="03C13CEF" w14:textId="33487500" w:rsidR="00FD03E5" w:rsidRPr="003015CD" w:rsidRDefault="00FD03E5" w:rsidP="00081885">
      <w:pPr>
        <w:numPr>
          <w:ilvl w:val="0"/>
          <w:numId w:val="94"/>
        </w:numPr>
        <w:spacing w:line="260" w:lineRule="exact"/>
        <w:ind w:left="567" w:hanging="283"/>
        <w:jc w:val="both"/>
        <w:rPr>
          <w:rFonts w:asciiTheme="minorHAnsi" w:hAnsiTheme="minorHAnsi" w:cstheme="minorHAnsi"/>
          <w:color w:val="000000" w:themeColor="text1"/>
        </w:rPr>
      </w:pPr>
      <w:r w:rsidRPr="003015CD">
        <w:rPr>
          <w:rFonts w:asciiTheme="minorHAnsi" w:hAnsiTheme="minorHAnsi" w:cstheme="minorHAnsi"/>
          <w:color w:val="000000" w:themeColor="text1"/>
        </w:rPr>
        <w:t>there needs to be clinical data for the evaluation of the nature, severity and frequency of potential undesirable side-effects</w:t>
      </w:r>
    </w:p>
    <w:p w14:paraId="274B425D" w14:textId="4D5924BE" w:rsidR="00FD03E5" w:rsidRPr="003015CD" w:rsidRDefault="00FD03E5" w:rsidP="00081885">
      <w:pPr>
        <w:numPr>
          <w:ilvl w:val="0"/>
          <w:numId w:val="94"/>
        </w:numPr>
        <w:spacing w:line="260" w:lineRule="exact"/>
        <w:ind w:left="567" w:hanging="283"/>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the clinical data should contain an adequate number of </w:t>
      </w:r>
      <w:r w:rsidRPr="003015CD" w:rsidDel="00225522">
        <w:rPr>
          <w:rFonts w:asciiTheme="minorHAnsi" w:hAnsiTheme="minorHAnsi" w:cstheme="minorHAnsi"/>
          <w:color w:val="000000" w:themeColor="text1"/>
        </w:rPr>
        <w:t xml:space="preserve">observations </w:t>
      </w:r>
      <w:r w:rsidRPr="003015CD">
        <w:rPr>
          <w:rFonts w:asciiTheme="minorHAnsi" w:hAnsiTheme="minorHAnsi" w:cstheme="minorHAnsi"/>
          <w:color w:val="000000" w:themeColor="text1"/>
        </w:rPr>
        <w:t xml:space="preserve">to </w:t>
      </w:r>
      <w:r w:rsidRPr="003015CD" w:rsidDel="00225522">
        <w:rPr>
          <w:rFonts w:asciiTheme="minorHAnsi" w:hAnsiTheme="minorHAnsi" w:cstheme="minorHAnsi"/>
          <w:color w:val="000000" w:themeColor="text1"/>
        </w:rPr>
        <w:t xml:space="preserve">support </w:t>
      </w:r>
      <w:r w:rsidRPr="003015CD">
        <w:rPr>
          <w:rFonts w:asciiTheme="minorHAnsi" w:hAnsiTheme="minorHAnsi" w:cstheme="minorHAnsi"/>
          <w:color w:val="000000" w:themeColor="text1"/>
        </w:rPr>
        <w:t>the conclusions relating to undesirable side-effects and the benefits of the device</w:t>
      </w:r>
    </w:p>
    <w:p w14:paraId="0D3DC3B4" w14:textId="6DC0F981" w:rsidR="00FD03E5" w:rsidRPr="003015CD" w:rsidRDefault="00FD03E5" w:rsidP="00081885">
      <w:pPr>
        <w:numPr>
          <w:ilvl w:val="0"/>
          <w:numId w:val="94"/>
        </w:numPr>
        <w:spacing w:line="260" w:lineRule="exact"/>
        <w:ind w:left="567" w:hanging="283"/>
        <w:jc w:val="both"/>
        <w:rPr>
          <w:rFonts w:asciiTheme="minorHAnsi" w:hAnsiTheme="minorHAnsi" w:cstheme="minorBidi"/>
          <w:color w:val="000000" w:themeColor="text1"/>
        </w:rPr>
      </w:pPr>
      <w:r w:rsidRPr="003015CD">
        <w:rPr>
          <w:rFonts w:asciiTheme="minorHAnsi" w:hAnsiTheme="minorHAnsi" w:cstheme="minorBidi"/>
          <w:color w:val="000000" w:themeColor="text1"/>
        </w:rPr>
        <w:t xml:space="preserve">consideration has to be given to the SOTA (see Appendix </w:t>
      </w:r>
      <w:r w:rsidRPr="003015CD">
        <w:rPr>
          <w:rFonts w:asciiTheme="minorHAnsi" w:hAnsiTheme="minorHAnsi" w:cstheme="minorBidi"/>
          <w:color w:val="000000" w:themeColor="text1"/>
        </w:rPr>
        <w:fldChar w:fldCharType="begin"/>
      </w:r>
      <w:r w:rsidRPr="003015CD">
        <w:rPr>
          <w:rFonts w:asciiTheme="minorHAnsi" w:hAnsiTheme="minorHAnsi" w:cstheme="minorBidi"/>
          <w:color w:val="000000" w:themeColor="text1"/>
        </w:rPr>
        <w:instrText xml:space="preserve"> REF _Ref233282644 \r \h </w:instrText>
      </w:r>
      <w:r w:rsidRPr="003015CD">
        <w:rPr>
          <w:rFonts w:asciiTheme="minorHAnsi" w:hAnsiTheme="minorHAnsi" w:cstheme="minorBidi"/>
          <w:color w:val="000000" w:themeColor="text1"/>
        </w:rPr>
      </w:r>
      <w:r w:rsidRPr="003015CD">
        <w:rPr>
          <w:rFonts w:asciiTheme="minorHAnsi" w:hAnsiTheme="minorHAnsi" w:cstheme="minorBidi"/>
          <w:color w:val="000000" w:themeColor="text1"/>
        </w:rPr>
        <w:fldChar w:fldCharType="separate"/>
      </w:r>
      <w:r w:rsidR="001D11FB" w:rsidRPr="003015CD">
        <w:rPr>
          <w:rFonts w:asciiTheme="minorHAnsi" w:hAnsiTheme="minorHAnsi" w:cstheme="minorBidi"/>
          <w:color w:val="000000" w:themeColor="text1"/>
        </w:rPr>
        <w:t>A1</w:t>
      </w:r>
      <w:r w:rsidRPr="003015CD">
        <w:rPr>
          <w:rFonts w:asciiTheme="minorHAnsi" w:hAnsiTheme="minorHAnsi" w:cstheme="minorBidi"/>
          <w:color w:val="000000" w:themeColor="text1"/>
        </w:rPr>
        <w:fldChar w:fldCharType="end"/>
      </w:r>
      <w:r w:rsidRPr="003015CD">
        <w:rPr>
          <w:rFonts w:asciiTheme="minorHAnsi" w:hAnsiTheme="minorHAnsi" w:cstheme="minorBidi"/>
          <w:color w:val="000000" w:themeColor="text1"/>
        </w:rPr>
        <w:t>).</w:t>
      </w:r>
    </w:p>
    <w:p w14:paraId="158982AC"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If there is insufficient clinical evidence due a lack of clinical data or an insufficient number of observations, conformity with the requirement on acceptability of undesirable side-effects is not fulfilled. </w:t>
      </w:r>
    </w:p>
    <w:p w14:paraId="52D64FF4" w14:textId="77777777" w:rsidR="00092367" w:rsidRPr="003015CD" w:rsidRDefault="00092367" w:rsidP="00081885">
      <w:pPr>
        <w:spacing w:line="260" w:lineRule="exact"/>
        <w:jc w:val="both"/>
        <w:rPr>
          <w:rFonts w:asciiTheme="minorHAnsi" w:hAnsiTheme="minorHAnsi" w:cstheme="minorHAnsi"/>
          <w:color w:val="000000" w:themeColor="text1"/>
        </w:rPr>
      </w:pPr>
    </w:p>
    <w:p w14:paraId="5766AF63" w14:textId="0363AD47" w:rsidR="00FD03E5" w:rsidRPr="003015CD" w:rsidRDefault="00E071F0" w:rsidP="00D35986">
      <w:pPr>
        <w:pStyle w:val="Titre2"/>
        <w:numPr>
          <w:ilvl w:val="0"/>
          <w:numId w:val="0"/>
        </w:numPr>
        <w:jc w:val="both"/>
        <w:rPr>
          <w:rFonts w:asciiTheme="majorHAnsi" w:hAnsiTheme="majorHAnsi" w:cstheme="majorHAnsi"/>
          <w:b w:val="0"/>
          <w:color w:val="000000" w:themeColor="text1"/>
        </w:rPr>
      </w:pPr>
      <w:bookmarkStart w:id="284" w:name="_Ref233282512"/>
      <w:bookmarkStart w:id="285" w:name="_Toc236912944"/>
      <w:r w:rsidRPr="003015CD">
        <w:rPr>
          <w:rFonts w:asciiTheme="majorHAnsi" w:hAnsiTheme="majorHAnsi" w:cstheme="majorHAnsi"/>
          <w:color w:val="000000" w:themeColor="text1"/>
        </w:rPr>
        <w:t xml:space="preserve">A9.3 </w:t>
      </w:r>
      <w:r w:rsidR="00FD03E5" w:rsidRPr="003015CD">
        <w:rPr>
          <w:rFonts w:asciiTheme="majorHAnsi" w:hAnsiTheme="majorHAnsi" w:cstheme="majorHAnsi"/>
          <w:color w:val="000000" w:themeColor="text1"/>
        </w:rPr>
        <w:t xml:space="preserve">Evaluation of the acceptability of the benefit-risk </w:t>
      </w:r>
      <w:bookmarkEnd w:id="284"/>
      <w:r w:rsidR="00FD03E5" w:rsidRPr="003015CD">
        <w:rPr>
          <w:rFonts w:asciiTheme="majorHAnsi" w:hAnsiTheme="majorHAnsi" w:cstheme="majorHAnsi"/>
          <w:color w:val="000000" w:themeColor="text1"/>
        </w:rPr>
        <w:t>profile</w:t>
      </w:r>
      <w:bookmarkEnd w:id="285"/>
    </w:p>
    <w:p w14:paraId="19635DEE"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It is expected, </w:t>
      </w:r>
    </w:p>
    <w:p w14:paraId="14173BB2"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that the clinical evaluation demonstrates that any known and foreseeable risks which may be associated with the intended purpose, and any undesirable side-effects, are minimised and acceptable when weighed against the benefits and are compatible with a high level of protection of health and safety, during normal conditions of use; and</w:t>
      </w:r>
    </w:p>
    <w:p w14:paraId="5A59D309"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that the IFU (where applicable) include the clinical benefits to be expected as well as correctly describe the intended purpose of the device as supported by sufficient clinical evidence; and</w:t>
      </w:r>
    </w:p>
    <w:p w14:paraId="4301E306"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that the IFU (where applicable) contain correct information to reduce the risk of use error, information on residual risks and their management as supported by sufficient clinical evidence (e.g. handling instructions, description of risks, warnings, precautions, contraindications, guidance on how the user is expected to act to in predictable abnormal situations, alarms or use-related issues during operation,).</w:t>
      </w:r>
    </w:p>
    <w:p w14:paraId="3A6F4674" w14:textId="21412FA5"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It is not possible to directly weigh one benefit against one risk because the risks and benefits vary in magnitude and number. Therefore, the overall benefits should be compared to the overall risks.</w:t>
      </w:r>
    </w:p>
    <w:p w14:paraId="59EEB1D9" w14:textId="430FD5C7" w:rsidR="00FD03E5" w:rsidRPr="003015CD" w:rsidRDefault="00FD03E5" w:rsidP="00081885">
      <w:pPr>
        <w:spacing w:line="260" w:lineRule="exact"/>
        <w:jc w:val="both"/>
        <w:rPr>
          <w:rFonts w:asciiTheme="minorHAnsi" w:hAnsiTheme="minorHAnsi" w:cstheme="minorBidi"/>
          <w:color w:val="000000" w:themeColor="text1"/>
        </w:rPr>
      </w:pPr>
      <w:r w:rsidRPr="003015CD">
        <w:rPr>
          <w:rFonts w:asciiTheme="minorHAnsi" w:hAnsiTheme="minorHAnsi" w:cstheme="minorBidi"/>
          <w:color w:val="000000" w:themeColor="text1"/>
        </w:rPr>
        <w:t>When evaluating the</w:t>
      </w:r>
      <w:r w:rsidR="00092367" w:rsidRPr="003015CD">
        <w:rPr>
          <w:rFonts w:asciiTheme="minorHAnsi" w:hAnsiTheme="minorHAnsi" w:cstheme="minorBidi"/>
          <w:color w:val="000000" w:themeColor="text1"/>
        </w:rPr>
        <w:t xml:space="preserve"> acceptability of the</w:t>
      </w:r>
      <w:r w:rsidRPr="003015CD">
        <w:rPr>
          <w:rFonts w:asciiTheme="minorHAnsi" w:hAnsiTheme="minorHAnsi" w:cstheme="minorBidi"/>
          <w:color w:val="000000" w:themeColor="text1"/>
        </w:rPr>
        <w:t xml:space="preserve"> benefit-risk profile, it is important to look for clinical data on benefits and risks. The benefits and risks should be measurable and the benefit-risk ratio</w:t>
      </w:r>
      <w:r w:rsidR="00C9208E" w:rsidRPr="003015CD">
        <w:rPr>
          <w:rFonts w:asciiTheme="minorHAnsi" w:hAnsiTheme="minorHAnsi" w:cstheme="minorBidi"/>
          <w:color w:val="000000" w:themeColor="text1"/>
        </w:rPr>
        <w:t xml:space="preserve"> </w:t>
      </w:r>
      <w:r w:rsidRPr="003015CD">
        <w:rPr>
          <w:rFonts w:asciiTheme="minorHAnsi" w:hAnsiTheme="minorHAnsi" w:cstheme="minorBidi"/>
          <w:color w:val="000000" w:themeColor="text1"/>
        </w:rPr>
        <w:t>acceptable for the various indications and intended purpose(s) of the device when compared with parameters based on SOTA</w:t>
      </w:r>
      <w:r w:rsidR="00C9208E" w:rsidRPr="003015CD">
        <w:rPr>
          <w:rFonts w:asciiTheme="minorHAnsi" w:hAnsiTheme="minorHAnsi" w:cstheme="minorBidi"/>
          <w:color w:val="000000" w:themeColor="text1"/>
        </w:rPr>
        <w:t xml:space="preserve"> </w:t>
      </w:r>
      <w:r w:rsidRPr="003015CD">
        <w:rPr>
          <w:rFonts w:asciiTheme="minorHAnsi" w:hAnsiTheme="minorHAnsi" w:cstheme="minorBidi"/>
          <w:color w:val="000000" w:themeColor="text1"/>
        </w:rPr>
        <w:t xml:space="preserve">in medicine. If the benefit-risk ratio is not acceptable for all clinical indications and intended purpose(s), these should be reconsidered and limitations should be applied to them. </w:t>
      </w:r>
    </w:p>
    <w:p w14:paraId="3529A647" w14:textId="62A53E3E"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 xml:space="preserve">The risk management documents are expected to identify the risks associated with the device and how such risks have been addressed. The clinical evaluation is expected to continually address the significance of any </w:t>
      </w:r>
      <w:bookmarkStart w:id="286" w:name="_Hlk140159575"/>
      <w:r w:rsidRPr="003015CD">
        <w:rPr>
          <w:rFonts w:asciiTheme="minorHAnsi" w:hAnsiTheme="minorHAnsi" w:cstheme="minorHAnsi"/>
        </w:rPr>
        <w:t>risks that remai</w:t>
      </w:r>
      <w:bookmarkEnd w:id="286"/>
      <w:r w:rsidRPr="003015CD">
        <w:rPr>
          <w:rFonts w:asciiTheme="minorHAnsi" w:hAnsiTheme="minorHAnsi" w:cstheme="minorHAnsi"/>
        </w:rPr>
        <w:t xml:space="preserve">n after risk mitigation strategies have been employed by the manufacturer, and to </w:t>
      </w:r>
      <w:r w:rsidRPr="003015CD" w:rsidDel="00225522">
        <w:rPr>
          <w:rFonts w:asciiTheme="minorHAnsi" w:hAnsiTheme="minorHAnsi" w:cstheme="minorHAnsi"/>
        </w:rPr>
        <w:t xml:space="preserve">ensure </w:t>
      </w:r>
      <w:r w:rsidRPr="003015CD">
        <w:rPr>
          <w:rFonts w:asciiTheme="minorHAnsi" w:hAnsiTheme="minorHAnsi" w:cstheme="minorHAnsi"/>
        </w:rPr>
        <w:t>that the benefit-risk ratio remains acceptable over time, taking into account the</w:t>
      </w:r>
      <w:r w:rsidR="00681D6D" w:rsidRPr="003015CD">
        <w:rPr>
          <w:rFonts w:asciiTheme="minorHAnsi" w:hAnsiTheme="minorHAnsi" w:cstheme="minorHAnsi"/>
        </w:rPr>
        <w:t xml:space="preserve"> SOTA</w:t>
      </w:r>
      <w:r w:rsidRPr="003015CD">
        <w:rPr>
          <w:rFonts w:asciiTheme="minorHAnsi" w:hAnsiTheme="minorHAnsi" w:cstheme="minorHAnsi"/>
        </w:rPr>
        <w:t xml:space="preserve">. </w:t>
      </w:r>
    </w:p>
    <w:p w14:paraId="19DCC078"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Positive impacts of a device on the health of an individual should be meaningful (clinically relevant) and measurable. The nature, extent, probability and duration of benefits, where applicable, should be considered. Benefits may include: </w:t>
      </w:r>
    </w:p>
    <w:p w14:paraId="44D08ACB"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positive impact on clinical outcome such as reduced mortality, morbidity or improvement of impaired body function,</w:t>
      </w:r>
    </w:p>
    <w:p w14:paraId="0F69675D"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the patient's quality of life (significant improvements, including by simplifying care, improving body functions, providing relief from symptoms),</w:t>
      </w:r>
    </w:p>
    <w:p w14:paraId="59AF178D"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clinical management of patients, such as high throughput and increasing automation addressing workforce shortages thereby providing timely access to care,</w:t>
      </w:r>
    </w:p>
    <w:p w14:paraId="2D2761FA"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outcomes related to diagnosis (such as allowing a correct diagnosis to be made, providing earlier diagnosis of diseases or specifics of diseases, or identifying patients more likely to respond to a given therapy), </w:t>
      </w:r>
    </w:p>
    <w:p w14:paraId="5AE680EC"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positive impact from diagnostic devices on clinical outcomes, or</w:t>
      </w:r>
    </w:p>
    <w:p w14:paraId="57ECB40D" w14:textId="77777777"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public health impact (such as to the ability of a diagnostic medical device to identify a specific disease and therefore prevent its spread, or to identify phases, stages, location, severity or variants of disease, predict future disease onset).</w:t>
      </w:r>
    </w:p>
    <w:p w14:paraId="2EC43A27" w14:textId="6122C8EA" w:rsidR="00FD03E5"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color w:val="000000" w:themeColor="text1"/>
        </w:rPr>
        <w:t xml:space="preserve">The data may show that a benefit may be experienced only in a </w:t>
      </w:r>
      <w:r w:rsidRPr="003015CD" w:rsidDel="00225522">
        <w:rPr>
          <w:rFonts w:asciiTheme="minorHAnsi" w:hAnsiTheme="minorHAnsi" w:cstheme="minorHAnsi"/>
          <w:color w:val="000000" w:themeColor="text1"/>
        </w:rPr>
        <w:t xml:space="preserve">subset </w:t>
      </w:r>
      <w:r w:rsidRPr="003015CD">
        <w:rPr>
          <w:rFonts w:asciiTheme="minorHAnsi" w:hAnsiTheme="minorHAnsi" w:cstheme="minorHAnsi"/>
          <w:color w:val="000000" w:themeColor="text1"/>
        </w:rPr>
        <w:t>of patients in the target population, or, on the other hand, that a benefit can be extrapolated throughout the target population. It is also possible that the data will show that different patient subgroups are likely to experience different benefits or different levels of the same benefit. A large benefit experienced by a small proportion of subjects may raise different considerations than a small benefit experienced by a large proportion of subjects. For example, a large benefit, even if experienced by a small population, may be significant enough to outweigh risks, whereas a small benefit may not, unless experienced by a large population of subjects.</w:t>
      </w:r>
    </w:p>
    <w:p w14:paraId="38F7C56E"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 xml:space="preserve">Where possible, benefit(s) are often evaluated along a scale or according to specific endpoints or criteria (types of benefits), or by evaluating whether pre-identified clinical outcome parameters were achieved. The change in patients/users’ condition or clinical management as measured on that scale, or as determined by an improvement or worsening of the endpoint, may determines the magnitude of the benefit(s) in patients/users. Variation in the magnitude of the benefit across a population may also be considered. Ideally, these parameters should be directly clinically relevant. </w:t>
      </w:r>
    </w:p>
    <w:p w14:paraId="145DEFF2" w14:textId="40CB9C2F"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In certain cases, benefits</w:t>
      </w:r>
      <w:r w:rsidRPr="003015CD" w:rsidDel="00BD45D0">
        <w:rPr>
          <w:rFonts w:asciiTheme="minorHAnsi" w:hAnsiTheme="minorHAnsi" w:cstheme="minorHAnsi"/>
          <w:color w:val="000000" w:themeColor="text1"/>
        </w:rPr>
        <w:t xml:space="preserve"> </w:t>
      </w:r>
      <w:r w:rsidR="00E26761" w:rsidRPr="003015CD">
        <w:rPr>
          <w:rFonts w:asciiTheme="minorHAnsi" w:hAnsiTheme="minorHAnsi" w:cstheme="minorHAnsi"/>
          <w:color w:val="000000" w:themeColor="text1"/>
        </w:rPr>
        <w:t>can</w:t>
      </w:r>
      <w:r w:rsidR="00BD45D0" w:rsidRPr="003015CD">
        <w:rPr>
          <w:rFonts w:asciiTheme="minorHAnsi" w:hAnsiTheme="minorHAnsi" w:cstheme="minorHAnsi"/>
          <w:color w:val="000000" w:themeColor="text1"/>
        </w:rPr>
        <w:t xml:space="preserve"> </w:t>
      </w:r>
      <w:r w:rsidRPr="003015CD">
        <w:rPr>
          <w:rFonts w:asciiTheme="minorHAnsi" w:hAnsiTheme="minorHAnsi" w:cstheme="minorHAnsi"/>
          <w:color w:val="000000" w:themeColor="text1"/>
        </w:rPr>
        <w:t>be assumed when validated surrogate endpoints are met (such as obtaining certain results with diagnostic devices or measurements of anatomical or physiological properties). Based on the current state of medical knowledge, the manufacturers shall justify and document the clinical relevance of endpoints used for the clinical evaluation of a device and demonstrate the validity of all surrogate endpoints (if surrogate endpoints have been used).</w:t>
      </w:r>
      <w:r w:rsidR="00E26761" w:rsidRPr="003015CD">
        <w:rPr>
          <w:rFonts w:asciiTheme="minorHAnsi" w:hAnsiTheme="minorHAnsi" w:cstheme="minorHAnsi"/>
          <w:color w:val="000000" w:themeColor="text1"/>
        </w:rPr>
        <w:t xml:space="preserve"> See Section 9.3.1.1 for further information on the use of surrogate endpoints.</w:t>
      </w:r>
    </w:p>
    <w:p w14:paraId="72CAC85D"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rPr>
        <w:t xml:space="preserve">Conversely, </w:t>
      </w:r>
      <w:r w:rsidRPr="003015CD">
        <w:rPr>
          <w:rFonts w:asciiTheme="minorHAnsi" w:hAnsiTheme="minorHAnsi" w:cstheme="minorHAnsi"/>
          <w:color w:val="000000" w:themeColor="text1"/>
        </w:rPr>
        <w:t>negative impacts/risks of a device on the health of an individual should also be considered especially those not predictable. New risks/harms, or new data regarding identified risks, including the ones already assumed as mitigated, could be gathered from:</w:t>
      </w:r>
    </w:p>
    <w:p w14:paraId="6875937D" w14:textId="5FBF1B55"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adverse events/ serious adverse events, device deficiencies or incidents identified during clinical/PMCF investigations</w:t>
      </w:r>
    </w:p>
    <w:p w14:paraId="01A81E6C" w14:textId="65DA01F5"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incidents and serious incidents, as defined in MDR Article 2(64) and 2(65) respectively (even predictable device-related incidents on the basis of the mode of action of the device)</w:t>
      </w:r>
    </w:p>
    <w:p w14:paraId="29A3B9F3" w14:textId="00477579"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estimates of the incidence of incidents</w:t>
      </w:r>
    </w:p>
    <w:p w14:paraId="09217945" w14:textId="7C1813D6" w:rsidR="00FD03E5" w:rsidRPr="003015CD" w:rsidRDefault="00FD03E5" w:rsidP="00081885">
      <w:pPr>
        <w:numPr>
          <w:ilvl w:val="0"/>
          <w:numId w:val="94"/>
        </w:numPr>
        <w:spacing w:line="260" w:lineRule="exact"/>
        <w:ind w:left="567" w:hanging="283"/>
        <w:contextualSpacing/>
        <w:jc w:val="both"/>
        <w:rPr>
          <w:rFonts w:asciiTheme="minorHAnsi" w:hAnsiTheme="minorHAnsi" w:cstheme="minorHAnsi"/>
          <w:color w:val="000000" w:themeColor="text1"/>
        </w:rPr>
      </w:pPr>
      <w:r w:rsidRPr="003015CD">
        <w:rPr>
          <w:rFonts w:asciiTheme="minorHAnsi" w:hAnsiTheme="minorHAnsi" w:cstheme="minorHAnsi"/>
          <w:color w:val="000000" w:themeColor="text1"/>
        </w:rPr>
        <w:t>other real-world data form the post-market phase, including for example complaints, incidents, installed base surveillance, PMCF studies, register analysis and surveys</w:t>
      </w:r>
    </w:p>
    <w:p w14:paraId="643610D0" w14:textId="77777777" w:rsidR="00FD03E5" w:rsidRPr="003015CD" w:rsidRDefault="00FD03E5" w:rsidP="00081885">
      <w:pPr>
        <w:spacing w:line="260" w:lineRule="exact"/>
        <w:jc w:val="both"/>
        <w:rPr>
          <w:rFonts w:asciiTheme="minorHAnsi" w:hAnsiTheme="minorHAnsi" w:cstheme="minorHAnsi"/>
          <w:color w:val="000000" w:themeColor="text1"/>
        </w:rPr>
      </w:pPr>
      <w:r w:rsidRPr="003015CD">
        <w:rPr>
          <w:rFonts w:asciiTheme="minorHAnsi" w:hAnsiTheme="minorHAnsi" w:cstheme="minorHAnsi"/>
          <w:color w:val="000000" w:themeColor="text1"/>
        </w:rPr>
        <w:t>It is also important to look at the foreseeable sequences of events associated with the device that can result in hazardous situations, which can result in harm. The number of different types of hazardous situations and harm that can potentially result from using the device and the severity of their aggregate effect has to be considered. When multiple harmful events occur at once, they have a greater aggregate effect.</w:t>
      </w:r>
    </w:p>
    <w:p w14:paraId="4E31D30A" w14:textId="3E8F06D8" w:rsidR="00304D07" w:rsidRPr="003015CD" w:rsidRDefault="00FD03E5" w:rsidP="00081885">
      <w:pPr>
        <w:spacing w:line="260" w:lineRule="exact"/>
        <w:jc w:val="both"/>
        <w:rPr>
          <w:rFonts w:asciiTheme="minorHAnsi" w:hAnsiTheme="minorHAnsi" w:cstheme="minorHAnsi"/>
        </w:rPr>
      </w:pPr>
      <w:r w:rsidRPr="003015CD">
        <w:rPr>
          <w:rFonts w:asciiTheme="minorHAnsi" w:hAnsiTheme="minorHAnsi" w:cstheme="minorHAnsi"/>
        </w:rPr>
        <w:t>Manufacturer must monitor devices safety and performance in clinical use and implement measures to verify clinical benefit-risk profile in the clinical evaluation if there are significant changes on the device or new information available that could potentially impact the clinical benefit-risk profile of the device. New information could relate, for example, on significant changes on the SOTA, or risks identified in the PMS and product risk analysis.</w:t>
      </w:r>
    </w:p>
    <w:p w14:paraId="0BFF27D9" w14:textId="1B80CB8D" w:rsidR="00E65FF7" w:rsidRPr="003015CD" w:rsidRDefault="00E65FF7">
      <w:pPr>
        <w:spacing w:before="0" w:after="0"/>
      </w:pPr>
      <w:r w:rsidRPr="003015CD">
        <w:br w:type="page"/>
      </w:r>
    </w:p>
    <w:p w14:paraId="56A877FD" w14:textId="77777777" w:rsidR="00FD03E5" w:rsidRPr="003015CD" w:rsidRDefault="00FD03E5" w:rsidP="00081885">
      <w:pPr>
        <w:pStyle w:val="App2"/>
        <w:tabs>
          <w:tab w:val="clear" w:pos="567"/>
          <w:tab w:val="clear" w:pos="709"/>
          <w:tab w:val="left" w:pos="284"/>
        </w:tabs>
        <w:ind w:left="426"/>
        <w:jc w:val="both"/>
      </w:pPr>
      <w:bookmarkStart w:id="287" w:name="_Ref233808176"/>
      <w:bookmarkStart w:id="288" w:name="_Ref233808329"/>
      <w:bookmarkStart w:id="289" w:name="_Ref233808408"/>
      <w:bookmarkStart w:id="290" w:name="_Toc236912945"/>
      <w:r w:rsidRPr="003015CD">
        <w:t>How to specify and justify the level of clinical evidence necessary</w:t>
      </w:r>
      <w:bookmarkEnd w:id="287"/>
      <w:bookmarkEnd w:id="288"/>
      <w:bookmarkEnd w:id="289"/>
      <w:bookmarkEnd w:id="290"/>
    </w:p>
    <w:p w14:paraId="180FFBAE" w14:textId="3C76DE22"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 key goal of the clinical evaluation process is to determine whether the relevant clinical data provides sufficient clinical evidence </w:t>
      </w:r>
      <w:r w:rsidR="00FA2783" w:rsidRPr="003015CD">
        <w:rPr>
          <w:rFonts w:asciiTheme="majorHAnsi" w:hAnsiTheme="majorHAnsi" w:cstheme="majorHAnsi"/>
          <w:color w:val="000000" w:themeColor="text1"/>
        </w:rPr>
        <w:t>as</w:t>
      </w:r>
      <w:r w:rsidRPr="003015CD">
        <w:rPr>
          <w:rFonts w:asciiTheme="majorHAnsi" w:hAnsiTheme="majorHAnsi" w:cstheme="majorHAnsi"/>
          <w:color w:val="000000" w:themeColor="text1"/>
        </w:rPr>
        <w:t xml:space="preserve"> a basis for:</w:t>
      </w:r>
    </w:p>
    <w:p w14:paraId="383702BA" w14:textId="77777777" w:rsidR="00FD03E5" w:rsidRPr="003015CD" w:rsidRDefault="00FD03E5" w:rsidP="00081885">
      <w:pPr>
        <w:pStyle w:val="Paragraphedeliste"/>
        <w:numPr>
          <w:ilvl w:val="0"/>
          <w:numId w:val="11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confirmation of conformity with the relevant GSPRs under the normal conditions of the intended use of the device, </w:t>
      </w:r>
    </w:p>
    <w:p w14:paraId="31705C1C" w14:textId="77777777" w:rsidR="00FD03E5" w:rsidRPr="003015CD" w:rsidRDefault="00FD03E5" w:rsidP="00081885">
      <w:pPr>
        <w:pStyle w:val="Paragraphedeliste"/>
        <w:numPr>
          <w:ilvl w:val="0"/>
          <w:numId w:val="111"/>
        </w:numPr>
        <w:jc w:val="both"/>
        <w:rPr>
          <w:rFonts w:asciiTheme="majorHAnsi" w:hAnsiTheme="majorHAnsi" w:cstheme="majorHAnsi"/>
          <w:color w:val="000000" w:themeColor="text1"/>
        </w:rPr>
      </w:pPr>
      <w:r w:rsidRPr="003015CD">
        <w:rPr>
          <w:rFonts w:asciiTheme="majorHAnsi" w:hAnsiTheme="majorHAnsi"/>
          <w:color w:val="000000" w:themeColor="text1"/>
        </w:rPr>
        <w:t>the evaluation of the undesirable side-effects</w:t>
      </w:r>
      <w:r w:rsidRPr="003015CD">
        <w:rPr>
          <w:rFonts w:asciiTheme="majorHAnsi" w:hAnsiTheme="majorHAnsi" w:cstheme="majorHAnsi"/>
          <w:color w:val="000000" w:themeColor="text1"/>
        </w:rPr>
        <w:t>,</w:t>
      </w:r>
      <w:r w:rsidRPr="003015CD">
        <w:rPr>
          <w:rFonts w:asciiTheme="majorHAnsi" w:hAnsiTheme="majorHAnsi"/>
          <w:color w:val="000000" w:themeColor="text1"/>
        </w:rPr>
        <w:t xml:space="preserve"> and</w:t>
      </w:r>
    </w:p>
    <w:p w14:paraId="3E8A5D0A" w14:textId="402FD8E1" w:rsidR="00FD03E5" w:rsidRPr="003015CD" w:rsidRDefault="00FD03E5" w:rsidP="00081885">
      <w:pPr>
        <w:pStyle w:val="Paragraphedeliste"/>
        <w:numPr>
          <w:ilvl w:val="0"/>
          <w:numId w:val="111"/>
        </w:numPr>
        <w:jc w:val="both"/>
        <w:rPr>
          <w:rFonts w:asciiTheme="majorHAnsi" w:hAnsiTheme="majorHAnsi" w:cstheme="majorHAnsi"/>
          <w:color w:val="000000" w:themeColor="text1"/>
        </w:rPr>
      </w:pPr>
      <w:r w:rsidRPr="003015CD">
        <w:rPr>
          <w:rFonts w:asciiTheme="majorHAnsi" w:hAnsiTheme="majorHAnsi"/>
          <w:color w:val="000000" w:themeColor="text1"/>
        </w:rPr>
        <w:t>the acceptability of the benefit-risk profile</w:t>
      </w:r>
      <w:r w:rsidRPr="003015CD">
        <w:rPr>
          <w:rFonts w:asciiTheme="majorHAnsi" w:hAnsiTheme="majorHAnsi" w:cstheme="majorHAnsi"/>
          <w:color w:val="000000" w:themeColor="text1"/>
        </w:rPr>
        <w:t xml:space="preserve"> for the device</w:t>
      </w:r>
      <w:r w:rsidRPr="003015CD">
        <w:rPr>
          <w:rStyle w:val="Appelnotedebasdep"/>
          <w:rFonts w:asciiTheme="majorHAnsi" w:hAnsiTheme="majorHAnsi" w:cstheme="majorHAnsi"/>
          <w:color w:val="000000" w:themeColor="text1"/>
        </w:rPr>
        <w:footnoteReference w:id="126"/>
      </w:r>
      <w:r w:rsidRPr="003015CD">
        <w:rPr>
          <w:rFonts w:asciiTheme="majorHAnsi" w:hAnsiTheme="majorHAnsi" w:cstheme="majorHAnsi"/>
          <w:color w:val="000000" w:themeColor="text1"/>
        </w:rPr>
        <w:t>.</w:t>
      </w:r>
    </w:p>
    <w:p w14:paraId="5D200B51" w14:textId="77777777" w:rsidR="00FD03E5" w:rsidRPr="003015CD" w:rsidRDefault="00FD03E5" w:rsidP="00081885">
      <w:pPr>
        <w:rPr>
          <w:rFonts w:asciiTheme="majorHAnsi" w:hAnsiTheme="majorHAnsi" w:cstheme="majorBidi"/>
          <w:color w:val="000000" w:themeColor="text1"/>
        </w:rPr>
      </w:pPr>
      <w:r w:rsidRPr="003015CD">
        <w:t>To achieve this goal, the evaluators need to have an appropriate understanding of what level of clinical evidence is necessary to demonstrate conformity with the relevant GSPRs for their device. As per Article 61(1), this</w:t>
      </w:r>
      <w:r w:rsidRPr="003015CD">
        <w:rPr>
          <w:rFonts w:asciiTheme="majorHAnsi" w:hAnsiTheme="majorHAnsi" w:cstheme="majorBidi"/>
          <w:color w:val="000000" w:themeColor="text1"/>
        </w:rPr>
        <w:t xml:space="preserve"> must be specified and justified by the manufacturer, and the specified level must be appropriate in view of the characteristics of the device and its intended purpose.</w:t>
      </w:r>
    </w:p>
    <w:p w14:paraId="315F1597" w14:textId="0614FCEA" w:rsidR="00FD03E5" w:rsidRPr="003015CD" w:rsidRDefault="00FD03E5" w:rsidP="00081885">
      <w:pPr>
        <w:jc w:val="both"/>
        <w:rPr>
          <w:rFonts w:asciiTheme="majorHAnsi" w:hAnsiTheme="majorHAnsi" w:cstheme="majorBidi"/>
          <w:b/>
          <w:bCs/>
          <w:color w:val="000000" w:themeColor="text1"/>
        </w:rPr>
      </w:pPr>
      <w:r w:rsidRPr="003015CD">
        <w:rPr>
          <w:rFonts w:asciiTheme="majorHAnsi" w:hAnsiTheme="majorHAnsi" w:cstheme="majorBidi"/>
          <w:color w:val="000000" w:themeColor="text1"/>
        </w:rPr>
        <w:t>Manufacturers should specify and justify the necessary level of clinical evidence as part of clinical evaluation planning (Stage 0), against which the clinical data should be analysed during Stage 3. This should be re-evaluated periodically as part of the continuous clinical evaluation process, to allow for the level to be adjusted in light of new information (</w:t>
      </w:r>
      <w:r w:rsidR="007B31B0" w:rsidRPr="003015CD">
        <w:rPr>
          <w:rFonts w:asciiTheme="majorHAnsi" w:hAnsiTheme="majorHAnsi" w:cstheme="majorBidi"/>
          <w:color w:val="000000" w:themeColor="text1"/>
        </w:rPr>
        <w:t>such as</w:t>
      </w:r>
      <w:r w:rsidRPr="003015CD">
        <w:rPr>
          <w:rFonts w:asciiTheme="majorHAnsi" w:hAnsiTheme="majorHAnsi" w:cstheme="majorBidi"/>
          <w:color w:val="000000" w:themeColor="text1"/>
        </w:rPr>
        <w:t xml:space="preserve"> new developments in the SOTA, new guidance from expert panels, relevant new risks identified from the manufacturer’s risk management system, etc.)</w:t>
      </w:r>
    </w:p>
    <w:p w14:paraId="27CC22AA" w14:textId="77777777" w:rsidR="00FD03E5" w:rsidRPr="003015CD" w:rsidRDefault="00FD03E5" w:rsidP="00081885">
      <w:pPr>
        <w:rPr>
          <w:rFonts w:asciiTheme="majorHAnsi" w:hAnsiTheme="majorHAnsi" w:cstheme="majorBidi"/>
          <w:color w:val="000000" w:themeColor="text1"/>
        </w:rPr>
      </w:pPr>
      <w:r w:rsidRPr="003015CD">
        <w:rPr>
          <w:rFonts w:asciiTheme="majorHAnsi" w:hAnsiTheme="majorHAnsi" w:cstheme="majorBidi"/>
          <w:color w:val="000000" w:themeColor="text1"/>
        </w:rPr>
        <w:t>When specifying the necessary clinical evidence, the manufacturer should take into account the following</w:t>
      </w:r>
      <w:r w:rsidRPr="003015CD">
        <w:rPr>
          <w:rFonts w:asciiTheme="majorHAnsi" w:hAnsiTheme="majorHAnsi"/>
          <w:color w:val="000000" w:themeColor="text1"/>
        </w:rPr>
        <w:t xml:space="preserve"> aspects</w:t>
      </w:r>
      <w:r w:rsidRPr="003015CD">
        <w:rPr>
          <w:rFonts w:asciiTheme="majorHAnsi" w:hAnsiTheme="majorHAnsi" w:cstheme="majorBidi"/>
          <w:color w:val="000000" w:themeColor="text1"/>
        </w:rPr>
        <w:t>, as it relates to their device:</w:t>
      </w:r>
    </w:p>
    <w:p w14:paraId="5D5AA14F" w14:textId="77777777"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Bidi"/>
          <w:color w:val="000000" w:themeColor="text1"/>
        </w:rPr>
        <w:t>Relevant information described in the clinical evaluation plan, including</w:t>
      </w:r>
    </w:p>
    <w:p w14:paraId="78EB2D76" w14:textId="3A8757B4"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The GSPRs that require support from relevant clinical data (see Appendix A</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_Ref233282663 \r \h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9</w:t>
      </w:r>
      <w:r w:rsidRPr="003015CD">
        <w:rPr>
          <w:rFonts w:asciiTheme="majorHAnsi" w:hAnsiTheme="majorHAnsi" w:cstheme="majorBidi"/>
          <w:color w:val="000000" w:themeColor="text1"/>
        </w:rPr>
        <w:fldChar w:fldCharType="end"/>
      </w:r>
      <w:r w:rsidRPr="003015CD">
        <w:rPr>
          <w:rFonts w:asciiTheme="majorHAnsi" w:hAnsiTheme="majorHAnsi" w:cstheme="majorBidi"/>
          <w:color w:val="000000" w:themeColor="text1"/>
        </w:rPr>
        <w:t>9)</w:t>
      </w:r>
    </w:p>
    <w:p w14:paraId="713BF8EE" w14:textId="04B748CA"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 xml:space="preserve">The </w:t>
      </w:r>
      <w:r w:rsidRPr="003015CD">
        <w:rPr>
          <w:rFonts w:asciiTheme="majorHAnsi" w:hAnsiTheme="majorHAnsi"/>
          <w:color w:val="000000" w:themeColor="text1"/>
        </w:rPr>
        <w:t xml:space="preserve">intended purpose </w:t>
      </w:r>
      <w:r w:rsidRPr="003015CD">
        <w:rPr>
          <w:rFonts w:asciiTheme="majorHAnsi" w:hAnsiTheme="majorHAnsi" w:cstheme="majorBidi"/>
          <w:color w:val="000000" w:themeColor="text1"/>
        </w:rPr>
        <w:t>of the device</w:t>
      </w:r>
    </w:p>
    <w:p w14:paraId="24C9C669" w14:textId="4335F89A"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 xml:space="preserve">The intended target groups, indications, </w:t>
      </w:r>
      <w:r w:rsidRPr="003015CD">
        <w:rPr>
          <w:rFonts w:asciiTheme="majorHAnsi" w:hAnsiTheme="majorHAnsi"/>
          <w:color w:val="000000" w:themeColor="text1"/>
        </w:rPr>
        <w:t xml:space="preserve">and </w:t>
      </w:r>
      <w:r w:rsidRPr="003015CD">
        <w:rPr>
          <w:rFonts w:asciiTheme="majorHAnsi" w:hAnsiTheme="majorHAnsi" w:cstheme="majorBidi"/>
          <w:color w:val="000000" w:themeColor="text1"/>
        </w:rPr>
        <w:t>contra-indications</w:t>
      </w:r>
    </w:p>
    <w:p w14:paraId="6BCD7F09" w14:textId="1FB4F598"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The intended clinical benefits to patients and specified clinical outcome parameters</w:t>
      </w:r>
    </w:p>
    <w:p w14:paraId="458F74C1" w14:textId="4116851E"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The specified methods for examination of clinical safety including residual risks and potential undesirable side effects</w:t>
      </w:r>
    </w:p>
    <w:p w14:paraId="2B7EECF3" w14:textId="4FAEEB93"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The generally acknowledged SOTA</w:t>
      </w:r>
      <w:r w:rsidR="00D72303" w:rsidRPr="003015CD">
        <w:rPr>
          <w:rFonts w:asciiTheme="majorHAnsi" w:hAnsiTheme="majorHAnsi" w:cstheme="majorBidi"/>
          <w:color w:val="000000" w:themeColor="text1"/>
        </w:rPr>
        <w:t xml:space="preserve"> </w:t>
      </w:r>
      <w:r w:rsidRPr="003015CD">
        <w:rPr>
          <w:rFonts w:asciiTheme="majorHAnsi" w:hAnsiTheme="majorHAnsi" w:cstheme="majorBidi"/>
          <w:color w:val="000000" w:themeColor="text1"/>
        </w:rPr>
        <w:t>including currently available alternatives, if any</w:t>
      </w:r>
      <w:r w:rsidRPr="003015CD">
        <w:rPr>
          <w:rStyle w:val="Appelnotedebasdep"/>
          <w:rFonts w:asciiTheme="majorHAnsi" w:hAnsiTheme="majorHAnsi" w:cstheme="majorBidi"/>
          <w:color w:val="000000" w:themeColor="text1"/>
        </w:rPr>
        <w:footnoteReference w:id="127"/>
      </w:r>
      <w:r w:rsidRPr="003015CD">
        <w:rPr>
          <w:rFonts w:asciiTheme="majorHAnsi" w:hAnsiTheme="majorHAnsi" w:cstheme="majorBidi"/>
          <w:color w:val="000000" w:themeColor="text1"/>
        </w:rPr>
        <w:t xml:space="preserve">, see Appendix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_Ref233282644 \r \h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color w:val="000000" w:themeColor="text1"/>
        </w:rPr>
        <w:t>A1</w:t>
      </w:r>
      <w:r w:rsidRPr="003015CD">
        <w:rPr>
          <w:rFonts w:asciiTheme="majorHAnsi" w:hAnsiTheme="majorHAnsi" w:cstheme="majorBidi"/>
          <w:color w:val="000000" w:themeColor="text1"/>
        </w:rPr>
        <w:fldChar w:fldCharType="end"/>
      </w:r>
    </w:p>
    <w:p w14:paraId="3F550224" w14:textId="5B30909A"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The specified parameters to determine, based on the SOTA, the acceptability of the benefit-risk profile for the various indications and intended purpose</w:t>
      </w:r>
    </w:p>
    <w:p w14:paraId="3B3FED14" w14:textId="19FDA285" w:rsidR="00FD03E5" w:rsidRPr="003015CD" w:rsidRDefault="00FD03E5" w:rsidP="00081885">
      <w:pPr>
        <w:pStyle w:val="Paragraphedeliste"/>
        <w:numPr>
          <w:ilvl w:val="1"/>
          <w:numId w:val="6"/>
        </w:numPr>
        <w:tabs>
          <w:tab w:val="left" w:pos="6521"/>
        </w:tabs>
        <w:rPr>
          <w:rFonts w:asciiTheme="majorHAnsi" w:hAnsiTheme="majorHAnsi" w:cstheme="majorBidi"/>
          <w:color w:val="000000" w:themeColor="text1"/>
        </w:rPr>
      </w:pPr>
      <w:r w:rsidRPr="003015CD">
        <w:rPr>
          <w:rFonts w:asciiTheme="majorHAnsi" w:hAnsiTheme="majorHAnsi" w:cstheme="majorBidi"/>
          <w:color w:val="000000" w:themeColor="text1"/>
        </w:rPr>
        <w:t>An indication of how benefit-risk issues relating to specific components such as use of pharmaceutical, animal or human tissues are to be addressed, where present</w:t>
      </w:r>
    </w:p>
    <w:p w14:paraId="1E76F57B" w14:textId="6841231F"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The clinical development plan</w:t>
      </w:r>
      <w:r w:rsidR="003D2238" w:rsidRPr="003015CD">
        <w:rPr>
          <w:rFonts w:asciiTheme="majorHAnsi" w:hAnsiTheme="majorHAnsi" w:cstheme="majorBidi"/>
          <w:color w:val="000000" w:themeColor="text1"/>
        </w:rPr>
        <w:t>.</w:t>
      </w:r>
    </w:p>
    <w:p w14:paraId="54B421A9" w14:textId="0CDE8954"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Bidi"/>
          <w:color w:val="000000" w:themeColor="text1"/>
        </w:rPr>
        <w:t>Other relevant characteristics of the device, including, where applicable, the</w:t>
      </w:r>
      <w:r w:rsidR="00CA287A" w:rsidRPr="003015CD">
        <w:rPr>
          <w:rFonts w:asciiTheme="majorHAnsi" w:hAnsiTheme="majorHAnsi" w:cstheme="majorBidi"/>
          <w:color w:val="000000" w:themeColor="text1"/>
        </w:rPr>
        <w:t>:</w:t>
      </w:r>
    </w:p>
    <w:p w14:paraId="1D7C3028"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Duration and frequency of use</w:t>
      </w:r>
    </w:p>
    <w:p w14:paraId="40502741"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Invasiveness of the device</w:t>
      </w:r>
    </w:p>
    <w:p w14:paraId="5DFEAF58"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Expected lifetime of the device</w:t>
      </w:r>
    </w:p>
    <w:p w14:paraId="0E99AECB"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Novelty of the device or related clinical procedure</w:t>
      </w:r>
    </w:p>
    <w:p w14:paraId="38D363D5" w14:textId="77777777" w:rsidR="00FD03E5" w:rsidRPr="003015CD" w:rsidRDefault="00FD03E5" w:rsidP="00081885">
      <w:pPr>
        <w:pStyle w:val="Paragraphedeliste"/>
        <w:numPr>
          <w:ilvl w:val="1"/>
          <w:numId w:val="6"/>
        </w:numPr>
        <w:rPr>
          <w:rFonts w:asciiTheme="majorHAnsi" w:hAnsiTheme="majorHAnsi"/>
          <w:color w:val="000000" w:themeColor="text1"/>
        </w:rPr>
      </w:pPr>
      <w:r w:rsidRPr="003015CD">
        <w:rPr>
          <w:rFonts w:asciiTheme="majorHAnsi" w:hAnsiTheme="majorHAnsi" w:cstheme="majorHAnsi"/>
          <w:color w:val="000000" w:themeColor="text1"/>
        </w:rPr>
        <w:t>Range of</w:t>
      </w:r>
      <w:r w:rsidRPr="003015CD">
        <w:rPr>
          <w:rFonts w:asciiTheme="majorHAnsi" w:hAnsiTheme="majorHAnsi"/>
          <w:color w:val="000000" w:themeColor="text1"/>
        </w:rPr>
        <w:t xml:space="preserve"> devices/ models/ sizes/ settings </w:t>
      </w:r>
      <w:r w:rsidRPr="003015CD">
        <w:rPr>
          <w:rFonts w:asciiTheme="majorHAnsi" w:hAnsiTheme="majorHAnsi" w:cstheme="majorHAnsi"/>
          <w:color w:val="000000" w:themeColor="text1"/>
        </w:rPr>
        <w:t>to be covered</w:t>
      </w:r>
      <w:r w:rsidRPr="003015CD">
        <w:rPr>
          <w:rFonts w:asciiTheme="majorHAnsi" w:hAnsiTheme="majorHAnsi"/>
          <w:color w:val="000000" w:themeColor="text1"/>
        </w:rPr>
        <w:t xml:space="preserve"> by the </w:t>
      </w:r>
      <w:r w:rsidRPr="003015CD">
        <w:rPr>
          <w:rFonts w:asciiTheme="majorHAnsi" w:hAnsiTheme="majorHAnsi" w:cstheme="majorHAnsi"/>
          <w:color w:val="000000" w:themeColor="text1"/>
        </w:rPr>
        <w:t>evaluation</w:t>
      </w:r>
    </w:p>
    <w:p w14:paraId="20A9C42A" w14:textId="77777777" w:rsidR="00FD03E5" w:rsidRPr="003015CD" w:rsidRDefault="00FD03E5" w:rsidP="00081885">
      <w:pPr>
        <w:pStyle w:val="Paragraphedeliste"/>
        <w:numPr>
          <w:ilvl w:val="1"/>
          <w:numId w:val="6"/>
        </w:numPr>
        <w:rPr>
          <w:rFonts w:asciiTheme="majorHAnsi" w:hAnsiTheme="majorHAnsi"/>
          <w:color w:val="000000" w:themeColor="text1"/>
        </w:rPr>
      </w:pPr>
      <w:r w:rsidRPr="003015CD">
        <w:rPr>
          <w:rFonts w:asciiTheme="majorHAnsi" w:hAnsiTheme="majorHAnsi" w:cstheme="majorBidi"/>
          <w:color w:val="000000" w:themeColor="text1"/>
        </w:rPr>
        <w:t>Materials incorporated into the device, with particular</w:t>
      </w:r>
      <w:r w:rsidRPr="003015CD">
        <w:rPr>
          <w:rFonts w:asciiTheme="majorHAnsi" w:hAnsiTheme="majorHAnsi"/>
          <w:color w:val="000000" w:themeColor="text1"/>
        </w:rPr>
        <w:t xml:space="preserve"> attention </w:t>
      </w:r>
      <w:r w:rsidRPr="003015CD">
        <w:rPr>
          <w:rFonts w:asciiTheme="majorHAnsi" w:hAnsiTheme="majorHAnsi" w:cstheme="majorBidi"/>
          <w:color w:val="000000" w:themeColor="text1"/>
        </w:rPr>
        <w:t>to</w:t>
      </w:r>
      <w:r w:rsidRPr="003015CD">
        <w:rPr>
          <w:rFonts w:asciiTheme="majorHAnsi" w:hAnsiTheme="majorHAnsi"/>
          <w:color w:val="000000" w:themeColor="text1"/>
        </w:rPr>
        <w:t>:</w:t>
      </w:r>
    </w:p>
    <w:p w14:paraId="2BD7344F" w14:textId="61486ECB" w:rsidR="00FD03E5" w:rsidRPr="003015CD" w:rsidRDefault="00FD03E5" w:rsidP="00081885">
      <w:pPr>
        <w:pStyle w:val="Paragraphedeliste"/>
        <w:numPr>
          <w:ilvl w:val="2"/>
          <w:numId w:val="6"/>
        </w:numPr>
        <w:rPr>
          <w:rFonts w:asciiTheme="majorHAnsi" w:hAnsiTheme="majorHAnsi"/>
          <w:color w:val="000000" w:themeColor="text1"/>
        </w:rPr>
      </w:pPr>
      <w:r w:rsidRPr="003015CD">
        <w:rPr>
          <w:rFonts w:asciiTheme="majorHAnsi" w:hAnsiTheme="majorHAnsi" w:cstheme="majorBidi"/>
          <w:color w:val="000000" w:themeColor="text1"/>
        </w:rPr>
        <w:t>Any</w:t>
      </w:r>
      <w:r w:rsidRPr="003015CD">
        <w:rPr>
          <w:rFonts w:asciiTheme="majorHAnsi" w:hAnsiTheme="majorHAnsi"/>
          <w:color w:val="000000" w:themeColor="text1"/>
        </w:rPr>
        <w:t xml:space="preserve"> substances which are carcinogenic, mutagenic or toxic to reproduction (‘CMR’) and substances having endocrine-disrupting properties (ED) </w:t>
      </w:r>
      <w:r w:rsidRPr="003015CD">
        <w:rPr>
          <w:rFonts w:asciiTheme="majorHAnsi" w:hAnsiTheme="majorHAnsi" w:cstheme="majorBidi"/>
          <w:color w:val="000000" w:themeColor="text1"/>
        </w:rPr>
        <w:t xml:space="preserve"> </w:t>
      </w:r>
    </w:p>
    <w:p w14:paraId="79FE8540" w14:textId="0669B6EC" w:rsidR="00FD03E5" w:rsidRPr="003015CD" w:rsidRDefault="00FD03E5" w:rsidP="00081885">
      <w:pPr>
        <w:pStyle w:val="Paragraphedeliste"/>
        <w:numPr>
          <w:ilvl w:val="2"/>
          <w:numId w:val="6"/>
        </w:numPr>
        <w:rPr>
          <w:rFonts w:asciiTheme="majorHAnsi" w:hAnsiTheme="majorHAnsi"/>
          <w:color w:val="000000" w:themeColor="text1"/>
        </w:rPr>
      </w:pPr>
      <w:r w:rsidRPr="003015CD">
        <w:rPr>
          <w:rFonts w:asciiTheme="majorHAnsi" w:hAnsiTheme="majorHAnsi" w:cstheme="majorBidi"/>
          <w:color w:val="000000" w:themeColor="text1"/>
        </w:rPr>
        <w:t>Any</w:t>
      </w:r>
      <w:r w:rsidRPr="003015CD">
        <w:rPr>
          <w:rFonts w:asciiTheme="majorHAnsi" w:hAnsiTheme="majorHAnsi"/>
          <w:color w:val="000000" w:themeColor="text1"/>
        </w:rPr>
        <w:t xml:space="preserve"> medicinal substance</w:t>
      </w:r>
      <w:r w:rsidRPr="003015CD">
        <w:rPr>
          <w:rFonts w:asciiTheme="majorHAnsi" w:hAnsiTheme="majorHAnsi" w:cstheme="majorBidi"/>
          <w:color w:val="000000" w:themeColor="text1"/>
        </w:rPr>
        <w:t>,</w:t>
      </w:r>
      <w:r w:rsidRPr="003015CD">
        <w:rPr>
          <w:rFonts w:asciiTheme="majorHAnsi" w:hAnsiTheme="majorHAnsi"/>
          <w:color w:val="000000" w:themeColor="text1"/>
        </w:rPr>
        <w:t xml:space="preserve"> including a medicinal product derived from human blood or human plasma</w:t>
      </w:r>
      <w:r w:rsidRPr="003015CD">
        <w:rPr>
          <w:rFonts w:asciiTheme="majorHAnsi" w:hAnsiTheme="majorHAnsi" w:cstheme="majorBidi"/>
          <w:color w:val="000000" w:themeColor="text1"/>
        </w:rPr>
        <w:t xml:space="preserve"> </w:t>
      </w:r>
    </w:p>
    <w:p w14:paraId="344ADE30" w14:textId="7ABD58B4" w:rsidR="00FD03E5" w:rsidRPr="003015CD" w:rsidRDefault="00FD03E5" w:rsidP="00081885">
      <w:pPr>
        <w:pStyle w:val="Paragraphedeliste"/>
        <w:numPr>
          <w:ilvl w:val="2"/>
          <w:numId w:val="6"/>
        </w:numPr>
        <w:rPr>
          <w:rFonts w:asciiTheme="majorHAnsi" w:hAnsiTheme="majorHAnsi"/>
          <w:color w:val="000000" w:themeColor="text1"/>
        </w:rPr>
      </w:pPr>
      <w:r w:rsidRPr="003015CD">
        <w:rPr>
          <w:rFonts w:asciiTheme="majorHAnsi" w:hAnsiTheme="majorHAnsi" w:cstheme="majorBidi"/>
          <w:color w:val="000000" w:themeColor="text1"/>
        </w:rPr>
        <w:t>Any</w:t>
      </w:r>
      <w:r w:rsidRPr="003015CD">
        <w:rPr>
          <w:rFonts w:asciiTheme="majorHAnsi" w:hAnsiTheme="majorHAnsi"/>
          <w:color w:val="000000" w:themeColor="text1"/>
        </w:rPr>
        <w:t xml:space="preserve"> tissues or cells of human or animal origin</w:t>
      </w:r>
      <w:r w:rsidRPr="003015CD">
        <w:rPr>
          <w:rFonts w:asciiTheme="majorHAnsi" w:hAnsiTheme="majorHAnsi" w:cstheme="majorBidi"/>
          <w:color w:val="000000" w:themeColor="text1"/>
        </w:rPr>
        <w:t xml:space="preserve"> or</w:t>
      </w:r>
      <w:r w:rsidRPr="003015CD">
        <w:rPr>
          <w:rFonts w:asciiTheme="majorHAnsi" w:hAnsiTheme="majorHAnsi"/>
          <w:color w:val="000000" w:themeColor="text1"/>
        </w:rPr>
        <w:t xml:space="preserve"> their derivatives, which are non-viable or rendered non-viable</w:t>
      </w:r>
      <w:r w:rsidR="003D2238" w:rsidRPr="003015CD">
        <w:rPr>
          <w:rFonts w:asciiTheme="majorHAnsi" w:hAnsiTheme="majorHAnsi"/>
          <w:color w:val="000000" w:themeColor="text1"/>
        </w:rPr>
        <w:t>.</w:t>
      </w:r>
    </w:p>
    <w:p w14:paraId="373AADAE" w14:textId="67DFF362"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Bidi"/>
          <w:color w:val="000000" w:themeColor="text1"/>
        </w:rPr>
        <w:t xml:space="preserve">Any relevant known and foreseeable </w:t>
      </w:r>
      <w:r w:rsidRPr="003015CD">
        <w:rPr>
          <w:rFonts w:asciiTheme="majorHAnsi" w:hAnsiTheme="majorHAnsi"/>
          <w:color w:val="000000" w:themeColor="text1"/>
        </w:rPr>
        <w:t xml:space="preserve">risks </w:t>
      </w:r>
      <w:r w:rsidRPr="003015CD">
        <w:rPr>
          <w:rFonts w:asciiTheme="majorHAnsi" w:hAnsiTheme="majorHAnsi" w:cstheme="majorBidi"/>
          <w:color w:val="000000" w:themeColor="text1"/>
        </w:rPr>
        <w:t>associated with use of the device</w:t>
      </w:r>
    </w:p>
    <w:p w14:paraId="6125C8AC" w14:textId="10C7CE92"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Bidi"/>
          <w:color w:val="000000" w:themeColor="text1"/>
        </w:rPr>
        <w:t>Any relevant non-clinical data, if used in accordance with section 8</w:t>
      </w:r>
    </w:p>
    <w:p w14:paraId="01904DDF" w14:textId="77777777"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HAnsi"/>
          <w:color w:val="000000" w:themeColor="text1"/>
        </w:rPr>
        <w:t>Any specific requirements that may apply to the device in question, including</w:t>
      </w:r>
    </w:p>
    <w:p w14:paraId="18082042" w14:textId="4407B016"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Required clinical investigations per MDR Article 61(4)-(6), see MDCG 2023-7</w:t>
      </w:r>
    </w:p>
    <w:p w14:paraId="0ACA38F5" w14:textId="4467299C"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Well-established technologies per MDR Article 61(8), see MDCG 2020-6</w:t>
      </w:r>
    </w:p>
    <w:p w14:paraId="0AF7B7BB" w14:textId="0EFFE95C"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Products listed in Annex XVI per MDR Article 61(9)</w:t>
      </w:r>
    </w:p>
    <w:p w14:paraId="5C503CEA" w14:textId="637D1BE5"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Where demonstration of conformity with GSPRs based on clinical data is deemed not appropriate per MDR Article 61(10)</w:t>
      </w:r>
    </w:p>
    <w:p w14:paraId="0D3DB324" w14:textId="51F89B59"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Where clinical evaluation is intended to be based on clinical data relating to a device for which equivalence to the device in question can be demonstrated per MDR Annex XIV section 3, see MDCG 2020-5</w:t>
      </w:r>
      <w:r w:rsidR="003D2238" w:rsidRPr="003015CD">
        <w:rPr>
          <w:rFonts w:asciiTheme="majorHAnsi" w:hAnsiTheme="majorHAnsi" w:cstheme="majorBidi"/>
          <w:color w:val="000000" w:themeColor="text1"/>
        </w:rPr>
        <w:t>.</w:t>
      </w:r>
    </w:p>
    <w:p w14:paraId="130E2ADF" w14:textId="77777777"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Bidi"/>
          <w:color w:val="000000" w:themeColor="text1"/>
        </w:rPr>
        <w:t xml:space="preserve">Any other relevant guidance </w:t>
      </w:r>
      <w:r w:rsidRPr="003015CD">
        <w:rPr>
          <w:rFonts w:asciiTheme="majorHAnsi" w:hAnsiTheme="majorHAnsi"/>
          <w:color w:val="000000" w:themeColor="text1"/>
        </w:rPr>
        <w:t xml:space="preserve">or </w:t>
      </w:r>
      <w:r w:rsidRPr="003015CD">
        <w:rPr>
          <w:rFonts w:asciiTheme="majorHAnsi" w:hAnsiTheme="majorHAnsi" w:cstheme="majorBidi"/>
          <w:color w:val="000000" w:themeColor="text1"/>
        </w:rPr>
        <w:t>standards that may apply to the device, including</w:t>
      </w:r>
    </w:p>
    <w:p w14:paraId="218F68BB" w14:textId="2E104AB9"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Orphan devices and breakthrough devices, see Appendix A11</w:t>
      </w:r>
    </w:p>
    <w:p w14:paraId="15B19EDC"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Custom made devices</w:t>
      </w:r>
    </w:p>
    <w:p w14:paraId="5A2817FD"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Devices manufactured in a healthcare institution</w:t>
      </w:r>
    </w:p>
    <w:p w14:paraId="4F2D3C58"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Legacy devices</w:t>
      </w:r>
    </w:p>
    <w:p w14:paraId="1570EA57" w14:textId="77777777" w:rsidR="00FD03E5" w:rsidRPr="003015CD" w:rsidRDefault="00FD03E5" w:rsidP="00081885">
      <w:pPr>
        <w:pStyle w:val="Paragraphedeliste"/>
        <w:numPr>
          <w:ilvl w:val="1"/>
          <w:numId w:val="6"/>
        </w:numPr>
        <w:rPr>
          <w:rFonts w:asciiTheme="majorHAnsi" w:hAnsiTheme="majorHAnsi" w:cstheme="majorBidi"/>
          <w:color w:val="000000" w:themeColor="text1"/>
        </w:rPr>
      </w:pPr>
      <w:r w:rsidRPr="003015CD">
        <w:rPr>
          <w:rFonts w:asciiTheme="majorHAnsi" w:hAnsiTheme="majorHAnsi" w:cstheme="majorBidi"/>
          <w:color w:val="000000" w:themeColor="text1"/>
        </w:rPr>
        <w:t>Relevant harmonised standards, common specifications, other MDCG guidance, or appropriate expert consensus clinical guidance, if any</w:t>
      </w:r>
    </w:p>
    <w:p w14:paraId="27DAD470" w14:textId="77777777" w:rsidR="00FD03E5" w:rsidRPr="003015CD" w:rsidRDefault="00FD03E5" w:rsidP="00081885">
      <w:pPr>
        <w:pStyle w:val="Paragraphedeliste"/>
        <w:numPr>
          <w:ilvl w:val="0"/>
          <w:numId w:val="6"/>
        </w:numPr>
        <w:rPr>
          <w:rFonts w:asciiTheme="majorHAnsi" w:hAnsiTheme="majorHAnsi" w:cstheme="majorBidi"/>
          <w:color w:val="000000" w:themeColor="text1"/>
        </w:rPr>
      </w:pPr>
      <w:r w:rsidRPr="003015CD">
        <w:rPr>
          <w:rFonts w:asciiTheme="majorHAnsi" w:hAnsiTheme="majorHAnsi" w:cstheme="majorHAnsi"/>
          <w:color w:val="000000" w:themeColor="text1"/>
        </w:rPr>
        <w:t>Any relevant views expressed by an expert panel, if consulted in line with MDR Article 61(2).</w:t>
      </w:r>
    </w:p>
    <w:p w14:paraId="11149572" w14:textId="69B9871A"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In general, the specified level of clinical evidence needed must be appropriate in view of the characteristics of the device and its intended purpose. To that end, it should be proportionate to the risk associated with the use of the device. The level should be sufficient to be reasonably likely to identify and evaluate undesirable side-effects and risks throughout the expected lifetime of the device. The intended clinical</w:t>
      </w:r>
      <w:r w:rsidRPr="003015CD">
        <w:rPr>
          <w:rFonts w:asciiTheme="majorHAnsi" w:hAnsiTheme="majorHAnsi"/>
          <w:color w:val="000000" w:themeColor="text1"/>
        </w:rPr>
        <w:t xml:space="preserve"> benefits </w:t>
      </w:r>
      <w:r w:rsidRPr="003015CD">
        <w:rPr>
          <w:rFonts w:asciiTheme="majorHAnsi" w:hAnsiTheme="majorHAnsi" w:cstheme="majorBidi"/>
          <w:color w:val="000000" w:themeColor="text1"/>
        </w:rPr>
        <w:t>should also be considered, and the clinical evidence must be sufficient to confirm that the benefit-risk ratio is acceptable throughout its expected lifetime, when compared against the SOTA including currently</w:t>
      </w:r>
      <w:r w:rsidRPr="003015CD">
        <w:rPr>
          <w:rFonts w:asciiTheme="majorHAnsi" w:hAnsiTheme="majorHAnsi"/>
          <w:color w:val="000000" w:themeColor="text1"/>
        </w:rPr>
        <w:t xml:space="preserve"> available </w:t>
      </w:r>
      <w:r w:rsidRPr="003015CD">
        <w:rPr>
          <w:rFonts w:asciiTheme="majorHAnsi" w:hAnsiTheme="majorHAnsi" w:cstheme="majorBidi"/>
          <w:color w:val="000000" w:themeColor="text1"/>
        </w:rPr>
        <w:t xml:space="preserve">alternative treatment options, if any. </w:t>
      </w:r>
    </w:p>
    <w:p w14:paraId="5DB5F833" w14:textId="4C63E393"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Where appropriate, the level of clinical evidence needed should be specified for each indication, with respect to the confirmation of safety and clinical performance, and the evaluation of side-effects and the acceptability of the benefit-risk profile. The level of clinical evidence needed should duly consider, as applicable, any harmonised standards and common specifications, while also taking into consideration other relevant sources of information such as expert panel opinions, guidance, non-harmonised standards, and scientific literature, in the context of the SOTA.</w:t>
      </w:r>
    </w:p>
    <w:p w14:paraId="28FFA8CD"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Once clearly defined, these specifications can act as the level to which the clinical data for the device should be compared during clinical evaluation, and in particular during analysis (see Stage 3). If, following analysis, the evaluators can demonstrate and justify that the</w:t>
      </w:r>
      <w:r w:rsidRPr="003015CD">
        <w:rPr>
          <w:rFonts w:asciiTheme="majorHAnsi" w:hAnsiTheme="majorHAnsi"/>
          <w:color w:val="000000" w:themeColor="text1"/>
        </w:rPr>
        <w:t xml:space="preserve"> available</w:t>
      </w:r>
      <w:r w:rsidRPr="003015CD">
        <w:rPr>
          <w:rFonts w:asciiTheme="majorHAnsi" w:hAnsiTheme="majorHAnsi" w:cstheme="majorHAnsi"/>
          <w:color w:val="000000" w:themeColor="text1"/>
        </w:rPr>
        <w:t xml:space="preserve"> clinical data meet these specifications, then it may be considered that sufficient clinical evidence has been provided for the purposes outlined in MDR Article 61(1). If the available clinical data do not fully meet the specified level of clinical evidence needed, then the manufacturer will need to generate additional clinical data focused on the aspects that have not been met, see Stage 4.</w:t>
      </w:r>
    </w:p>
    <w:p w14:paraId="65D57C75" w14:textId="77777777" w:rsidR="00AA66C8" w:rsidRPr="003015CD" w:rsidRDefault="00AA66C8" w:rsidP="00081885">
      <w:pPr>
        <w:jc w:val="both"/>
        <w:rPr>
          <w:rFonts w:asciiTheme="majorHAnsi" w:hAnsiTheme="majorHAnsi" w:cstheme="majorHAnsi"/>
          <w:b/>
          <w:bCs/>
          <w:color w:val="000000" w:themeColor="text1"/>
        </w:rPr>
      </w:pPr>
    </w:p>
    <w:p w14:paraId="72FB8601" w14:textId="77777777" w:rsidR="00FD03E5" w:rsidRPr="003015CD" w:rsidRDefault="00FD03E5" w:rsidP="00081885">
      <w:pPr>
        <w:jc w:val="both"/>
        <w:rPr>
          <w:rFonts w:asciiTheme="majorHAnsi" w:hAnsiTheme="majorHAnsi" w:cstheme="majorHAnsi"/>
          <w:color w:val="000000" w:themeColor="text1"/>
          <w:u w:val="single"/>
        </w:rPr>
      </w:pPr>
      <w:r w:rsidRPr="003015CD">
        <w:rPr>
          <w:rFonts w:asciiTheme="majorHAnsi" w:hAnsiTheme="majorHAnsi" w:cstheme="majorHAnsi"/>
          <w:color w:val="000000" w:themeColor="text1"/>
          <w:u w:val="single"/>
        </w:rPr>
        <w:t xml:space="preserve">Updates to determination of clinical evidence needed </w:t>
      </w:r>
    </w:p>
    <w:p w14:paraId="3650C3C8"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As part of the continuous clinical evaluation process, it is expected that the manufacturer’s specification of the level of clinical evidence needed is re-evaluated at appropriate periods. This is particularly relevant for devices that undergo changes in design or manufacture after placement on the market, (e.g., new models or iterations, or changes in response to vigilance reports or market surveillance). Special attention should be given to the following aspects with respect to their potential impact on the clinical evidence needed for the device, where relevant: </w:t>
      </w:r>
    </w:p>
    <w:p w14:paraId="5373AD64" w14:textId="6CF7591E" w:rsidR="00FD03E5" w:rsidRPr="003015CD" w:rsidRDefault="00FD03E5" w:rsidP="00081885">
      <w:pPr>
        <w:numPr>
          <w:ilvl w:val="0"/>
          <w:numId w:val="11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new design features, including new materials and ergonomic features</w:t>
      </w:r>
    </w:p>
    <w:p w14:paraId="17CFB816" w14:textId="2213CBF8" w:rsidR="00FD03E5" w:rsidRPr="003015CD" w:rsidRDefault="00FD03E5" w:rsidP="00081885">
      <w:pPr>
        <w:numPr>
          <w:ilvl w:val="0"/>
          <w:numId w:val="114"/>
        </w:numPr>
        <w:jc w:val="both"/>
        <w:rPr>
          <w:rFonts w:asciiTheme="majorHAnsi" w:hAnsiTheme="majorHAnsi"/>
          <w:color w:val="000000" w:themeColor="text1"/>
        </w:rPr>
      </w:pPr>
      <w:r w:rsidRPr="003015CD">
        <w:rPr>
          <w:rFonts w:asciiTheme="majorHAnsi" w:hAnsiTheme="majorHAnsi" w:cstheme="majorHAnsi"/>
          <w:color w:val="000000" w:themeColor="text1"/>
        </w:rPr>
        <w:t>new intended purposes</w:t>
      </w:r>
      <w:r w:rsidRPr="003015CD">
        <w:rPr>
          <w:rFonts w:asciiTheme="majorHAnsi" w:hAnsiTheme="majorHAnsi"/>
          <w:color w:val="000000" w:themeColor="text1"/>
          <w:szCs w:val="22"/>
        </w:rPr>
        <w:t xml:space="preserve">, including </w:t>
      </w:r>
      <w:r w:rsidRPr="003015CD">
        <w:rPr>
          <w:rFonts w:asciiTheme="majorHAnsi" w:hAnsiTheme="majorHAnsi" w:cstheme="majorHAnsi"/>
          <w:color w:val="000000" w:themeColor="text1"/>
        </w:rPr>
        <w:t>new</w:t>
      </w:r>
      <w:r w:rsidRPr="003015CD">
        <w:rPr>
          <w:rFonts w:asciiTheme="majorHAnsi" w:hAnsiTheme="majorHAnsi"/>
          <w:color w:val="000000" w:themeColor="text1"/>
        </w:rPr>
        <w:t xml:space="preserve"> indications</w:t>
      </w:r>
      <w:r w:rsidRPr="003015CD">
        <w:rPr>
          <w:rFonts w:asciiTheme="majorHAnsi" w:hAnsiTheme="majorHAnsi" w:cstheme="majorHAnsi"/>
          <w:color w:val="000000" w:themeColor="text1"/>
        </w:rPr>
        <w:t>, new</w:t>
      </w:r>
      <w:r w:rsidRPr="003015CD">
        <w:rPr>
          <w:rFonts w:asciiTheme="majorHAnsi" w:hAnsiTheme="majorHAnsi"/>
          <w:color w:val="000000" w:themeColor="text1"/>
        </w:rPr>
        <w:t xml:space="preserve"> target populations </w:t>
      </w:r>
      <w:r w:rsidRPr="003015CD">
        <w:rPr>
          <w:rFonts w:asciiTheme="majorHAnsi" w:hAnsiTheme="majorHAnsi" w:cstheme="majorHAnsi"/>
          <w:color w:val="000000" w:themeColor="text1"/>
        </w:rPr>
        <w:t>(age, sex, etc.)</w:t>
      </w:r>
    </w:p>
    <w:p w14:paraId="16D5E6E8" w14:textId="3CB85899" w:rsidR="00FD03E5" w:rsidRPr="003015CD" w:rsidRDefault="00FD03E5" w:rsidP="00081885">
      <w:pPr>
        <w:numPr>
          <w:ilvl w:val="0"/>
          <w:numId w:val="115"/>
        </w:numPr>
        <w:jc w:val="both"/>
        <w:rPr>
          <w:rFonts w:asciiTheme="majorHAnsi" w:hAnsiTheme="majorHAnsi" w:cstheme="majorHAnsi"/>
          <w:color w:val="000000" w:themeColor="text1"/>
        </w:rPr>
      </w:pPr>
      <w:r w:rsidRPr="003015CD">
        <w:rPr>
          <w:rFonts w:asciiTheme="majorHAnsi" w:hAnsiTheme="majorHAnsi"/>
          <w:color w:val="000000" w:themeColor="text1"/>
        </w:rPr>
        <w:t>new claims the manufacturer intends to use</w:t>
      </w:r>
    </w:p>
    <w:p w14:paraId="27080DA0" w14:textId="7D8C008B" w:rsidR="00FD03E5" w:rsidRPr="003015CD" w:rsidRDefault="00FD03E5" w:rsidP="00081885">
      <w:pPr>
        <w:numPr>
          <w:ilvl w:val="0"/>
          <w:numId w:val="11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new types of users (e.g. lay persons)</w:t>
      </w:r>
    </w:p>
    <w:p w14:paraId="7AFF8791" w14:textId="6567FA3B" w:rsidR="00FD03E5" w:rsidRPr="003015CD" w:rsidRDefault="00FD03E5" w:rsidP="00081885">
      <w:pPr>
        <w:numPr>
          <w:ilvl w:val="0"/>
          <w:numId w:val="117"/>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new risks associated with the device  </w:t>
      </w:r>
    </w:p>
    <w:p w14:paraId="3800BAB7" w14:textId="787A5379" w:rsidR="00FD03E5" w:rsidRPr="003015CD" w:rsidRDefault="00FD03E5" w:rsidP="00081885">
      <w:pPr>
        <w:numPr>
          <w:ilvl w:val="0"/>
          <w:numId w:val="11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changes to the invasiveness, duration of use, or numbers of re-applications</w:t>
      </w:r>
    </w:p>
    <w:p w14:paraId="0F07CDD5" w14:textId="4A90BAF9" w:rsidR="00FD03E5" w:rsidRPr="003015CD" w:rsidRDefault="00FD03E5" w:rsidP="00081885">
      <w:pPr>
        <w:numPr>
          <w:ilvl w:val="0"/>
          <w:numId w:val="1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changes to the </w:t>
      </w:r>
      <w:r w:rsidR="00681D6D" w:rsidRPr="003015CD">
        <w:rPr>
          <w:rFonts w:asciiTheme="majorHAnsi" w:hAnsiTheme="majorHAnsi" w:cstheme="majorHAnsi"/>
          <w:color w:val="000000" w:themeColor="text1"/>
        </w:rPr>
        <w:t>SOTA</w:t>
      </w:r>
      <w:r w:rsidR="00197855"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including any changes or emergent issues related to available alternative treatment options if any</w:t>
      </w:r>
    </w:p>
    <w:p w14:paraId="39702591" w14:textId="77777777" w:rsidR="00FD03E5" w:rsidRPr="003015CD" w:rsidRDefault="00FD03E5" w:rsidP="00081885">
      <w:pPr>
        <w:numPr>
          <w:ilvl w:val="0"/>
          <w:numId w:val="123"/>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Any new relevant guidance, harmonised standards, or common specifications that may have been published since the previous clinical (re-)evaluation as part of the continuous clinical evaluation process.</w:t>
      </w:r>
    </w:p>
    <w:p w14:paraId="49F808DE" w14:textId="77777777" w:rsidR="00437598" w:rsidRPr="003015CD" w:rsidRDefault="00437598">
      <w:pPr>
        <w:spacing w:before="0" w:after="0"/>
        <w:rPr>
          <w:b/>
          <w:bCs/>
          <w:sz w:val="32"/>
          <w:szCs w:val="28"/>
        </w:rPr>
      </w:pPr>
      <w:bookmarkStart w:id="291" w:name="_Toc446499067"/>
      <w:bookmarkStart w:id="292" w:name="_Ref164529833"/>
      <w:bookmarkStart w:id="293" w:name="_Ref233808448"/>
      <w:r w:rsidRPr="003015CD">
        <w:br w:type="page"/>
      </w:r>
    </w:p>
    <w:p w14:paraId="6E9AB2A0" w14:textId="16EE2B19" w:rsidR="00FD03E5" w:rsidRPr="003015CD" w:rsidRDefault="00FD03E5" w:rsidP="00081885">
      <w:pPr>
        <w:pStyle w:val="App2"/>
        <w:tabs>
          <w:tab w:val="clear" w:pos="567"/>
          <w:tab w:val="clear" w:pos="709"/>
          <w:tab w:val="left" w:pos="284"/>
        </w:tabs>
        <w:ind w:left="426"/>
        <w:jc w:val="both"/>
      </w:pPr>
      <w:bookmarkStart w:id="294" w:name="_Toc236912946"/>
      <w:r w:rsidRPr="003015CD">
        <w:t>Clinical evaluation report - proposed table of contents, examples of contents</w:t>
      </w:r>
      <w:bookmarkEnd w:id="291"/>
      <w:bookmarkEnd w:id="292"/>
      <w:bookmarkEnd w:id="293"/>
      <w:bookmarkEnd w:id="294"/>
    </w:p>
    <w:p w14:paraId="3FC3A8E6" w14:textId="1A929C35"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The creation and updating of a CER is a crucial requirement of MDR for the confirmation of conformity with relevant GSPRs. </w:t>
      </w:r>
    </w:p>
    <w:p w14:paraId="5033544C"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CER should be developed by the manufacturer as a standalone document and includes all the relevant information and the analysis required to provide evidence for the confirmation of conformity with relevant GSPRs. The inclusion of data which does not directly support this analysis should be avoided. Detailed source of data should be provided as annexes to the CER (e.g. full copy of publications, full list of literature search results, clinical investigation plan and report, both for the device under evaluation and the equivalent device (if any), etc.).</w:t>
      </w:r>
    </w:p>
    <w:p w14:paraId="5C35D228" w14:textId="77777777" w:rsidR="00FD03E5" w:rsidRPr="003015CD" w:rsidRDefault="00FD03E5" w:rsidP="00081885">
      <w:pPr>
        <w:jc w:val="both"/>
        <w:rPr>
          <w:rFonts w:asciiTheme="majorHAnsi" w:hAnsiTheme="majorHAnsi" w:cstheme="majorHAnsi"/>
          <w:color w:val="000000" w:themeColor="text1"/>
        </w:rPr>
      </w:pPr>
    </w:p>
    <w:p w14:paraId="0EFE94CA" w14:textId="71DA006F"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content of the table below is for illustration and further elements may be relevant. The content of the clinical evaluation report will vary according to the lifecycle phase, technology and history of the device under evaluation. </w:t>
      </w:r>
    </w:p>
    <w:tbl>
      <w:tblPr>
        <w:tblpPr w:leftFromText="141" w:rightFromText="141" w:vertAnchor="text" w:horzAnchor="margin" w:tblpY="3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680"/>
      </w:tblGrid>
      <w:tr w:rsidR="00FD03E5" w:rsidRPr="003015CD" w14:paraId="756EC89A" w14:textId="77777777">
        <w:tc>
          <w:tcPr>
            <w:tcW w:w="1531" w:type="pct"/>
            <w:shd w:val="clear" w:color="auto" w:fill="D9D9D9" w:themeFill="background1" w:themeFillShade="D9"/>
          </w:tcPr>
          <w:p w14:paraId="579EB810" w14:textId="77777777" w:rsidR="00FD03E5" w:rsidRPr="003015CD" w:rsidRDefault="00FD03E5" w:rsidP="00081885">
            <w:pPr>
              <w:keepNext/>
              <w:keepLines/>
              <w:jc w:val="both"/>
              <w:rPr>
                <w:rFonts w:asciiTheme="majorHAnsi" w:hAnsiTheme="majorHAnsi" w:cstheme="majorHAnsi"/>
                <w:b/>
                <w:color w:val="000000" w:themeColor="text1"/>
              </w:rPr>
            </w:pPr>
            <w:r w:rsidRPr="003015CD">
              <w:rPr>
                <w:rFonts w:asciiTheme="majorHAnsi" w:hAnsiTheme="majorHAnsi" w:cstheme="majorHAnsi"/>
                <w:b/>
                <w:color w:val="000000" w:themeColor="text1"/>
              </w:rPr>
              <w:t>Table of contents</w:t>
            </w:r>
          </w:p>
        </w:tc>
        <w:tc>
          <w:tcPr>
            <w:tcW w:w="3469" w:type="pct"/>
            <w:shd w:val="clear" w:color="auto" w:fill="D9D9D9" w:themeFill="background1" w:themeFillShade="D9"/>
          </w:tcPr>
          <w:p w14:paraId="7F081DDE" w14:textId="77777777" w:rsidR="00FD03E5" w:rsidRPr="003015CD" w:rsidRDefault="00FD03E5" w:rsidP="00081885">
            <w:pPr>
              <w:keepNext/>
              <w:keepLines/>
              <w:jc w:val="both"/>
              <w:rPr>
                <w:rFonts w:asciiTheme="majorHAnsi" w:hAnsiTheme="majorHAnsi" w:cstheme="majorHAnsi"/>
                <w:b/>
                <w:color w:val="000000" w:themeColor="text1"/>
              </w:rPr>
            </w:pPr>
            <w:r w:rsidRPr="003015CD">
              <w:rPr>
                <w:rFonts w:asciiTheme="majorHAnsi" w:hAnsiTheme="majorHAnsi" w:cstheme="majorHAnsi"/>
                <w:b/>
                <w:color w:val="000000" w:themeColor="text1"/>
              </w:rPr>
              <w:t>Examples</w:t>
            </w:r>
          </w:p>
        </w:tc>
      </w:tr>
      <w:tr w:rsidR="00FD03E5" w:rsidRPr="003015CD" w14:paraId="7C82D1FF" w14:textId="77777777">
        <w:tc>
          <w:tcPr>
            <w:tcW w:w="1531" w:type="pct"/>
            <w:tcBorders>
              <w:bottom w:val="single" w:sz="4" w:space="0" w:color="auto"/>
            </w:tcBorders>
          </w:tcPr>
          <w:p w14:paraId="3612BEFF" w14:textId="77777777" w:rsidR="00FD03E5" w:rsidRPr="003015CD" w:rsidRDefault="00FD03E5" w:rsidP="00081885">
            <w:pPr>
              <w:keepNext/>
              <w:keepLines/>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Summary</w:t>
            </w:r>
          </w:p>
        </w:tc>
        <w:tc>
          <w:tcPr>
            <w:tcW w:w="3469" w:type="pct"/>
            <w:tcBorders>
              <w:bottom w:val="single" w:sz="4" w:space="0" w:color="auto"/>
            </w:tcBorders>
          </w:tcPr>
          <w:p w14:paraId="08360AA4" w14:textId="77777777" w:rsidR="00FD03E5" w:rsidRPr="003015CD" w:rsidRDefault="00FD03E5" w:rsidP="00081885">
            <w:pPr>
              <w:keepNext/>
              <w:keepLines/>
              <w:jc w:val="both"/>
              <w:rPr>
                <w:rFonts w:asciiTheme="majorHAnsi" w:hAnsiTheme="majorHAnsi" w:cstheme="majorHAnsi"/>
                <w:color w:val="000000" w:themeColor="text1"/>
              </w:rPr>
            </w:pPr>
            <w:r w:rsidRPr="003015CD">
              <w:rPr>
                <w:rFonts w:asciiTheme="majorHAnsi" w:hAnsiTheme="majorHAnsi" w:cstheme="majorHAnsi"/>
                <w:color w:val="000000" w:themeColor="text1"/>
              </w:rPr>
              <w:t>Executive summary.</w:t>
            </w:r>
          </w:p>
          <w:p w14:paraId="1C42EC6E" w14:textId="77777777" w:rsidR="00FD03E5" w:rsidRPr="003015CD" w:rsidRDefault="00FD03E5" w:rsidP="00081885">
            <w:pPr>
              <w:keepNext/>
              <w:keepLines/>
              <w:jc w:val="both"/>
              <w:rPr>
                <w:rFonts w:asciiTheme="majorHAnsi" w:hAnsiTheme="majorHAnsi" w:cstheme="majorHAnsi"/>
              </w:rPr>
            </w:pPr>
            <w:r w:rsidRPr="003015CD">
              <w:rPr>
                <w:rFonts w:asciiTheme="majorHAnsi" w:hAnsiTheme="majorHAnsi" w:cstheme="majorHAnsi"/>
                <w:color w:val="000000" w:themeColor="text1"/>
              </w:rPr>
              <w:t xml:space="preserve">This section should provide a concise executive summary focusing on the relevant aspects of clinical evaluation report to the notified body and/or regulatory </w:t>
            </w:r>
            <w:r w:rsidRPr="003015CD">
              <w:rPr>
                <w:rFonts w:asciiTheme="majorHAnsi" w:hAnsiTheme="majorHAnsi" w:cstheme="majorHAnsi"/>
              </w:rPr>
              <w:t>authorities.</w:t>
            </w:r>
          </w:p>
          <w:p w14:paraId="763F7BF1" w14:textId="6C1806F4" w:rsidR="00FD03E5" w:rsidRPr="003015CD" w:rsidRDefault="00FD03E5" w:rsidP="00B502BE">
            <w:pPr>
              <w:jc w:val="both"/>
              <w:rPr>
                <w:rFonts w:asciiTheme="majorHAnsi" w:hAnsiTheme="majorHAnsi" w:cstheme="majorHAnsi"/>
                <w:color w:val="000000" w:themeColor="text1"/>
              </w:rPr>
            </w:pPr>
            <w:r w:rsidRPr="003015CD">
              <w:rPr>
                <w:rFonts w:asciiTheme="majorHAnsi" w:hAnsiTheme="majorHAnsi" w:cstheme="majorBidi"/>
              </w:rPr>
              <w:t>It should provide a summary of the information on the clinical data</w:t>
            </w:r>
            <w:r w:rsidRPr="003015CD">
              <w:rPr>
                <w:rStyle w:val="Appelnotedebasdep"/>
                <w:rFonts w:asciiTheme="majorHAnsi" w:hAnsiTheme="majorHAnsi" w:cstheme="majorBidi"/>
              </w:rPr>
              <w:footnoteReference w:id="128"/>
            </w:r>
            <w:r w:rsidRPr="003015CD">
              <w:rPr>
                <w:rFonts w:asciiTheme="majorHAnsi" w:hAnsiTheme="majorHAnsi" w:cstheme="majorBidi"/>
              </w:rPr>
              <w:t xml:space="preserve"> supporting the clinical evidence</w:t>
            </w:r>
            <w:r w:rsidRPr="003015CD">
              <w:rPr>
                <w:rStyle w:val="Appelnotedebasdep"/>
                <w:rFonts w:asciiTheme="majorHAnsi" w:hAnsiTheme="majorHAnsi" w:cstheme="majorBidi"/>
              </w:rPr>
              <w:footnoteReference w:id="129"/>
            </w:r>
            <w:r w:rsidRPr="003015CD">
              <w:rPr>
                <w:rFonts w:asciiTheme="majorHAnsi" w:hAnsiTheme="majorHAnsi" w:cstheme="majorBidi"/>
              </w:rPr>
              <w:t xml:space="preserve"> for the confirmation of conformity with relevant GSPRs, including whether the clinical evaluation is based on clinical data of the device under evaluation and/or an equivalent device, </w:t>
            </w:r>
            <w:r w:rsidRPr="003015CD">
              <w:t>the determination of the benefit-risk profile in the intended target groups and medical indications, and the demonstration of acceptability of that profile based on the SOTA</w:t>
            </w:r>
            <w:r w:rsidR="00DD6563" w:rsidRPr="003015CD">
              <w:t xml:space="preserve"> </w:t>
            </w:r>
            <w:r w:rsidRPr="003015CD">
              <w:t xml:space="preserve">in the medical field concerned. </w:t>
            </w:r>
            <w:r w:rsidRPr="003015CD">
              <w:rPr>
                <w:rFonts w:asciiTheme="majorHAnsi" w:hAnsiTheme="majorHAnsi" w:cstheme="majorHAnsi"/>
                <w:color w:val="000000" w:themeColor="text1"/>
              </w:rPr>
              <w:t xml:space="preserve"> </w:t>
            </w:r>
          </w:p>
        </w:tc>
      </w:tr>
      <w:tr w:rsidR="00FD03E5" w:rsidRPr="003015CD" w14:paraId="147F8D34" w14:textId="77777777">
        <w:tc>
          <w:tcPr>
            <w:tcW w:w="1531" w:type="pct"/>
          </w:tcPr>
          <w:p w14:paraId="41BF10CF" w14:textId="77777777" w:rsidR="00FD03E5" w:rsidRPr="003015CD" w:rsidRDefault="00FD03E5" w:rsidP="00081885">
            <w:pPr>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Scope of the clinical evaluation and device under clinical evaluation</w:t>
            </w:r>
          </w:p>
        </w:tc>
        <w:tc>
          <w:tcPr>
            <w:tcW w:w="3469" w:type="pct"/>
          </w:tcPr>
          <w:p w14:paraId="59F4A1B3"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Key information necessary to understand the context of the clinical evaluation, particularly useful for the notified body and/or the regulatory authorities, related to the clinical evaluation (reflecting the CEP elements - See Section 7). </w:t>
            </w:r>
          </w:p>
          <w:p w14:paraId="18EC3B54" w14:textId="13ED2269"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Device description, as indicated in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_Ref233288598 \r \h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p>
          <w:p w14:paraId="39ACBD30" w14:textId="77777777" w:rsidR="00FD03E5" w:rsidRPr="003015CD" w:rsidRDefault="00FD03E5" w:rsidP="00081885">
            <w:pPr>
              <w:jc w:val="both"/>
            </w:pPr>
            <w:r w:rsidRPr="003015CD">
              <w:t xml:space="preserve">Applicable standards and guidance documents. </w:t>
            </w:r>
          </w:p>
          <w:p w14:paraId="32E2B2B4" w14:textId="77777777" w:rsidR="00FD03E5" w:rsidRPr="003015CD" w:rsidRDefault="00FD03E5" w:rsidP="00081885">
            <w:pPr>
              <w:pStyle w:val="List23"/>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If equivalence is claimed, an identification of the equivalent device(s) (by name and Basic UDI-DI if available, together with the name(s) of its/their manufacturer(s) and a description of how the equivalence has been demonstrated. </w:t>
            </w:r>
          </w:p>
          <w:p w14:paraId="3DEE7C2E" w14:textId="0B4DD9CF"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the device is already CE marked and since when, or where it is available on </w:t>
            </w:r>
            <w:r w:rsidR="00186639" w:rsidRPr="003015CD">
              <w:rPr>
                <w:rFonts w:asciiTheme="majorHAnsi" w:hAnsiTheme="majorHAnsi" w:cstheme="majorHAnsi"/>
                <w:color w:val="000000" w:themeColor="text1"/>
              </w:rPr>
              <w:t xml:space="preserve">a </w:t>
            </w:r>
            <w:r w:rsidRPr="003015CD">
              <w:rPr>
                <w:rFonts w:asciiTheme="majorHAnsi" w:hAnsiTheme="majorHAnsi" w:cstheme="majorHAnsi"/>
                <w:color w:val="000000" w:themeColor="text1"/>
              </w:rPr>
              <w:t xml:space="preserve">market outside the EU and since when. </w:t>
            </w:r>
          </w:p>
          <w:p w14:paraId="011ED3EC"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History of the device, including information on the regulatory history, whether it is a new device or a device developed by modifications of a previous version of the device, date of past modifications with reasons and description, and also a summary of sales volumes.</w:t>
            </w:r>
          </w:p>
          <w:p w14:paraId="2B2062EB" w14:textId="007B6282" w:rsidR="00FD03E5" w:rsidRPr="003015CD" w:rsidRDefault="00FD03E5" w:rsidP="0057150F">
            <w:pPr>
              <w:jc w:val="both"/>
              <w:rPr>
                <w:rFonts w:asciiTheme="majorHAnsi" w:hAnsiTheme="majorHAnsi" w:cstheme="majorHAnsi"/>
                <w:color w:val="000000" w:themeColor="text1"/>
              </w:rPr>
            </w:pPr>
            <w:r w:rsidRPr="003015CD">
              <w:rPr>
                <w:rFonts w:asciiTheme="majorHAnsi" w:hAnsiTheme="majorHAnsi" w:cstheme="majorHAnsi"/>
                <w:color w:val="000000" w:themeColor="text1"/>
              </w:rPr>
              <w:t>Changes since the last report, whether the device has been modified, models, sizes, software, accessories, new intended purposes, new claims, new events related to the device with an impact on the clinical evaluation. Identification of the sections of the clinical evaluation report that are concerned with the new information and have been modified.</w:t>
            </w:r>
          </w:p>
        </w:tc>
      </w:tr>
      <w:tr w:rsidR="00FD03E5" w:rsidRPr="003015CD" w14:paraId="6D953061" w14:textId="77777777">
        <w:tc>
          <w:tcPr>
            <w:tcW w:w="1531" w:type="pct"/>
            <w:tcBorders>
              <w:bottom w:val="single" w:sz="4" w:space="0" w:color="auto"/>
            </w:tcBorders>
          </w:tcPr>
          <w:p w14:paraId="7C58CC15" w14:textId="187EC077" w:rsidR="00FD03E5" w:rsidRPr="003015CD" w:rsidRDefault="00FD03E5" w:rsidP="00D35986">
            <w:pPr>
              <w:pStyle w:val="Paragraphedeliste"/>
              <w:numPr>
                <w:ilvl w:val="0"/>
                <w:numId w:val="21"/>
              </w:num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SOTA, including clinical background, </w:t>
            </w:r>
          </w:p>
        </w:tc>
        <w:tc>
          <w:tcPr>
            <w:tcW w:w="3469" w:type="pct"/>
            <w:tcBorders>
              <w:bottom w:val="single" w:sz="4" w:space="0" w:color="auto"/>
            </w:tcBorders>
          </w:tcPr>
          <w:p w14:paraId="370C4A8F" w14:textId="3933F937" w:rsidR="00FD03E5" w:rsidRPr="003015CD" w:rsidRDefault="00FD03E5" w:rsidP="00B502BE">
            <w:pPr>
              <w:pStyle w:val="List23"/>
              <w:numPr>
                <w:ilvl w:val="0"/>
                <w:numId w:val="0"/>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Description of the state of art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_Ref233282644 \r \h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A1</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w:t>
            </w:r>
            <w:r w:rsidRPr="003015CD">
              <w:rPr>
                <w:rFonts w:asciiTheme="majorHAnsi" w:hAnsiTheme="majorHAnsi" w:cstheme="majorHAnsi"/>
                <w:iCs/>
                <w:color w:val="000000" w:themeColor="text1"/>
              </w:rPr>
              <w:t>or</w:t>
            </w:r>
            <w:r w:rsidRPr="003015CD">
              <w:rPr>
                <w:rFonts w:asciiTheme="majorHAnsi" w:hAnsiTheme="majorHAnsi" w:cstheme="majorHAnsi"/>
                <w:color w:val="000000" w:themeColor="text1"/>
              </w:rPr>
              <w:t xml:space="preserve"> a</w:t>
            </w:r>
            <w:r w:rsidRPr="003015CD">
              <w:rPr>
                <w:rFonts w:asciiTheme="majorHAnsi" w:hAnsiTheme="majorHAnsi" w:cstheme="majorHAnsi"/>
                <w:i/>
                <w:iCs/>
                <w:color w:val="000000" w:themeColor="text1"/>
              </w:rPr>
              <w:t xml:space="preserve"> </w:t>
            </w:r>
            <w:r w:rsidRPr="003015CD">
              <w:rPr>
                <w:rFonts w:asciiTheme="majorHAnsi" w:hAnsiTheme="majorHAnsi" w:cstheme="majorHAnsi"/>
                <w:iCs/>
                <w:color w:val="000000" w:themeColor="text1"/>
              </w:rPr>
              <w:t>summary of key elements if the full description is reported in the CEP</w:t>
            </w:r>
            <w:r w:rsidRPr="003015CD">
              <w:rPr>
                <w:rFonts w:asciiTheme="majorHAnsi" w:hAnsiTheme="majorHAnsi" w:cstheme="majorHAnsi"/>
                <w:color w:val="000000" w:themeColor="text1"/>
              </w:rPr>
              <w:t xml:space="preserve"> or in a separate document.</w:t>
            </w:r>
          </w:p>
        </w:tc>
      </w:tr>
      <w:tr w:rsidR="00FD03E5" w:rsidRPr="003015CD" w14:paraId="0E7C2E22" w14:textId="77777777">
        <w:tc>
          <w:tcPr>
            <w:tcW w:w="1531" w:type="pct"/>
            <w:tcBorders>
              <w:bottom w:val="nil"/>
            </w:tcBorders>
          </w:tcPr>
          <w:p w14:paraId="0F6DF0AD" w14:textId="77777777" w:rsidR="00FD03E5" w:rsidRPr="003015CD" w:rsidRDefault="00FD03E5" w:rsidP="00081885">
            <w:pPr>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evaluation overview</w:t>
            </w:r>
          </w:p>
        </w:tc>
        <w:tc>
          <w:tcPr>
            <w:tcW w:w="3469" w:type="pct"/>
            <w:tcBorders>
              <w:bottom w:val="nil"/>
            </w:tcBorders>
          </w:tcPr>
          <w:p w14:paraId="07B6E502" w14:textId="77777777" w:rsidR="00FD03E5" w:rsidRPr="003015CD" w:rsidRDefault="00FD03E5" w:rsidP="00081885">
            <w:pPr>
              <w:jc w:val="both"/>
              <w:rPr>
                <w:rFonts w:asciiTheme="majorHAnsi" w:hAnsiTheme="majorHAnsi" w:cstheme="majorHAnsi"/>
                <w:color w:val="000000" w:themeColor="text1"/>
              </w:rPr>
            </w:pPr>
          </w:p>
        </w:tc>
      </w:tr>
      <w:tr w:rsidR="00FD03E5" w:rsidRPr="003015CD" w14:paraId="370A7391" w14:textId="77777777">
        <w:tc>
          <w:tcPr>
            <w:tcW w:w="1531" w:type="pct"/>
            <w:tcBorders>
              <w:top w:val="nil"/>
              <w:bottom w:val="nil"/>
            </w:tcBorders>
          </w:tcPr>
          <w:p w14:paraId="4D028EDD" w14:textId="77777777" w:rsidR="00FD03E5" w:rsidRPr="003015CD" w:rsidRDefault="00FD03E5" w:rsidP="00081885">
            <w:pPr>
              <w:numPr>
                <w:ilvl w:val="1"/>
                <w:numId w:val="21"/>
              </w:numPr>
              <w:ind w:left="426" w:hanging="426"/>
              <w:jc w:val="both"/>
              <w:rPr>
                <w:rFonts w:asciiTheme="majorHAnsi" w:hAnsiTheme="majorHAnsi" w:cstheme="majorHAnsi"/>
                <w:color w:val="000000" w:themeColor="text1"/>
              </w:rPr>
            </w:pPr>
            <w:r w:rsidRPr="003015CD">
              <w:rPr>
                <w:rFonts w:asciiTheme="majorHAnsi" w:hAnsiTheme="majorHAnsi" w:cstheme="majorHAnsi"/>
                <w:color w:val="000000" w:themeColor="text1"/>
              </w:rPr>
              <w:t>Type of clinical evaluation</w:t>
            </w:r>
          </w:p>
        </w:tc>
        <w:tc>
          <w:tcPr>
            <w:tcW w:w="3469" w:type="pct"/>
            <w:tcBorders>
              <w:top w:val="nil"/>
              <w:bottom w:val="nil"/>
            </w:tcBorders>
          </w:tcPr>
          <w:p w14:paraId="1BADF94E" w14:textId="5AEC7907" w:rsidR="00FD03E5" w:rsidRPr="003015CD" w:rsidRDefault="00FD03E5" w:rsidP="00D35986">
            <w:pPr>
              <w:keepNext/>
              <w:keepLines/>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whether- the clinical evaluation is based on clinical data of the device under evaluation and/or an equivalent device</w:t>
            </w:r>
          </w:p>
          <w:p w14:paraId="7C41E818"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or</w:t>
            </w:r>
          </w:p>
          <w:p w14:paraId="0771DADB" w14:textId="4131DA6B" w:rsidR="00FD03E5" w:rsidRPr="003015CD" w:rsidRDefault="00FD03E5" w:rsidP="00081885">
            <w:pPr>
              <w:pStyle w:val="List23"/>
              <w:numPr>
                <w:ilvl w:val="0"/>
                <w:numId w:val="0"/>
              </w:numPr>
              <w:ind w:hanging="360"/>
              <w:jc w:val="both"/>
              <w:rPr>
                <w:rFonts w:asciiTheme="majorHAnsi" w:hAnsiTheme="majorHAnsi" w:cstheme="majorHAnsi"/>
                <w:color w:val="000000" w:themeColor="text1"/>
              </w:rPr>
            </w:pPr>
            <w:r w:rsidRPr="003015CD">
              <w:rPr>
                <w:rFonts w:asciiTheme="majorHAnsi" w:hAnsiTheme="majorHAnsi" w:cstheme="majorHAnsi"/>
                <w:color w:val="000000" w:themeColor="text1"/>
              </w:rPr>
              <w:t>if   demonstration of conformity with GSPs based on clinical data is not</w:t>
            </w:r>
            <w:r w:rsidR="00987561" w:rsidRPr="003015CD">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 xml:space="preserve">deemed appropriate.   </w:t>
            </w:r>
          </w:p>
          <w:p w14:paraId="35E5BA08" w14:textId="6F950510" w:rsidR="00FD03E5" w:rsidRPr="003015CD" w:rsidRDefault="00FD03E5" w:rsidP="00D35986">
            <w:pPr>
              <w:pStyle w:val="List23"/>
              <w:numPr>
                <w:ilvl w:val="0"/>
                <w:numId w:val="0"/>
              </w:numPr>
              <w:ind w:left="720"/>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 </w:t>
            </w:r>
          </w:p>
          <w:p w14:paraId="491EA0C5" w14:textId="77777777" w:rsidR="00FD03E5" w:rsidRPr="003015CD" w:rsidRDefault="00FD03E5" w:rsidP="00081885">
            <w:pPr>
              <w:ind w:left="167" w:hanging="167"/>
              <w:jc w:val="both"/>
              <w:rPr>
                <w:rFonts w:asciiTheme="majorHAnsi" w:hAnsiTheme="majorHAnsi" w:cstheme="majorHAnsi"/>
                <w:color w:val="000000" w:themeColor="text1"/>
              </w:rPr>
            </w:pPr>
          </w:p>
        </w:tc>
      </w:tr>
      <w:tr w:rsidR="00FD03E5" w:rsidRPr="003015CD" w14:paraId="76422D6A" w14:textId="77777777">
        <w:tc>
          <w:tcPr>
            <w:tcW w:w="1531" w:type="pct"/>
            <w:tcBorders>
              <w:top w:val="nil"/>
              <w:bottom w:val="nil"/>
            </w:tcBorders>
          </w:tcPr>
          <w:p w14:paraId="27005EE3" w14:textId="77777777" w:rsidR="00FD03E5" w:rsidRPr="003015CD" w:rsidRDefault="00FD03E5" w:rsidP="00081885">
            <w:pPr>
              <w:numPr>
                <w:ilvl w:val="1"/>
                <w:numId w:val="21"/>
              </w:numPr>
              <w:ind w:left="426" w:hanging="426"/>
              <w:jc w:val="both"/>
              <w:rPr>
                <w:rFonts w:asciiTheme="majorHAnsi" w:hAnsiTheme="majorHAnsi" w:cstheme="majorHAnsi"/>
                <w:color w:val="000000" w:themeColor="text1"/>
              </w:rPr>
            </w:pPr>
            <w:r w:rsidRPr="003015CD">
              <w:rPr>
                <w:rFonts w:asciiTheme="majorHAnsi" w:hAnsiTheme="majorHAnsi" w:cstheme="majorHAnsi"/>
                <w:color w:val="000000" w:themeColor="text1"/>
              </w:rPr>
              <w:t>Demonstration of equivalence (only when equivalence is claimed)</w:t>
            </w:r>
          </w:p>
        </w:tc>
        <w:tc>
          <w:tcPr>
            <w:tcW w:w="3469" w:type="pct"/>
            <w:tcBorders>
              <w:top w:val="nil"/>
              <w:bottom w:val="nil"/>
            </w:tcBorders>
          </w:tcPr>
          <w:p w14:paraId="544502CE"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See MDCG 2020-5 for more information on the demonstration of equivalence.</w:t>
            </w:r>
          </w:p>
          <w:p w14:paraId="76897897"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Identification of the equivalent device and its manufacturer. Exact name, models, sizes, software versions, accessories, etc. </w:t>
            </w:r>
          </w:p>
          <w:p w14:paraId="12E43E4E"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Relationship between the device under evaluation and the device for which equivalence is claimed (e.g. the device under evaluation has been designed by modifications of a device already marketed by the same manufacturer or by other manufacturer, other). </w:t>
            </w:r>
          </w:p>
          <w:p w14:paraId="5936FD24"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If modifications were introduced to address specific safety and/or performance issues, the manufacturer should demonstrate that there are no additional risks or potential of negatively altered performance related to the introduced modifications, or describe how the benefits of the device outweighs them.</w:t>
            </w:r>
          </w:p>
          <w:p w14:paraId="2D9A40DF" w14:textId="42F031EB"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Comparison of technical, biological and clinical characteristics from the device under evaluation with those from the equivalent device</w:t>
            </w:r>
            <w:r w:rsidRPr="003015CD">
              <w:rPr>
                <w:rFonts w:asciiTheme="majorHAnsi" w:hAnsiTheme="majorHAnsi" w:cstheme="majorHAnsi"/>
                <w:i/>
                <w:iCs/>
                <w:color w:val="000000" w:themeColor="text1"/>
              </w:rPr>
              <w:t>,</w:t>
            </w:r>
            <w:r w:rsidRPr="003015CD">
              <w:rPr>
                <w:rFonts w:asciiTheme="majorHAnsi" w:hAnsiTheme="majorHAnsi" w:cstheme="majorHAnsi"/>
                <w:color w:val="000000" w:themeColor="text1"/>
              </w:rPr>
              <w:t xml:space="preserve"> which shall be similar to the extent that there would be no clinically significant difference in the safety and clinical performance of the device under evaluation</w:t>
            </w:r>
            <w:r w:rsidRPr="003015CD">
              <w:rPr>
                <w:rStyle w:val="Appelnotedebasdep"/>
                <w:rFonts w:asciiTheme="majorHAnsi" w:hAnsiTheme="majorHAnsi" w:cstheme="majorHAnsi"/>
                <w:color w:val="000000" w:themeColor="text1"/>
              </w:rPr>
              <w:footnoteReference w:id="130"/>
            </w:r>
            <w:r w:rsidRPr="003015CD">
              <w:rPr>
                <w:rFonts w:asciiTheme="majorHAnsi" w:hAnsiTheme="majorHAnsi" w:cstheme="majorHAnsi"/>
                <w:color w:val="000000" w:themeColor="text1"/>
              </w:rPr>
              <w:t xml:space="preserve"> (</w:t>
            </w:r>
            <w:r w:rsidRPr="003015CD" w:rsidDel="00225522">
              <w:rPr>
                <w:rFonts w:asciiTheme="majorHAnsi" w:hAnsiTheme="majorHAnsi" w:cstheme="majorHAnsi"/>
                <w:color w:val="000000" w:themeColor="text1"/>
              </w:rPr>
              <w:t xml:space="preserve">see </w:t>
            </w:r>
            <w:r w:rsidRPr="003015CD">
              <w:rPr>
                <w:rFonts w:asciiTheme="majorHAnsi" w:hAnsiTheme="majorHAnsi" w:cstheme="majorHAnsi"/>
                <w:color w:val="000000" w:themeColor="text1"/>
              </w:rPr>
              <w:t xml:space="preserve">MDCG 2020-5 for details). A gap analysis should be conducted by the manufacturer to evaluate any clinically significant difference(s). </w:t>
            </w:r>
          </w:p>
          <w:p w14:paraId="11B768FB"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It shall be clearly demonstrated that manufacturers have sufficient level of access to the data relating to devices with which they are claiming equivalence in order to justify their claims of equivalence (see Appendix II of MDCG 2023-7 for more information).</w:t>
            </w:r>
          </w:p>
          <w:p w14:paraId="444320FA"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Justification of equivalence, based on proper scientific data, description of relevant technical, biological and clinical characteristics that affect clinical properties of the device, differences between the intended medical purpose of the device under evaluation and the equivalent device (indications, contraindications, precautions, target patient groups, target users, mode of application, duration of use/ number of re-applications, others), type of device-body interaction. </w:t>
            </w:r>
          </w:p>
          <w:p w14:paraId="5E54EEB6"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If the manufacturer identifies more than one equivalent device to the device under evaluation, the justification of equivalence for each device shall be presented based on proper scientific data for all relevant characteristics: technical, biological and clinical. </w:t>
            </w:r>
          </w:p>
          <w:p w14:paraId="7B56986D"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 manufacturer of a medical device shall not claim equivalence to different parts of different devices.</w:t>
            </w:r>
          </w:p>
          <w:p w14:paraId="44228568" w14:textId="13B7EEFF"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A manufacturer of a medical device shall not claim equivalence to a product without an intended medical purpose listed in MDR Annex XVI. However, in case of products without an intended medical purpose listed in MDR Annex XVI, the manufacturer may claim equivalence to an analogous medical device if duly justified (see MDCG 2023-6).</w:t>
            </w:r>
          </w:p>
          <w:p w14:paraId="7B64D1B3"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Comparative tabulations for the device under evaluation versus the equivalent device showing parameters relevant to the evaluation of the three characteristics. Comparative drawings or pictures of the device and the equivalent device showing the elements in contact with the body.</w:t>
            </w:r>
          </w:p>
          <w:p w14:paraId="65CDC7F2"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Identification of differences, evaluation if differences are expected or not to influence the clinical performance and clinical safety of the device, reasons for assumptions made.</w:t>
            </w:r>
          </w:p>
          <w:p w14:paraId="227C7BF0"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Conclusions concerning equivalence. Whether the comparison carried out covers all products/ models/ sizes/ settings/ accessories and the entire intended purpose of the device under evaluation, or only certain products/ models/ sizes/ settings/ accessories, or selected aspects of the intended purpose, which ones.</w:t>
            </w:r>
          </w:p>
          <w:p w14:paraId="1CAB64AE"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Conclusion on whether equivalence is demonstrated; if it is demonstrated, confirmation that any identified differences are not expected to affect the clinical performance and clinical safety of the device under evaluation; description of any limitations and gaps.</w:t>
            </w:r>
          </w:p>
        </w:tc>
      </w:tr>
      <w:tr w:rsidR="00FD03E5" w:rsidRPr="003015CD" w14:paraId="48E78CB2" w14:textId="77777777">
        <w:tc>
          <w:tcPr>
            <w:tcW w:w="1531" w:type="pct"/>
            <w:tcBorders>
              <w:top w:val="nil"/>
              <w:bottom w:val="nil"/>
            </w:tcBorders>
          </w:tcPr>
          <w:p w14:paraId="63D54347" w14:textId="77777777" w:rsidR="00FD03E5" w:rsidRPr="003015CD" w:rsidRDefault="00FD03E5" w:rsidP="00081885">
            <w:pPr>
              <w:numPr>
                <w:ilvl w:val="1"/>
                <w:numId w:val="21"/>
              </w:numPr>
              <w:ind w:left="426" w:hanging="426"/>
              <w:jc w:val="both"/>
              <w:rPr>
                <w:rFonts w:asciiTheme="majorHAnsi" w:hAnsiTheme="majorHAnsi" w:cstheme="majorHAnsi"/>
                <w:color w:val="000000" w:themeColor="text1"/>
              </w:rPr>
            </w:pPr>
            <w:r w:rsidRPr="003015CD">
              <w:rPr>
                <w:rFonts w:asciiTheme="majorHAnsi" w:hAnsiTheme="majorHAnsi" w:cstheme="majorHAnsi"/>
                <w:color w:val="000000" w:themeColor="text1"/>
              </w:rPr>
              <w:t>Results of the risk management activities</w:t>
            </w:r>
          </w:p>
          <w:p w14:paraId="0782D9BB" w14:textId="77777777" w:rsidR="00FD03E5" w:rsidRPr="003015CD" w:rsidRDefault="00FD03E5" w:rsidP="00081885">
            <w:pPr>
              <w:ind w:left="426"/>
              <w:jc w:val="both"/>
              <w:rPr>
                <w:rFonts w:asciiTheme="majorHAnsi" w:hAnsiTheme="majorHAnsi" w:cstheme="majorHAnsi"/>
                <w:color w:val="000000" w:themeColor="text1"/>
              </w:rPr>
            </w:pPr>
          </w:p>
          <w:p w14:paraId="158A64F0" w14:textId="77777777" w:rsidR="002339C1" w:rsidRPr="003015CD" w:rsidRDefault="002339C1" w:rsidP="00081885">
            <w:pPr>
              <w:ind w:left="426"/>
              <w:jc w:val="both"/>
              <w:rPr>
                <w:rFonts w:asciiTheme="majorHAnsi" w:hAnsiTheme="majorHAnsi" w:cstheme="majorHAnsi"/>
                <w:color w:val="000000" w:themeColor="text1"/>
              </w:rPr>
            </w:pPr>
          </w:p>
          <w:p w14:paraId="35BC24E1" w14:textId="77777777" w:rsidR="002339C1" w:rsidRPr="003015CD" w:rsidRDefault="002339C1" w:rsidP="00081885">
            <w:pPr>
              <w:ind w:left="426"/>
              <w:jc w:val="both"/>
              <w:rPr>
                <w:rFonts w:asciiTheme="majorHAnsi" w:hAnsiTheme="majorHAnsi" w:cstheme="majorHAnsi"/>
                <w:color w:val="000000" w:themeColor="text1"/>
              </w:rPr>
            </w:pPr>
          </w:p>
          <w:p w14:paraId="60FDAB62" w14:textId="77777777" w:rsidR="002339C1" w:rsidRPr="003015CD" w:rsidRDefault="002339C1" w:rsidP="00081885">
            <w:pPr>
              <w:ind w:left="426"/>
              <w:jc w:val="both"/>
              <w:rPr>
                <w:rFonts w:asciiTheme="majorHAnsi" w:hAnsiTheme="majorHAnsi" w:cstheme="majorHAnsi"/>
                <w:color w:val="000000" w:themeColor="text1"/>
              </w:rPr>
            </w:pPr>
          </w:p>
          <w:p w14:paraId="19685362" w14:textId="77777777" w:rsidR="002339C1" w:rsidRPr="003015CD" w:rsidRDefault="002339C1" w:rsidP="00081885">
            <w:pPr>
              <w:ind w:left="426"/>
              <w:jc w:val="both"/>
              <w:rPr>
                <w:rFonts w:asciiTheme="majorHAnsi" w:hAnsiTheme="majorHAnsi" w:cstheme="majorHAnsi"/>
                <w:color w:val="000000" w:themeColor="text1"/>
              </w:rPr>
            </w:pPr>
          </w:p>
          <w:p w14:paraId="41E793BB" w14:textId="77777777" w:rsidR="00FD03E5" w:rsidRPr="003015CD" w:rsidRDefault="00FD03E5" w:rsidP="00081885">
            <w:pPr>
              <w:numPr>
                <w:ilvl w:val="1"/>
                <w:numId w:val="21"/>
              </w:numPr>
              <w:ind w:left="426" w:hanging="426"/>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data generated and held by the manufacturer</w:t>
            </w:r>
          </w:p>
        </w:tc>
        <w:tc>
          <w:tcPr>
            <w:tcW w:w="3469" w:type="pct"/>
            <w:tcBorders>
              <w:top w:val="nil"/>
              <w:bottom w:val="nil"/>
            </w:tcBorders>
          </w:tcPr>
          <w:p w14:paraId="6C1B3AA2" w14:textId="2A4E42FC"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The risk management documents of the device, e.g. the hazard identification list, risks identified from the risk analysis. The risk management documents are expected to identify the risks associated with the device and how such risks have been addressed. The clinical evaluation is expected to address the significance of any risks that remain after design risk mitigation strategies have been employed by the manufacturer.</w:t>
            </w:r>
          </w:p>
          <w:p w14:paraId="6BA5408D" w14:textId="77777777" w:rsidR="00FD03E5" w:rsidRPr="003015CD" w:rsidRDefault="00FD03E5" w:rsidP="00081885">
            <w:pPr>
              <w:jc w:val="both"/>
              <w:rPr>
                <w:rFonts w:asciiTheme="majorHAnsi" w:hAnsiTheme="majorHAnsi" w:cstheme="majorHAnsi"/>
                <w:color w:val="000000" w:themeColor="text1"/>
              </w:rPr>
            </w:pPr>
          </w:p>
          <w:p w14:paraId="5B9727A9" w14:textId="7E4CC513"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See Section </w:t>
            </w:r>
            <w:r w:rsidRPr="003015CD">
              <w:rPr>
                <w:rFonts w:asciiTheme="majorHAnsi" w:hAnsiTheme="majorHAnsi" w:cstheme="majorBidi"/>
                <w:color w:val="000000" w:themeColor="text1"/>
              </w:rPr>
              <w:fldChar w:fldCharType="begin"/>
            </w:r>
            <w:r w:rsidRPr="003015CD">
              <w:rPr>
                <w:rFonts w:asciiTheme="majorHAnsi" w:hAnsiTheme="majorHAnsi" w:cstheme="majorBidi"/>
                <w:color w:val="000000" w:themeColor="text1"/>
              </w:rPr>
              <w:instrText xml:space="preserve"> REF _Ref168408918 \r \h  \* MERGEFORMAT </w:instrText>
            </w:r>
            <w:r w:rsidRPr="003015CD">
              <w:rPr>
                <w:rFonts w:asciiTheme="majorHAnsi" w:hAnsiTheme="majorHAnsi" w:cstheme="majorBidi"/>
                <w:color w:val="000000" w:themeColor="text1"/>
              </w:rPr>
            </w:r>
            <w:r w:rsidRPr="003015CD">
              <w:rPr>
                <w:rFonts w:asciiTheme="majorHAnsi" w:hAnsiTheme="majorHAnsi" w:cstheme="majorBidi"/>
                <w:color w:val="000000" w:themeColor="text1"/>
              </w:rPr>
              <w:fldChar w:fldCharType="separate"/>
            </w:r>
            <w:r w:rsidR="001D11FB" w:rsidRPr="003015CD">
              <w:rPr>
                <w:rFonts w:asciiTheme="majorHAnsi" w:hAnsiTheme="majorHAnsi" w:cstheme="majorBidi"/>
                <w:b/>
                <w:bCs/>
                <w:color w:val="000000" w:themeColor="text1"/>
              </w:rPr>
              <w:t>8.3</w:t>
            </w:r>
            <w:r w:rsidRPr="003015CD">
              <w:rPr>
                <w:rFonts w:asciiTheme="majorHAnsi" w:hAnsiTheme="majorHAnsi" w:cstheme="majorBidi"/>
                <w:color w:val="000000" w:themeColor="text1"/>
              </w:rPr>
              <w:fldChar w:fldCharType="end"/>
            </w:r>
            <w:r w:rsidRPr="003015CD" w:rsidDel="0034550B">
              <w:rPr>
                <w:rFonts w:asciiTheme="majorHAnsi" w:hAnsiTheme="majorHAnsi" w:cstheme="majorBidi"/>
                <w:color w:val="000000" w:themeColor="text1"/>
              </w:rPr>
              <w:t xml:space="preserve"> </w:t>
            </w:r>
            <w:r w:rsidR="0034550B" w:rsidRPr="003015CD">
              <w:rPr>
                <w:rFonts w:asciiTheme="majorHAnsi" w:hAnsiTheme="majorHAnsi" w:cstheme="majorBidi"/>
                <w:color w:val="000000" w:themeColor="text1"/>
              </w:rPr>
              <w:t xml:space="preserve">on </w:t>
            </w:r>
            <w:r w:rsidRPr="003015CD">
              <w:rPr>
                <w:rFonts w:asciiTheme="majorHAnsi" w:hAnsiTheme="majorHAnsi" w:cstheme="majorBidi"/>
                <w:color w:val="000000" w:themeColor="text1"/>
              </w:rPr>
              <w:t>clinical data generated and held by the manufacturer.</w:t>
            </w:r>
          </w:p>
          <w:p w14:paraId="3DAA4A0C" w14:textId="5433797E" w:rsidR="004C5205" w:rsidRPr="003015CD" w:rsidRDefault="004C5205" w:rsidP="00081885">
            <w:pPr>
              <w:jc w:val="both"/>
              <w:rPr>
                <w:rFonts w:asciiTheme="majorHAnsi" w:hAnsiTheme="majorHAnsi" w:cstheme="majorBidi"/>
                <w:color w:val="000000" w:themeColor="text1"/>
              </w:rPr>
            </w:pPr>
            <w:r w:rsidRPr="003015CD">
              <w:rPr>
                <w:rFonts w:asciiTheme="majorHAnsi" w:hAnsiTheme="majorHAnsi" w:cstheme="majorHAnsi"/>
                <w:color w:val="000000" w:themeColor="text1"/>
              </w:rPr>
              <w:t xml:space="preserve">Note that for class III and implantable devices, </w:t>
            </w:r>
            <w:r w:rsidRPr="003015CD">
              <w:t>when clinical investigation is not performed by virtue of paragraph 61(6), a justification shall be provided (see MDCG 2023-7 for further guidance).</w:t>
            </w:r>
          </w:p>
        </w:tc>
      </w:tr>
      <w:tr w:rsidR="00FD03E5" w:rsidRPr="003015CD" w14:paraId="42BC5F6C" w14:textId="77777777">
        <w:tc>
          <w:tcPr>
            <w:tcW w:w="1531" w:type="pct"/>
            <w:tcBorders>
              <w:top w:val="nil"/>
              <w:bottom w:val="nil"/>
            </w:tcBorders>
          </w:tcPr>
          <w:p w14:paraId="760D5670" w14:textId="77777777" w:rsidR="00FD03E5" w:rsidRPr="003015CD" w:rsidRDefault="00FD03E5" w:rsidP="00081885">
            <w:pPr>
              <w:numPr>
                <w:ilvl w:val="1"/>
                <w:numId w:val="21"/>
              </w:numPr>
              <w:ind w:left="426" w:hanging="426"/>
              <w:jc w:val="both"/>
              <w:rPr>
                <w:rFonts w:asciiTheme="majorHAnsi" w:hAnsiTheme="majorHAnsi" w:cstheme="majorHAnsi"/>
                <w:color w:val="000000" w:themeColor="text1"/>
              </w:rPr>
            </w:pPr>
            <w:r w:rsidRPr="003015CD">
              <w:rPr>
                <w:rFonts w:asciiTheme="majorHAnsi" w:hAnsiTheme="majorHAnsi" w:cstheme="majorHAnsi"/>
                <w:color w:val="000000" w:themeColor="text1"/>
              </w:rPr>
              <w:t>Clinical data from literature</w:t>
            </w:r>
          </w:p>
        </w:tc>
        <w:tc>
          <w:tcPr>
            <w:tcW w:w="3469" w:type="pct"/>
            <w:tcBorders>
              <w:top w:val="nil"/>
              <w:bottom w:val="nil"/>
            </w:tcBorders>
          </w:tcPr>
          <w:p w14:paraId="78B9F55A" w14:textId="20D8074A"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_Ref168408935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b/>
                <w:bCs/>
                <w:color w:val="000000" w:themeColor="text1"/>
              </w:rPr>
              <w:t>8.4</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and Appendices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_Ref164071656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A5</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_Ref164160714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A6</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p>
          <w:p w14:paraId="7A6A775D"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Brief summary and justification of the literature search strategy applied for retrieval of clinical data, including objectives, sources used, search questions, search terms, selection criteria applied to the output of the search, quality control measures, results, number and type of literature found to be pertinent.</w:t>
            </w:r>
          </w:p>
          <w:p w14:paraId="110688D7" w14:textId="77777777" w:rsidR="00597354" w:rsidRPr="003015CD" w:rsidRDefault="00597354" w:rsidP="00081885">
            <w:pPr>
              <w:jc w:val="both"/>
              <w:rPr>
                <w:rFonts w:asciiTheme="majorHAnsi" w:hAnsiTheme="majorHAnsi" w:cstheme="majorHAnsi"/>
                <w:color w:val="000000" w:themeColor="text1"/>
              </w:rPr>
            </w:pPr>
          </w:p>
        </w:tc>
      </w:tr>
      <w:tr w:rsidR="00FD03E5" w:rsidRPr="003015CD" w14:paraId="6C5ABD7A" w14:textId="77777777">
        <w:tc>
          <w:tcPr>
            <w:tcW w:w="1531" w:type="pct"/>
            <w:tcBorders>
              <w:top w:val="nil"/>
              <w:bottom w:val="nil"/>
            </w:tcBorders>
          </w:tcPr>
          <w:p w14:paraId="4FA5785E" w14:textId="77777777" w:rsidR="00FD03E5" w:rsidRPr="003015CD" w:rsidRDefault="00FD03E5" w:rsidP="00081885">
            <w:pPr>
              <w:numPr>
                <w:ilvl w:val="1"/>
                <w:numId w:val="21"/>
              </w:numPr>
              <w:ind w:left="426" w:hanging="426"/>
              <w:jc w:val="both"/>
              <w:rPr>
                <w:rFonts w:asciiTheme="majorHAnsi" w:hAnsiTheme="majorHAnsi" w:cstheme="majorHAnsi"/>
                <w:color w:val="000000" w:themeColor="text1"/>
              </w:rPr>
            </w:pPr>
            <w:r w:rsidRPr="003015CD">
              <w:rPr>
                <w:rFonts w:asciiTheme="majorHAnsi" w:hAnsiTheme="majorHAnsi" w:cstheme="majorHAnsi"/>
                <w:color w:val="000000" w:themeColor="text1"/>
              </w:rPr>
              <w:t>Summary of relevant clinical data</w:t>
            </w:r>
          </w:p>
          <w:p w14:paraId="1A078897" w14:textId="77777777" w:rsidR="00FD03E5" w:rsidRPr="003015CD" w:rsidRDefault="00FD03E5" w:rsidP="00081885">
            <w:pPr>
              <w:ind w:left="709" w:hanging="709"/>
              <w:jc w:val="both"/>
              <w:rPr>
                <w:rFonts w:asciiTheme="majorHAnsi" w:hAnsiTheme="majorHAnsi" w:cstheme="majorHAnsi"/>
                <w:color w:val="000000" w:themeColor="text1"/>
              </w:rPr>
            </w:pPr>
          </w:p>
        </w:tc>
        <w:tc>
          <w:tcPr>
            <w:tcW w:w="3469" w:type="pct"/>
            <w:tcBorders>
              <w:top w:val="nil"/>
              <w:bottom w:val="nil"/>
            </w:tcBorders>
          </w:tcPr>
          <w:p w14:paraId="2E1A6AA5" w14:textId="70875A9C"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Summaries of clinical data generated and held by the manufacturer and of scientific literature found to be pertinent, including brief summary of the studies with references (methods, results, conclusion of the authors).</w:t>
            </w:r>
            <w:r w:rsidRPr="003015CD" w:rsidDel="001E40D2">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 xml:space="preserve"> </w:t>
            </w:r>
            <w:r w:rsidRPr="003015CD">
              <w:t xml:space="preserve"> </w:t>
            </w:r>
            <w:r w:rsidRPr="003015CD">
              <w:rPr>
                <w:rFonts w:asciiTheme="majorHAnsi" w:hAnsiTheme="majorHAnsi" w:cstheme="majorHAnsi"/>
                <w:color w:val="000000" w:themeColor="text1"/>
              </w:rPr>
              <w:t>Grouping of relevant clinical data in pivotal and supportive is recommended.</w:t>
            </w:r>
          </w:p>
          <w:p w14:paraId="467A0D2A" w14:textId="100EE2CD"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Below there is an example of how to presen</w:t>
            </w:r>
            <w:r w:rsidR="00CE5D3F" w:rsidRPr="003015CD">
              <w:rPr>
                <w:rFonts w:asciiTheme="majorHAnsi" w:hAnsiTheme="majorHAnsi" w:cstheme="majorHAnsi"/>
                <w:color w:val="000000" w:themeColor="text1"/>
              </w:rPr>
              <w:t>t</w:t>
            </w:r>
            <w:r w:rsidRPr="003015CD">
              <w:rPr>
                <w:rFonts w:asciiTheme="majorHAnsi" w:hAnsiTheme="majorHAnsi" w:cstheme="majorHAnsi"/>
                <w:color w:val="000000" w:themeColor="text1"/>
              </w:rPr>
              <w:t xml:space="preserve"> the summary of the relevant clinical data: </w:t>
            </w:r>
          </w:p>
          <w:p w14:paraId="576F0E09"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noProof/>
                <w:color w:val="000000" w:themeColor="text1"/>
              </w:rPr>
              <w:drawing>
                <wp:inline distT="0" distB="0" distL="0" distR="0" wp14:anchorId="4674F9C6" wp14:editId="109F0629">
                  <wp:extent cx="3854450" cy="813435"/>
                  <wp:effectExtent l="0" t="0" r="0" b="5715"/>
                  <wp:docPr id="972168848" name="Picture 97216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33919"/>
                          <a:stretch/>
                        </pic:blipFill>
                        <pic:spPr bwMode="auto">
                          <a:xfrm>
                            <a:off x="0" y="0"/>
                            <a:ext cx="3900457" cy="823144"/>
                          </a:xfrm>
                          <a:prstGeom prst="rect">
                            <a:avLst/>
                          </a:prstGeom>
                          <a:noFill/>
                          <a:ln>
                            <a:noFill/>
                          </a:ln>
                          <a:extLst>
                            <a:ext uri="{53640926-AAD7-44D8-BBD7-CCE9431645EC}">
                              <a14:shadowObscured xmlns:a14="http://schemas.microsoft.com/office/drawing/2010/main"/>
                            </a:ext>
                          </a:extLst>
                        </pic:spPr>
                      </pic:pic>
                    </a:graphicData>
                  </a:graphic>
                </wp:inline>
              </w:drawing>
            </w:r>
          </w:p>
          <w:p w14:paraId="39CEE1E2" w14:textId="77777777" w:rsidR="001E40D2" w:rsidRPr="003015CD" w:rsidRDefault="001E40D2" w:rsidP="00081885">
            <w:pPr>
              <w:jc w:val="both"/>
              <w:rPr>
                <w:rFonts w:asciiTheme="majorHAnsi" w:hAnsiTheme="majorHAnsi" w:cstheme="majorHAnsi"/>
                <w:color w:val="000000" w:themeColor="text1"/>
              </w:rPr>
            </w:pPr>
          </w:p>
          <w:p w14:paraId="5357DA33" w14:textId="3A12F5BA" w:rsidR="004350C6" w:rsidRPr="003015CD" w:rsidRDefault="004350C6" w:rsidP="00081885">
            <w:pPr>
              <w:jc w:val="both"/>
              <w:rPr>
                <w:rFonts w:asciiTheme="majorHAnsi" w:hAnsiTheme="majorHAnsi" w:cstheme="majorHAnsi"/>
                <w:color w:val="000000" w:themeColor="text1"/>
              </w:rPr>
            </w:pPr>
            <w:r w:rsidRPr="003015CD">
              <w:rPr>
                <w:rFonts w:asciiTheme="majorHAnsi" w:hAnsiTheme="majorHAnsi" w:cstheme="majorHAnsi"/>
                <w:noProof/>
                <w:color w:val="000000" w:themeColor="text1"/>
              </w:rPr>
              <w:drawing>
                <wp:inline distT="0" distB="0" distL="0" distR="0" wp14:anchorId="0469AC54" wp14:editId="1E16909A">
                  <wp:extent cx="4107815" cy="524719"/>
                  <wp:effectExtent l="0" t="0" r="6985" b="8890"/>
                  <wp:docPr id="12383934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93463" name=""/>
                          <pic:cNvPicPr/>
                        </pic:nvPicPr>
                        <pic:blipFill>
                          <a:blip r:embed="rId19"/>
                          <a:stretch>
                            <a:fillRect/>
                          </a:stretch>
                        </pic:blipFill>
                        <pic:spPr>
                          <a:xfrm>
                            <a:off x="0" y="0"/>
                            <a:ext cx="4176249" cy="533460"/>
                          </a:xfrm>
                          <a:prstGeom prst="rect">
                            <a:avLst/>
                          </a:prstGeom>
                        </pic:spPr>
                      </pic:pic>
                    </a:graphicData>
                  </a:graphic>
                </wp:inline>
              </w:drawing>
            </w:r>
          </w:p>
        </w:tc>
      </w:tr>
      <w:tr w:rsidR="00FD03E5" w:rsidRPr="003015CD" w14:paraId="454379B1" w14:textId="77777777">
        <w:tc>
          <w:tcPr>
            <w:tcW w:w="1531" w:type="pct"/>
            <w:tcBorders>
              <w:top w:val="nil"/>
              <w:bottom w:val="nil"/>
            </w:tcBorders>
          </w:tcPr>
          <w:p w14:paraId="7023E130" w14:textId="77777777" w:rsidR="00FD03E5" w:rsidRPr="003015CD" w:rsidRDefault="00FD03E5" w:rsidP="00081885">
            <w:pPr>
              <w:numPr>
                <w:ilvl w:val="1"/>
                <w:numId w:val="21"/>
              </w:numPr>
              <w:ind w:left="426" w:hanging="426"/>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Appraisal of relevant clinical data </w:t>
            </w:r>
          </w:p>
          <w:p w14:paraId="2B82CF9F" w14:textId="77777777" w:rsidR="00FD03E5" w:rsidRPr="003015CD" w:rsidRDefault="00FD03E5" w:rsidP="00081885">
            <w:pPr>
              <w:jc w:val="both"/>
              <w:rPr>
                <w:rFonts w:asciiTheme="majorHAnsi" w:hAnsiTheme="majorHAnsi" w:cstheme="majorHAnsi"/>
                <w:color w:val="000000" w:themeColor="text1"/>
              </w:rPr>
            </w:pPr>
          </w:p>
          <w:p w14:paraId="5463D0DD" w14:textId="77777777" w:rsidR="00FD03E5" w:rsidRPr="003015CD" w:rsidRDefault="00FD03E5" w:rsidP="00081885">
            <w:pPr>
              <w:jc w:val="both"/>
              <w:rPr>
                <w:rFonts w:asciiTheme="majorHAnsi" w:hAnsiTheme="majorHAnsi" w:cstheme="majorHAnsi"/>
                <w:color w:val="000000" w:themeColor="text1"/>
              </w:rPr>
            </w:pPr>
          </w:p>
          <w:p w14:paraId="1450A0C7" w14:textId="77777777" w:rsidR="00FD03E5" w:rsidRPr="003015CD" w:rsidRDefault="00FD03E5" w:rsidP="00081885">
            <w:pPr>
              <w:jc w:val="both"/>
              <w:rPr>
                <w:rFonts w:asciiTheme="majorHAnsi" w:hAnsiTheme="majorHAnsi" w:cstheme="majorHAnsi"/>
                <w:color w:val="000000" w:themeColor="text1"/>
              </w:rPr>
            </w:pPr>
          </w:p>
          <w:p w14:paraId="7434BABF" w14:textId="77777777" w:rsidR="00FD03E5" w:rsidRPr="003015CD" w:rsidRDefault="00FD03E5" w:rsidP="00081885">
            <w:pPr>
              <w:jc w:val="both"/>
              <w:rPr>
                <w:rFonts w:asciiTheme="majorHAnsi" w:hAnsiTheme="majorHAnsi" w:cstheme="majorHAnsi"/>
                <w:color w:val="000000" w:themeColor="text1"/>
              </w:rPr>
            </w:pPr>
          </w:p>
          <w:p w14:paraId="25ED2407" w14:textId="77777777" w:rsidR="00FD03E5" w:rsidRPr="003015CD" w:rsidRDefault="00FD03E5" w:rsidP="00081885">
            <w:pPr>
              <w:jc w:val="both"/>
              <w:rPr>
                <w:rFonts w:asciiTheme="majorHAnsi" w:hAnsiTheme="majorHAnsi" w:cstheme="majorHAnsi"/>
                <w:color w:val="000000" w:themeColor="text1"/>
              </w:rPr>
            </w:pPr>
          </w:p>
          <w:p w14:paraId="158BF717" w14:textId="77777777" w:rsidR="00FD03E5" w:rsidRPr="003015CD" w:rsidRDefault="00FD03E5" w:rsidP="00081885">
            <w:pPr>
              <w:jc w:val="both"/>
              <w:rPr>
                <w:rFonts w:asciiTheme="majorHAnsi" w:hAnsiTheme="majorHAnsi" w:cstheme="majorHAnsi"/>
                <w:color w:val="000000" w:themeColor="text1"/>
              </w:rPr>
            </w:pPr>
          </w:p>
          <w:p w14:paraId="3592D8F7" w14:textId="77777777" w:rsidR="00FD03E5" w:rsidRPr="003015CD" w:rsidRDefault="00FD03E5" w:rsidP="00081885">
            <w:pPr>
              <w:jc w:val="both"/>
              <w:rPr>
                <w:rFonts w:asciiTheme="majorHAnsi" w:hAnsiTheme="majorHAnsi" w:cstheme="majorHAnsi"/>
                <w:color w:val="000000" w:themeColor="text1"/>
              </w:rPr>
            </w:pPr>
          </w:p>
          <w:p w14:paraId="5D9A4AA1" w14:textId="77777777" w:rsidR="00FD03E5" w:rsidRPr="003015CD" w:rsidRDefault="00FD03E5" w:rsidP="00081885">
            <w:pPr>
              <w:jc w:val="both"/>
              <w:rPr>
                <w:rFonts w:asciiTheme="majorHAnsi" w:hAnsiTheme="majorHAnsi" w:cstheme="majorHAnsi"/>
                <w:color w:val="000000" w:themeColor="text1"/>
              </w:rPr>
            </w:pPr>
          </w:p>
          <w:p w14:paraId="032DE699" w14:textId="77777777" w:rsidR="00FD03E5" w:rsidRPr="003015CD" w:rsidRDefault="00FD03E5" w:rsidP="00081885">
            <w:pPr>
              <w:jc w:val="both"/>
              <w:rPr>
                <w:rFonts w:asciiTheme="majorHAnsi" w:hAnsiTheme="majorHAnsi" w:cstheme="majorHAnsi"/>
                <w:color w:val="000000" w:themeColor="text1"/>
              </w:rPr>
            </w:pPr>
          </w:p>
          <w:p w14:paraId="12F42279" w14:textId="77777777" w:rsidR="00FD03E5" w:rsidRPr="003015CD" w:rsidRDefault="00FD03E5" w:rsidP="00081885">
            <w:pPr>
              <w:ind w:left="426"/>
              <w:jc w:val="both"/>
              <w:rPr>
                <w:rFonts w:asciiTheme="majorHAnsi" w:hAnsiTheme="majorHAnsi" w:cstheme="majorHAnsi"/>
                <w:color w:val="000000" w:themeColor="text1"/>
              </w:rPr>
            </w:pPr>
          </w:p>
          <w:p w14:paraId="3ADB39DA" w14:textId="77777777" w:rsidR="00FD03E5" w:rsidRPr="003015CD" w:rsidRDefault="00FD03E5" w:rsidP="00081885">
            <w:pPr>
              <w:ind w:left="426"/>
              <w:jc w:val="both"/>
              <w:rPr>
                <w:rFonts w:asciiTheme="majorHAnsi" w:hAnsiTheme="majorHAnsi" w:cstheme="majorHAnsi"/>
                <w:color w:val="000000" w:themeColor="text1"/>
              </w:rPr>
            </w:pPr>
          </w:p>
          <w:p w14:paraId="07472C07" w14:textId="77777777" w:rsidR="00FD03E5" w:rsidRPr="003015CD" w:rsidRDefault="00FD03E5" w:rsidP="00081885">
            <w:pPr>
              <w:ind w:left="426"/>
              <w:jc w:val="both"/>
              <w:rPr>
                <w:rFonts w:asciiTheme="majorHAnsi" w:hAnsiTheme="majorHAnsi" w:cstheme="majorHAnsi"/>
                <w:color w:val="000000" w:themeColor="text1"/>
              </w:rPr>
            </w:pPr>
          </w:p>
          <w:p w14:paraId="5070B520" w14:textId="77777777" w:rsidR="00FD03E5" w:rsidRPr="003015CD" w:rsidRDefault="00FD03E5" w:rsidP="00081885">
            <w:pPr>
              <w:ind w:left="426"/>
              <w:jc w:val="both"/>
              <w:rPr>
                <w:rFonts w:asciiTheme="majorHAnsi" w:hAnsiTheme="majorHAnsi" w:cstheme="majorHAnsi"/>
                <w:color w:val="000000" w:themeColor="text1"/>
              </w:rPr>
            </w:pPr>
          </w:p>
          <w:p w14:paraId="0EE16964" w14:textId="77777777" w:rsidR="00FD03E5" w:rsidRPr="003015CD" w:rsidRDefault="00FD03E5" w:rsidP="00081885">
            <w:pPr>
              <w:ind w:left="426"/>
              <w:jc w:val="both"/>
              <w:rPr>
                <w:rFonts w:asciiTheme="majorHAnsi" w:hAnsiTheme="majorHAnsi" w:cstheme="majorHAnsi"/>
                <w:color w:val="000000" w:themeColor="text1"/>
              </w:rPr>
            </w:pPr>
          </w:p>
          <w:p w14:paraId="7894CFDB" w14:textId="77777777" w:rsidR="00FD03E5" w:rsidRPr="003015CD" w:rsidRDefault="00FD03E5" w:rsidP="00081885">
            <w:pPr>
              <w:numPr>
                <w:ilvl w:val="1"/>
                <w:numId w:val="21"/>
              </w:numPr>
              <w:ind w:left="426" w:hanging="426"/>
              <w:jc w:val="both"/>
              <w:rPr>
                <w:rFonts w:asciiTheme="majorHAnsi" w:hAnsiTheme="majorHAnsi" w:cstheme="majorBidi"/>
                <w:color w:val="000000" w:themeColor="text1"/>
              </w:rPr>
            </w:pPr>
            <w:r w:rsidRPr="003015CD">
              <w:rPr>
                <w:rFonts w:asciiTheme="majorHAnsi" w:hAnsiTheme="majorHAnsi" w:cstheme="majorBidi"/>
                <w:color w:val="000000" w:themeColor="text1"/>
              </w:rPr>
              <w:t>Analysis of the relevant clinical data in relation to relevant GSPRs</w:t>
            </w:r>
          </w:p>
        </w:tc>
        <w:tc>
          <w:tcPr>
            <w:tcW w:w="3469" w:type="pct"/>
            <w:tcBorders>
              <w:top w:val="nil"/>
              <w:bottom w:val="nil"/>
            </w:tcBorders>
          </w:tcPr>
          <w:p w14:paraId="7FF6FD0A" w14:textId="17BC83FA"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9 and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_Ref233288641 \r \h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A7</w:t>
            </w:r>
            <w:r w:rsidRPr="003015CD">
              <w:rPr>
                <w:rFonts w:asciiTheme="majorHAnsi" w:hAnsiTheme="majorHAnsi" w:cstheme="majorHAnsi"/>
                <w:color w:val="000000" w:themeColor="text1"/>
              </w:rPr>
              <w:fldChar w:fldCharType="end"/>
            </w:r>
            <w:r w:rsidR="00AA2E3F" w:rsidRPr="003015CD">
              <w:rPr>
                <w:rFonts w:asciiTheme="majorHAnsi" w:hAnsiTheme="majorHAnsi" w:cstheme="majorHAnsi"/>
                <w:color w:val="000000" w:themeColor="text1"/>
              </w:rPr>
              <w:t>.</w:t>
            </w:r>
          </w:p>
          <w:p w14:paraId="41566BD5" w14:textId="1DF35146"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Summarises the criteria used by the evaluators for appraising data sets (i.e. the appraisal plan)</w:t>
            </w:r>
            <w:r w:rsidR="00AA2E3F" w:rsidRPr="003015CD">
              <w:rPr>
                <w:rFonts w:asciiTheme="majorHAnsi" w:hAnsiTheme="majorHAnsi" w:cstheme="majorHAnsi"/>
                <w:color w:val="000000" w:themeColor="text1"/>
              </w:rPr>
              <w:t>.</w:t>
            </w:r>
          </w:p>
          <w:p w14:paraId="2B73A651" w14:textId="4D2CF618"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References to the detailed appraisal plan in the CEP or in a separate document</w:t>
            </w:r>
            <w:r w:rsidR="007505DF" w:rsidRPr="003015CD">
              <w:rPr>
                <w:rFonts w:asciiTheme="majorHAnsi" w:hAnsiTheme="majorHAnsi" w:cstheme="majorHAnsi"/>
                <w:color w:val="000000" w:themeColor="text1"/>
              </w:rPr>
              <w:t>.</w:t>
            </w:r>
          </w:p>
          <w:p w14:paraId="0EC04666" w14:textId="03790F8C"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Presents, for each data set, the appraisal output, that is the scientific validity of contents, the relevance to the clinical evaluation, weighting attributed to the data, contents used (performance data, safety data, both)</w:t>
            </w:r>
            <w:r w:rsidR="00C74961"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reasons for rejecting a study or document, reasons for rejecting some of its contents.</w:t>
            </w:r>
          </w:p>
          <w:p w14:paraId="015969C9" w14:textId="52ED2B6A"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Below there is an example of how to present the appraisal of the relevant clinical data</w:t>
            </w:r>
            <w:r w:rsidR="00BF7C8F" w:rsidRPr="003015CD">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Relevant clinical data sets summary and their appraisal, could also be presented in the same table as follows:</w:t>
            </w:r>
          </w:p>
          <w:p w14:paraId="5E3BF65F"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noProof/>
                <w:color w:val="000000" w:themeColor="text1"/>
              </w:rPr>
              <w:drawing>
                <wp:inline distT="0" distB="0" distL="0" distR="0" wp14:anchorId="3FBC1595" wp14:editId="2D94C1EF">
                  <wp:extent cx="4190338" cy="813557"/>
                  <wp:effectExtent l="0" t="0" r="1270" b="57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39719" cy="823144"/>
                          </a:xfrm>
                          <a:prstGeom prst="rect">
                            <a:avLst/>
                          </a:prstGeom>
                          <a:noFill/>
                        </pic:spPr>
                      </pic:pic>
                    </a:graphicData>
                  </a:graphic>
                </wp:inline>
              </w:drawing>
            </w:r>
          </w:p>
          <w:p w14:paraId="3D6776C0" w14:textId="77777777" w:rsidR="00FD03E5" w:rsidRPr="003015CD" w:rsidRDefault="00FD03E5" w:rsidP="00081885">
            <w:pPr>
              <w:jc w:val="both"/>
              <w:rPr>
                <w:rFonts w:asciiTheme="majorHAnsi" w:hAnsiTheme="majorHAnsi" w:cstheme="majorHAnsi"/>
                <w:color w:val="000000" w:themeColor="text1"/>
              </w:rPr>
            </w:pPr>
          </w:p>
        </w:tc>
      </w:tr>
      <w:tr w:rsidR="00FD03E5" w:rsidRPr="003015CD" w14:paraId="6088C6D2" w14:textId="77777777">
        <w:tc>
          <w:tcPr>
            <w:tcW w:w="1531" w:type="pct"/>
            <w:tcBorders>
              <w:top w:val="nil"/>
              <w:bottom w:val="nil"/>
            </w:tcBorders>
          </w:tcPr>
          <w:p w14:paraId="48A06241" w14:textId="77777777" w:rsidR="00FD03E5" w:rsidRPr="003015CD" w:rsidRDefault="00FD03E5" w:rsidP="00081885">
            <w:pPr>
              <w:numPr>
                <w:ilvl w:val="2"/>
                <w:numId w:val="21"/>
              </w:numPr>
              <w:ind w:left="1134" w:hanging="708"/>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Requirements on safety </w:t>
            </w:r>
          </w:p>
        </w:tc>
        <w:tc>
          <w:tcPr>
            <w:tcW w:w="3469" w:type="pct"/>
            <w:tcBorders>
              <w:top w:val="nil"/>
              <w:bottom w:val="nil"/>
            </w:tcBorders>
          </w:tcPr>
          <w:p w14:paraId="4BE6211E" w14:textId="7432C608"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See Section 10 and Appendix</w:t>
            </w:r>
            <w:r w:rsidR="00D86C89" w:rsidRPr="003015CD">
              <w:rPr>
                <w:rFonts w:asciiTheme="majorHAnsi" w:hAnsiTheme="majorHAnsi" w:cstheme="majorHAnsi"/>
                <w:color w:val="000000" w:themeColor="text1"/>
              </w:rPr>
              <w:t xml:space="preserve"> </w:t>
            </w:r>
            <w:r w:rsidR="00AA2E3F" w:rsidRPr="003015CD">
              <w:rPr>
                <w:rFonts w:asciiTheme="majorHAnsi" w:hAnsiTheme="majorHAnsi" w:cstheme="majorHAnsi"/>
                <w:color w:val="000000" w:themeColor="text1"/>
              </w:rPr>
              <w:t>A</w:t>
            </w:r>
            <w:r w:rsidR="0032160A" w:rsidRPr="003015CD">
              <w:rPr>
                <w:rFonts w:asciiTheme="majorHAnsi" w:hAnsiTheme="majorHAnsi" w:cstheme="majorHAnsi"/>
                <w:color w:val="000000" w:themeColor="text1"/>
              </w:rPr>
              <w:t>9.</w:t>
            </w:r>
          </w:p>
          <w:p w14:paraId="56915D01"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Summary of conformity assessment with requirements in relation to safety. </w:t>
            </w:r>
          </w:p>
          <w:p w14:paraId="21A9D8CA"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Description of: </w:t>
            </w:r>
          </w:p>
          <w:p w14:paraId="0BEE86AB" w14:textId="7B2B3230"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quantitative and </w:t>
            </w:r>
            <w:r w:rsidR="00D048D5" w:rsidRPr="003015CD">
              <w:rPr>
                <w:rFonts w:asciiTheme="majorHAnsi" w:hAnsiTheme="majorHAnsi" w:cstheme="majorHAnsi"/>
                <w:color w:val="000000" w:themeColor="text1"/>
              </w:rPr>
              <w:t>qualitative</w:t>
            </w:r>
            <w:r w:rsidRPr="003015CD">
              <w:rPr>
                <w:rFonts w:asciiTheme="majorHAnsi" w:hAnsiTheme="majorHAnsi" w:cstheme="majorHAnsi"/>
                <w:color w:val="000000" w:themeColor="text1"/>
              </w:rPr>
              <w:t xml:space="preserve"> aspects of clinical </w:t>
            </w:r>
            <w:r w:rsidRPr="003015CD" w:rsidDel="00225522">
              <w:rPr>
                <w:rFonts w:asciiTheme="majorHAnsi" w:hAnsiTheme="majorHAnsi" w:cstheme="majorHAnsi"/>
                <w:color w:val="000000" w:themeColor="text1"/>
              </w:rPr>
              <w:t xml:space="preserve">safety </w:t>
            </w:r>
            <w:r w:rsidRPr="003015CD">
              <w:t>with</w:t>
            </w:r>
            <w:r w:rsidRPr="003015CD">
              <w:rPr>
                <w:rFonts w:asciiTheme="majorHAnsi" w:hAnsiTheme="majorHAnsi" w:cstheme="majorHAnsi"/>
                <w:color w:val="000000" w:themeColor="text1"/>
              </w:rPr>
              <w:t xml:space="preserve"> clear reference to the determination of residual risks and side-effects</w:t>
            </w:r>
            <w:r w:rsidR="007505DF" w:rsidRPr="003015CD">
              <w:rPr>
                <w:rFonts w:asciiTheme="majorHAnsi" w:hAnsiTheme="majorHAnsi" w:cstheme="majorHAnsi"/>
                <w:color w:val="000000" w:themeColor="text1"/>
              </w:rPr>
              <w:t>.</w:t>
            </w:r>
          </w:p>
          <w:p w14:paraId="58B0F3F5" w14:textId="77777777"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there are specific design and manufacturing features that pose safety concerns identified in the device risk management documentation that require evaluation from a clinical perspective, and whether these have been adequately addressed. </w:t>
            </w:r>
          </w:p>
          <w:p w14:paraId="178BF3CB" w14:textId="77777777"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the risks identified in literature have been adequately addressed. </w:t>
            </w:r>
          </w:p>
          <w:p w14:paraId="6F147AE6" w14:textId="77777777"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all the hazards and other clinically relevant information (e.g. clinical precautions for reduction of risks, clinical management of risks) have been identified appropriately. </w:t>
            </w:r>
          </w:p>
          <w:p w14:paraId="7FBBC6AE" w14:textId="77777777"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 safety characteristics and intended purpose of the device requires training of the end-user or other precautions, if users foreseen are adequately qualified, if training requirements and other warnings, precautions, contra-indications are described in the information materials supplied by the manufacturer which should be reviewed to ensure they are consistent with the relevant clinical data appraised in stage 3 and that all the hazards, information on risk mitigation and other clinically relevant information have been identified appropriately.</w:t>
            </w:r>
          </w:p>
          <w:p w14:paraId="61C20E99" w14:textId="43314803"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special safety concerns about the risk related to the ergonomic features of the device and the environment in which the device is intended to be used (design for patient safety) and also related to the stresses which can occur during the lifetime of the device (such as in case of reusable devices).</w:t>
            </w:r>
          </w:p>
          <w:p w14:paraId="6CB6FA7E" w14:textId="256C2090"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the quality, safety and usefulness of the ancillary action of the medicinal substance or the </w:t>
            </w:r>
            <w:r w:rsidRPr="003015CD" w:rsidDel="00225522">
              <w:rPr>
                <w:rFonts w:asciiTheme="majorHAnsi" w:hAnsiTheme="majorHAnsi" w:cstheme="majorHAnsi"/>
                <w:color w:val="000000" w:themeColor="text1"/>
              </w:rPr>
              <w:t xml:space="preserve">ancillary </w:t>
            </w:r>
            <w:r w:rsidRPr="003015CD">
              <w:t>non</w:t>
            </w:r>
            <w:r w:rsidRPr="003015CD">
              <w:rPr>
                <w:rFonts w:asciiTheme="majorHAnsi" w:hAnsiTheme="majorHAnsi" w:cstheme="majorHAnsi"/>
                <w:color w:val="000000" w:themeColor="text1"/>
              </w:rPr>
              <w:t>- viable animal or human tissues, are incorporated in the medical device.</w:t>
            </w:r>
          </w:p>
          <w:p w14:paraId="42B497BA" w14:textId="77777777"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rPr>
              <w:t>the safety (in particular safety with regard to viruses and other transmissible agents) for patients, users and, where applicable, other persons of the medical devices manufactured utilising derivatives of tissues or cells of human origin which are non-viable or are rendered non-viable covered by MDR</w:t>
            </w:r>
            <w:r w:rsidRPr="003015CD">
              <w:rPr>
                <w:rStyle w:val="Appelnotedebasdep"/>
                <w:rFonts w:asciiTheme="majorHAnsi" w:hAnsiTheme="majorHAnsi" w:cstheme="majorHAnsi"/>
                <w:color w:val="000000" w:themeColor="text1"/>
              </w:rPr>
              <w:footnoteReference w:id="131"/>
            </w:r>
            <w:r w:rsidRPr="003015CD">
              <w:rPr>
                <w:rFonts w:asciiTheme="majorHAnsi" w:hAnsiTheme="majorHAnsi" w:cstheme="majorHAnsi"/>
                <w:color w:val="000000" w:themeColor="text1"/>
              </w:rPr>
              <w:t>, tissues or cells of animal origin, or their derivatives, which are non-viable or rendered non-viable or other non-viable biological substances, in order to guarantee the benefit and needed biologic safety.</w:t>
            </w:r>
          </w:p>
          <w:p w14:paraId="252DA066" w14:textId="77777777"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szCs w:val="22"/>
              </w:rPr>
            </w:pPr>
            <w:r w:rsidRPr="003015CD">
              <w:rPr>
                <w:rFonts w:asciiTheme="majorHAnsi" w:hAnsiTheme="majorHAnsi" w:cstheme="majorHAnsi"/>
                <w:color w:val="000000" w:themeColor="text1"/>
                <w:szCs w:val="22"/>
              </w:rPr>
              <w:t>whether there is sufficient clinical evidence for determining the safety of the device.</w:t>
            </w:r>
          </w:p>
          <w:p w14:paraId="626F3D1F" w14:textId="26DE31D1" w:rsidR="00FD03E5" w:rsidRPr="003015CD" w:rsidRDefault="00FD03E5" w:rsidP="00081885">
            <w:pPr>
              <w:pStyle w:val="Paragraphedeliste"/>
              <w:numPr>
                <w:ilvl w:val="0"/>
                <w:numId w:val="28"/>
              </w:numPr>
              <w:ind w:left="627"/>
              <w:jc w:val="both"/>
              <w:rPr>
                <w:rFonts w:asciiTheme="majorHAnsi" w:hAnsiTheme="majorHAnsi" w:cstheme="majorHAnsi"/>
                <w:color w:val="000000" w:themeColor="text1"/>
              </w:rPr>
            </w:pPr>
            <w:r w:rsidRPr="003015CD">
              <w:rPr>
                <w:rFonts w:asciiTheme="majorHAnsi" w:hAnsiTheme="majorHAnsi" w:cstheme="majorHAnsi"/>
                <w:color w:val="000000" w:themeColor="text1"/>
              </w:rPr>
              <w:t>whether there is consistency between the SOTA , the available clinical data, the information materials supplied by the manufacturer, and the risk management documentation for the device.</w:t>
            </w:r>
          </w:p>
        </w:tc>
      </w:tr>
      <w:tr w:rsidR="00FD03E5" w:rsidRPr="003015CD" w14:paraId="09D34752" w14:textId="77777777">
        <w:trPr>
          <w:trHeight w:val="638"/>
        </w:trPr>
        <w:tc>
          <w:tcPr>
            <w:tcW w:w="1531" w:type="pct"/>
            <w:tcBorders>
              <w:top w:val="nil"/>
              <w:bottom w:val="nil"/>
            </w:tcBorders>
          </w:tcPr>
          <w:p w14:paraId="7A404A17" w14:textId="77777777" w:rsidR="00FD03E5" w:rsidRPr="003015CD" w:rsidRDefault="00FD03E5" w:rsidP="00081885">
            <w:pPr>
              <w:ind w:left="720"/>
              <w:jc w:val="both"/>
              <w:rPr>
                <w:rFonts w:asciiTheme="majorHAnsi" w:hAnsiTheme="majorHAnsi" w:cstheme="majorHAnsi"/>
                <w:color w:val="000000" w:themeColor="text1"/>
              </w:rPr>
            </w:pPr>
          </w:p>
        </w:tc>
        <w:tc>
          <w:tcPr>
            <w:tcW w:w="3469" w:type="pct"/>
            <w:tcBorders>
              <w:top w:val="nil"/>
              <w:bottom w:val="nil"/>
            </w:tcBorders>
          </w:tcPr>
          <w:p w14:paraId="0F675277" w14:textId="77777777" w:rsidR="00FD03E5" w:rsidRPr="003015CD" w:rsidRDefault="00FD03E5" w:rsidP="00081885">
            <w:pPr>
              <w:jc w:val="both"/>
              <w:rPr>
                <w:rFonts w:asciiTheme="majorHAnsi" w:hAnsiTheme="majorHAnsi" w:cstheme="majorHAnsi"/>
                <w:color w:val="000000" w:themeColor="text1"/>
              </w:rPr>
            </w:pPr>
          </w:p>
        </w:tc>
      </w:tr>
      <w:tr w:rsidR="00FD03E5" w:rsidRPr="003015CD" w14:paraId="1E7F0EFD" w14:textId="77777777">
        <w:tc>
          <w:tcPr>
            <w:tcW w:w="1531" w:type="pct"/>
            <w:tcBorders>
              <w:top w:val="nil"/>
              <w:bottom w:val="nil"/>
            </w:tcBorders>
          </w:tcPr>
          <w:p w14:paraId="0963CF16" w14:textId="77777777" w:rsidR="00FD03E5" w:rsidRPr="003015CD" w:rsidRDefault="00FD03E5" w:rsidP="00081885">
            <w:pPr>
              <w:numPr>
                <w:ilvl w:val="2"/>
                <w:numId w:val="21"/>
              </w:numPr>
              <w:ind w:left="1418" w:hanging="698"/>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Requirements on performance </w:t>
            </w:r>
          </w:p>
        </w:tc>
        <w:tc>
          <w:tcPr>
            <w:tcW w:w="3469" w:type="pct"/>
            <w:tcBorders>
              <w:top w:val="nil"/>
              <w:bottom w:val="nil"/>
            </w:tcBorders>
          </w:tcPr>
          <w:p w14:paraId="550C3E9B" w14:textId="2E4D8B78"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See Section 10 and Appendix</w:t>
            </w:r>
            <w:r w:rsidR="00D86C89" w:rsidRPr="003015CD">
              <w:rPr>
                <w:rFonts w:asciiTheme="majorHAnsi" w:hAnsiTheme="majorHAnsi" w:cstheme="majorHAnsi"/>
                <w:color w:val="000000" w:themeColor="text1"/>
              </w:rPr>
              <w:t xml:space="preserve"> </w:t>
            </w:r>
            <w:r w:rsidR="00F31A3B" w:rsidRPr="003015CD">
              <w:rPr>
                <w:rFonts w:asciiTheme="majorHAnsi" w:hAnsiTheme="majorHAnsi" w:cstheme="majorHAnsi"/>
                <w:color w:val="000000" w:themeColor="text1"/>
              </w:rPr>
              <w:t>A9.</w:t>
            </w:r>
          </w:p>
          <w:p w14:paraId="51CAA250"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Summary of conformity assessment with requirements in relation to performance.</w:t>
            </w:r>
          </w:p>
          <w:p w14:paraId="65C1C761" w14:textId="53E0D771"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clinical performance. For each intended clinical performance, extent to which evaluation of benefits is possible based on available data, limitations of the data, description of gaps, uncertainties or unanswered questions, and assumptions, taking into account the clinical outcome parameters defined in the CEP</w:t>
            </w:r>
            <w:r w:rsidRPr="003015CD" w:rsidDel="00955A62">
              <w:rPr>
                <w:rFonts w:asciiTheme="majorHAnsi" w:hAnsiTheme="majorHAnsi" w:cstheme="majorHAnsi"/>
                <w:color w:val="000000" w:themeColor="text1"/>
              </w:rPr>
              <w:t>.</w:t>
            </w:r>
            <w:r w:rsidRPr="003015CD">
              <w:rPr>
                <w:rFonts w:asciiTheme="majorHAnsi" w:hAnsiTheme="majorHAnsi" w:cstheme="majorHAnsi"/>
                <w:color w:val="000000" w:themeColor="text1"/>
              </w:rPr>
              <w:t xml:space="preserve"> Whether there is sufficient clinical evidence for every intended clinical performance. </w:t>
            </w:r>
          </w:p>
          <w:p w14:paraId="24FD24F2" w14:textId="77777777" w:rsidR="00FD03E5" w:rsidRPr="003015CD" w:rsidRDefault="00FD03E5" w:rsidP="002D30A5">
            <w:pPr>
              <w:jc w:val="both"/>
              <w:rPr>
                <w:rFonts w:asciiTheme="majorHAnsi" w:hAnsiTheme="majorHAnsi" w:cstheme="majorHAnsi"/>
                <w:color w:val="000000" w:themeColor="text1"/>
              </w:rPr>
            </w:pPr>
          </w:p>
        </w:tc>
      </w:tr>
      <w:tr w:rsidR="00FD03E5" w:rsidRPr="003015CD" w14:paraId="0E546C6E" w14:textId="77777777">
        <w:tc>
          <w:tcPr>
            <w:tcW w:w="1531" w:type="pct"/>
            <w:tcBorders>
              <w:top w:val="nil"/>
            </w:tcBorders>
          </w:tcPr>
          <w:p w14:paraId="0B6EC6CC" w14:textId="77777777" w:rsidR="00FD03E5" w:rsidRPr="003015CD" w:rsidRDefault="00FD03E5" w:rsidP="00081885">
            <w:pPr>
              <w:numPr>
                <w:ilvl w:val="2"/>
                <w:numId w:val="21"/>
              </w:numPr>
              <w:ind w:left="1418" w:hanging="698"/>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Requirement on acceptability of side-effects </w:t>
            </w:r>
          </w:p>
        </w:tc>
        <w:tc>
          <w:tcPr>
            <w:tcW w:w="3469" w:type="pct"/>
            <w:tcBorders>
              <w:top w:val="nil"/>
            </w:tcBorders>
          </w:tcPr>
          <w:p w14:paraId="33CD2D24" w14:textId="77770183"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10 and </w:t>
            </w:r>
            <w:r w:rsidRPr="003015CD" w:rsidDel="00025EE6">
              <w:rPr>
                <w:rFonts w:asciiTheme="majorHAnsi" w:hAnsiTheme="majorHAnsi" w:cstheme="majorHAnsi"/>
                <w:color w:val="000000" w:themeColor="text1"/>
              </w:rPr>
              <w:t xml:space="preserve">Appendix </w:t>
            </w:r>
            <w:r w:rsidR="00025EE6" w:rsidRPr="003015CD">
              <w:rPr>
                <w:rFonts w:asciiTheme="majorHAnsi" w:hAnsiTheme="majorHAnsi" w:cstheme="majorHAnsi"/>
                <w:color w:val="000000" w:themeColor="text1"/>
              </w:rPr>
              <w:t>A9 (</w:t>
            </w:r>
            <w:r w:rsidR="009C32E8" w:rsidRPr="003015CD">
              <w:rPr>
                <w:rFonts w:asciiTheme="majorHAnsi" w:hAnsiTheme="majorHAnsi" w:cstheme="majorHAnsi"/>
                <w:color w:val="000000" w:themeColor="text1"/>
              </w:rPr>
              <w:t>in particular</w:t>
            </w:r>
            <w:r w:rsidR="00025EE6" w:rsidRPr="003015CD">
              <w:rPr>
                <w:rFonts w:asciiTheme="majorHAnsi" w:hAnsiTheme="majorHAnsi" w:cstheme="majorHAnsi"/>
                <w:color w:val="000000" w:themeColor="text1"/>
              </w:rPr>
              <w:t xml:space="preserve"> Appendix A</w:t>
            </w:r>
            <w:r w:rsidR="009C32E8" w:rsidRPr="003015CD">
              <w:rPr>
                <w:rFonts w:asciiTheme="majorHAnsi" w:hAnsiTheme="majorHAnsi" w:cstheme="majorHAnsi"/>
                <w:color w:val="000000" w:themeColor="text1"/>
              </w:rPr>
              <w:t>9.2)</w:t>
            </w:r>
          </w:p>
          <w:p w14:paraId="61499E49"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Summary of conformity assessment with requirement in relation to the acceptability of undesirable side-effects.</w:t>
            </w:r>
          </w:p>
          <w:p w14:paraId="604A390C"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Whether the clinical data available is of sufficient amount and quality for the detection of potential undesirable side-effects, their severity and frequency, limitations of the data, description of gaps, uncertainties or unanswered questions, and assumptions. </w:t>
            </w:r>
          </w:p>
          <w:p w14:paraId="1A7B7C18" w14:textId="748E939A"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Whether the undesirable side-effects are acceptable and corresponding justifications taking into consideration the SOTA.. </w:t>
            </w:r>
          </w:p>
        </w:tc>
      </w:tr>
      <w:tr w:rsidR="00FD03E5" w:rsidRPr="003015CD" w14:paraId="5253B88C" w14:textId="77777777">
        <w:tc>
          <w:tcPr>
            <w:tcW w:w="1531" w:type="pct"/>
            <w:tcBorders>
              <w:top w:val="nil"/>
            </w:tcBorders>
          </w:tcPr>
          <w:p w14:paraId="57D064EB" w14:textId="197D71E2" w:rsidR="00FD03E5" w:rsidRPr="003015CD" w:rsidRDefault="00FD03E5" w:rsidP="00081885">
            <w:pPr>
              <w:numPr>
                <w:ilvl w:val="2"/>
                <w:numId w:val="21"/>
              </w:numPr>
              <w:ind w:left="1418" w:hanging="698"/>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Requirement on acceptability benefit-risk profile </w:t>
            </w:r>
          </w:p>
        </w:tc>
        <w:tc>
          <w:tcPr>
            <w:tcW w:w="3469" w:type="pct"/>
            <w:tcBorders>
              <w:top w:val="nil"/>
            </w:tcBorders>
          </w:tcPr>
          <w:p w14:paraId="066C9B54" w14:textId="62A58EBD" w:rsidR="00FD03E5" w:rsidRPr="003015CD" w:rsidRDefault="009C32E8"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10 and Appendix A9 (in particular Appendix </w:t>
            </w:r>
            <w:r w:rsidR="00B502BE" w:rsidRPr="003015CD">
              <w:rPr>
                <w:rFonts w:asciiTheme="majorHAnsi" w:hAnsiTheme="majorHAnsi" w:cstheme="majorHAnsi"/>
                <w:color w:val="000000" w:themeColor="text1"/>
              </w:rPr>
              <w:t>A9.3) Summary</w:t>
            </w:r>
            <w:r w:rsidR="00FD03E5" w:rsidRPr="003015CD">
              <w:rPr>
                <w:rFonts w:asciiTheme="majorHAnsi" w:hAnsiTheme="majorHAnsi" w:cstheme="majorHAnsi"/>
                <w:color w:val="000000" w:themeColor="text1"/>
              </w:rPr>
              <w:t xml:space="preserve"> of conformity assessment with requirement in relation to the acceptable benefit-risk profile.</w:t>
            </w:r>
          </w:p>
          <w:p w14:paraId="0F8F934D"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Summary of the total experience with the device, including estimated numbers and characteristics of patients exposed to the device in clinical investigations, PMCF, from other user experience, and in the market; duration of follow-up. </w:t>
            </w:r>
          </w:p>
          <w:p w14:paraId="1212A3C7"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Nature, extent/severity, probability/frequency, duration of benefits to the patients and of undesirable side-effects and other risks. </w:t>
            </w:r>
          </w:p>
          <w:p w14:paraId="7021C29C" w14:textId="62E20C36"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For the various indications and the intended purpose or purposes of the device, whether the benefit-risk profile, including its uncertainties or unanswered questions, is compatible with a high level of protection of health and safety, taking into consideration the parameters determined in the plan and </w:t>
            </w:r>
            <w:r w:rsidRPr="003015CD" w:rsidDel="19143537">
              <w:rPr>
                <w:rFonts w:asciiTheme="majorHAnsi" w:hAnsiTheme="majorHAnsi" w:cstheme="majorBidi"/>
                <w:color w:val="000000" w:themeColor="text1"/>
              </w:rPr>
              <w:t xml:space="preserve">the </w:t>
            </w:r>
            <w:r w:rsidRPr="003015CD">
              <w:rPr>
                <w:rFonts w:asciiTheme="majorHAnsi" w:hAnsiTheme="majorHAnsi" w:cstheme="majorBidi"/>
                <w:color w:val="000000" w:themeColor="text1"/>
              </w:rPr>
              <w:t xml:space="preserve">SOTA in medicine.. </w:t>
            </w:r>
          </w:p>
          <w:p w14:paraId="5A33D926"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Relevant aspects to consider:</w:t>
            </w:r>
          </w:p>
          <w:p w14:paraId="121E7806" w14:textId="77777777" w:rsidR="00FD03E5" w:rsidRPr="003015CD" w:rsidRDefault="00FD03E5"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Evaluation of the description of the intended purpose of the device</w:t>
            </w:r>
          </w:p>
          <w:p w14:paraId="35EF4344" w14:textId="77777777" w:rsidR="00FD03E5" w:rsidRPr="003015CD" w:rsidRDefault="00FD03E5"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Evaluation of the device’s benefits to the patient</w:t>
            </w:r>
          </w:p>
          <w:p w14:paraId="36F44D50" w14:textId="77777777" w:rsidR="00FD03E5" w:rsidRPr="003015CD" w:rsidRDefault="00FD03E5"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Quantification of benefit(s) to the patients</w:t>
            </w:r>
          </w:p>
          <w:p w14:paraId="5546C616" w14:textId="409D1A94" w:rsidR="00FD03E5" w:rsidRPr="003015CD" w:rsidRDefault="00FD03E5"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Evaluation of the l risks of devices </w:t>
            </w:r>
          </w:p>
          <w:p w14:paraId="172A1389" w14:textId="1CC313AF" w:rsidR="00FD03E5" w:rsidRPr="003015CD" w:rsidRDefault="00FD03E5" w:rsidP="00081885">
            <w:pPr>
              <w:numPr>
                <w:ilvl w:val="0"/>
                <w:numId w:val="6"/>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Evaluation of acceptability of the benefit-risk profile.</w:t>
            </w:r>
          </w:p>
          <w:p w14:paraId="443C2491" w14:textId="0334E205"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Also, additional aspects in evaluation of acceptability of the benefit-risk profile in certain medical devices, such as devices that incorporate substances which are carcinogenic, mutagenic or toxic to reproduction (CMR) and substances having endocrine-disrupting properties (ED), tissues or cells of animal or human origin, or their derivatives, which are non-viable or rendered non-viable.</w:t>
            </w:r>
          </w:p>
        </w:tc>
      </w:tr>
      <w:tr w:rsidR="00FD03E5" w:rsidRPr="003015CD" w14:paraId="5DE8311D" w14:textId="77777777">
        <w:tc>
          <w:tcPr>
            <w:tcW w:w="1531" w:type="pct"/>
          </w:tcPr>
          <w:p w14:paraId="70DBC5F2" w14:textId="77777777" w:rsidR="00FD03E5" w:rsidRPr="003015CD" w:rsidRDefault="00FD03E5" w:rsidP="00081885">
            <w:pPr>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Conclusions</w:t>
            </w:r>
          </w:p>
        </w:tc>
        <w:tc>
          <w:tcPr>
            <w:tcW w:w="3469" w:type="pct"/>
          </w:tcPr>
          <w:p w14:paraId="3A45D51E" w14:textId="287BBCC1"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_Ref164263194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12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p>
          <w:p w14:paraId="240DB1A6" w14:textId="346BF046"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Clear statement concerning compliance</w:t>
            </w:r>
            <w:r w:rsidR="00BE0662" w:rsidRPr="003015CD">
              <w:rPr>
                <w:rFonts w:asciiTheme="majorHAnsi" w:hAnsiTheme="majorHAnsi" w:cstheme="majorHAnsi"/>
                <w:color w:val="000000" w:themeColor="text1"/>
              </w:rPr>
              <w:t xml:space="preserve"> to the</w:t>
            </w:r>
            <w:r w:rsidRPr="003015CD">
              <w:rPr>
                <w:rFonts w:asciiTheme="majorHAnsi" w:hAnsiTheme="majorHAnsi" w:cstheme="majorHAnsi"/>
                <w:color w:val="000000" w:themeColor="text1"/>
              </w:rPr>
              <w:t xml:space="preserve"> GSPRs set out in Annex I MDR.</w:t>
            </w:r>
          </w:p>
          <w:p w14:paraId="3C64E74D" w14:textId="3DE61DCD"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Assessment of whether the CER is </w:t>
            </w:r>
            <w:r w:rsidR="009E3F29" w:rsidRPr="003015CD">
              <w:rPr>
                <w:rFonts w:asciiTheme="majorHAnsi" w:hAnsiTheme="majorHAnsi" w:cstheme="majorBidi"/>
                <w:color w:val="000000" w:themeColor="text1"/>
              </w:rPr>
              <w:t>in keeping with</w:t>
            </w:r>
            <w:r w:rsidRPr="003015CD">
              <w:rPr>
                <w:rFonts w:asciiTheme="majorHAnsi" w:hAnsiTheme="majorHAnsi" w:cstheme="majorBidi"/>
                <w:color w:val="000000" w:themeColor="text1"/>
              </w:rPr>
              <w:t xml:space="preserve"> the CEP and justification of any </w:t>
            </w:r>
            <w:r w:rsidRPr="003015CD" w:rsidDel="00C936AE">
              <w:rPr>
                <w:rFonts w:asciiTheme="majorHAnsi" w:hAnsiTheme="majorHAnsi" w:cstheme="majorBidi"/>
                <w:color w:val="000000" w:themeColor="text1"/>
              </w:rPr>
              <w:t>deviation.</w:t>
            </w:r>
            <w:r w:rsidRPr="003015CD">
              <w:rPr>
                <w:rFonts w:asciiTheme="majorHAnsi" w:hAnsiTheme="majorHAnsi" w:cstheme="majorBidi"/>
                <w:color w:val="000000" w:themeColor="text1"/>
              </w:rPr>
              <w:t xml:space="preserve"> Acceptability of the benefit-risk profile according to the SOTA in the medical fields concerned and according to available medical alternatives.</w:t>
            </w:r>
          </w:p>
          <w:p w14:paraId="060A3F15"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Adequacy of the information materials supplied by the manufacturer, whether the intended purpose and risk reduction measures are adequate; discrepancies.</w:t>
            </w:r>
          </w:p>
          <w:p w14:paraId="5222AE64"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Suitability of the device, including its IFU, for the intended users and usability aspects; discrepancies.</w:t>
            </w:r>
          </w:p>
          <w:p w14:paraId="17892126"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Adequacy of claims foreseen by the manufacturer; discrepancies. </w:t>
            </w:r>
          </w:p>
          <w:p w14:paraId="02C97B16"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If there is consistency between the clinical data, the information materials supplied by the manufacturer, the risk management documentation for the device under evaluation; discrepancies.</w:t>
            </w:r>
          </w:p>
          <w:p w14:paraId="0683AB06" w14:textId="35E1F172" w:rsidR="00FD03E5" w:rsidRPr="003015CD" w:rsidRDefault="00FD03E5" w:rsidP="00081885">
            <w:pPr>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Whether there is consistency between these documents and the SOTA; discrepancies. </w:t>
            </w:r>
          </w:p>
          <w:p w14:paraId="0444C939"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Description of residual risks and uncertainties or unanswered questions, whether these are acceptable for CE-marking, how these should be followed during PMS (uncertainties regarding medium- and long-term performance, safety under wide-spread use, residual risks such as undesirable side-effects and complications occurring at rates below detection possibilities of currently available clinical data, others). Whether these are already being addressed in ongoing PMS activities, e.g. in currently ongoing PMCF studies. Whether new or additional PMS activities, including PMCF studies, should be foreseen.</w:t>
            </w:r>
          </w:p>
        </w:tc>
      </w:tr>
      <w:tr w:rsidR="00FD03E5" w:rsidRPr="003015CD" w14:paraId="48AF949C" w14:textId="77777777">
        <w:tc>
          <w:tcPr>
            <w:tcW w:w="1531" w:type="pct"/>
          </w:tcPr>
          <w:p w14:paraId="2FB116EE" w14:textId="77777777" w:rsidR="00FD03E5" w:rsidRPr="003015CD" w:rsidRDefault="00FD03E5" w:rsidP="00081885">
            <w:pPr>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Date of the next clinical evaluation</w:t>
            </w:r>
          </w:p>
        </w:tc>
        <w:tc>
          <w:tcPr>
            <w:tcW w:w="3469" w:type="pct"/>
          </w:tcPr>
          <w:p w14:paraId="37C982E6" w14:textId="216FCA2A"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w:t>
            </w:r>
            <w:r w:rsidR="003C2B37" w:rsidRPr="003015CD">
              <w:rPr>
                <w:rFonts w:asciiTheme="majorHAnsi" w:hAnsiTheme="majorHAnsi" w:cstheme="majorHAnsi"/>
                <w:color w:val="000000" w:themeColor="text1"/>
              </w:rPr>
              <w:t>1</w:t>
            </w:r>
            <w:r w:rsidRPr="003015CD">
              <w:rPr>
                <w:rFonts w:asciiTheme="majorHAnsi" w:hAnsiTheme="majorHAnsi" w:cstheme="majorHAnsi"/>
                <w:color w:val="000000" w:themeColor="text1"/>
              </w:rPr>
              <w:t>4. Suggested date,</w:t>
            </w:r>
            <w:r w:rsidR="003C2B37" w:rsidRPr="003015CD">
              <w:rPr>
                <w:rFonts w:asciiTheme="majorHAnsi" w:hAnsiTheme="majorHAnsi" w:cstheme="majorHAnsi"/>
                <w:color w:val="000000" w:themeColor="text1"/>
              </w:rPr>
              <w:t xml:space="preserve"> with</w:t>
            </w:r>
            <w:r w:rsidRPr="003015CD">
              <w:rPr>
                <w:rFonts w:asciiTheme="majorHAnsi" w:hAnsiTheme="majorHAnsi" w:cstheme="majorHAnsi"/>
                <w:color w:val="000000" w:themeColor="text1"/>
              </w:rPr>
              <w:t xml:space="preserve"> justification</w:t>
            </w:r>
            <w:r w:rsidR="008B5EF9" w:rsidRPr="003015CD">
              <w:rPr>
                <w:rFonts w:asciiTheme="majorHAnsi" w:hAnsiTheme="majorHAnsi" w:cstheme="majorHAnsi"/>
                <w:color w:val="000000" w:themeColor="text1"/>
              </w:rPr>
              <w:t>.</w:t>
            </w:r>
          </w:p>
        </w:tc>
      </w:tr>
      <w:tr w:rsidR="00FD03E5" w:rsidRPr="003015CD" w14:paraId="6FAF2D6F" w14:textId="77777777">
        <w:tc>
          <w:tcPr>
            <w:tcW w:w="1531" w:type="pct"/>
          </w:tcPr>
          <w:p w14:paraId="12E50376" w14:textId="77777777" w:rsidR="00FD03E5" w:rsidRPr="003015CD" w:rsidRDefault="00FD03E5" w:rsidP="00081885">
            <w:pPr>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Dates and signatures</w:t>
            </w:r>
          </w:p>
        </w:tc>
        <w:tc>
          <w:tcPr>
            <w:tcW w:w="3469" w:type="pct"/>
          </w:tcPr>
          <w:p w14:paraId="76C270B9" w14:textId="5396C004"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See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_Ref164263194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12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p>
          <w:p w14:paraId="1C6B6584"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Date of the clinical evaluation report. </w:t>
            </w:r>
          </w:p>
          <w:p w14:paraId="5F22399D"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Statement that the evaluators agree with the contents of the report. Dates, names and signatures of the evaluators. </w:t>
            </w:r>
          </w:p>
          <w:p w14:paraId="3F0932DF"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Final release by the manufacturer. Date, name and signature according to manufacturer’s document control procedures.</w:t>
            </w:r>
          </w:p>
          <w:p w14:paraId="5EF171FF" w14:textId="65925B5A" w:rsidR="00FD03E5" w:rsidRPr="003015CD" w:rsidRDefault="008B5EF9"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Please note that e</w:t>
            </w:r>
            <w:r w:rsidR="00FD03E5" w:rsidRPr="003015CD">
              <w:rPr>
                <w:rFonts w:asciiTheme="majorHAnsi" w:hAnsiTheme="majorHAnsi" w:cstheme="majorHAnsi"/>
                <w:color w:val="000000" w:themeColor="text1"/>
              </w:rPr>
              <w:t>lectronic signatures are accepted</w:t>
            </w:r>
          </w:p>
        </w:tc>
      </w:tr>
      <w:tr w:rsidR="00FD03E5" w:rsidRPr="003015CD" w14:paraId="15AFBA0C" w14:textId="77777777">
        <w:tc>
          <w:tcPr>
            <w:tcW w:w="1531" w:type="pct"/>
          </w:tcPr>
          <w:p w14:paraId="2E6EE772" w14:textId="77777777" w:rsidR="00FD03E5" w:rsidRPr="003015CD" w:rsidRDefault="00FD03E5" w:rsidP="00081885">
            <w:pPr>
              <w:numPr>
                <w:ilvl w:val="0"/>
                <w:numId w:val="21"/>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Qualification of the responsible evaluators</w:t>
            </w:r>
          </w:p>
        </w:tc>
        <w:tc>
          <w:tcPr>
            <w:tcW w:w="3469" w:type="pct"/>
          </w:tcPr>
          <w:p w14:paraId="6FB1DE72"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See Section 6.4.</w:t>
            </w:r>
          </w:p>
        </w:tc>
      </w:tr>
      <w:tr w:rsidR="00FD03E5" w:rsidRPr="003015CD" w14:paraId="2FB39536" w14:textId="77777777">
        <w:tc>
          <w:tcPr>
            <w:tcW w:w="1531" w:type="pct"/>
          </w:tcPr>
          <w:p w14:paraId="118110F0" w14:textId="77777777" w:rsidR="00FD03E5" w:rsidRPr="003015CD" w:rsidRDefault="00FD03E5" w:rsidP="00081885">
            <w:pPr>
              <w:numPr>
                <w:ilvl w:val="0"/>
                <w:numId w:val="21"/>
              </w:numPr>
              <w:jc w:val="both"/>
              <w:rPr>
                <w:rFonts w:asciiTheme="majorHAnsi" w:hAnsiTheme="majorHAnsi" w:cstheme="majorHAnsi"/>
                <w:color w:val="000000" w:themeColor="text1"/>
              </w:rPr>
            </w:pPr>
            <w:bookmarkStart w:id="295" w:name="_Ref233282663"/>
            <w:r w:rsidRPr="003015CD">
              <w:rPr>
                <w:rFonts w:asciiTheme="majorHAnsi" w:hAnsiTheme="majorHAnsi" w:cstheme="majorHAnsi"/>
                <w:color w:val="000000" w:themeColor="text1"/>
              </w:rPr>
              <w:t>References</w:t>
            </w:r>
            <w:bookmarkEnd w:id="295"/>
          </w:p>
        </w:tc>
        <w:tc>
          <w:tcPr>
            <w:tcW w:w="3469" w:type="pct"/>
          </w:tcPr>
          <w:p w14:paraId="1F7391F8" w14:textId="1FF6212B"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Appropriate references to related documents should be supplied as discussed in Section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_Ref164263194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12</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p>
        </w:tc>
      </w:tr>
    </w:tbl>
    <w:p w14:paraId="4720A44A" w14:textId="77777777" w:rsidR="00FD03E5" w:rsidRPr="003015CD" w:rsidRDefault="00FD03E5" w:rsidP="00081885">
      <w:pPr>
        <w:jc w:val="both"/>
        <w:rPr>
          <w:rFonts w:asciiTheme="majorHAnsi" w:hAnsiTheme="majorHAnsi" w:cstheme="majorHAnsi"/>
          <w:color w:val="000000" w:themeColor="text1"/>
        </w:rPr>
      </w:pPr>
    </w:p>
    <w:p w14:paraId="4AF1DD0B" w14:textId="77777777" w:rsidR="002A0520" w:rsidRPr="003015CD" w:rsidRDefault="002A0520">
      <w:pPr>
        <w:spacing w:before="0" w:after="0"/>
        <w:rPr>
          <w:b/>
          <w:bCs/>
          <w:sz w:val="32"/>
          <w:szCs w:val="28"/>
        </w:rPr>
      </w:pPr>
      <w:bookmarkStart w:id="296" w:name="_Toc446499068"/>
      <w:bookmarkStart w:id="297" w:name="_Ref167890730"/>
      <w:bookmarkStart w:id="298" w:name="_Ref233282555"/>
      <w:bookmarkStart w:id="299" w:name="_Ref233282569"/>
      <w:r w:rsidRPr="003015CD">
        <w:br w:type="page"/>
      </w:r>
    </w:p>
    <w:p w14:paraId="4C75E1BD" w14:textId="41D95DD7" w:rsidR="00FD03E5" w:rsidRPr="003015CD" w:rsidRDefault="00FD03E5" w:rsidP="00081885">
      <w:pPr>
        <w:pStyle w:val="App2"/>
        <w:tabs>
          <w:tab w:val="clear" w:pos="567"/>
          <w:tab w:val="clear" w:pos="709"/>
          <w:tab w:val="left" w:pos="284"/>
        </w:tabs>
        <w:ind w:left="426"/>
        <w:jc w:val="both"/>
      </w:pPr>
      <w:bookmarkStart w:id="300" w:name="_Toc236912947"/>
      <w:r w:rsidRPr="003015CD">
        <w:t>Proposed checklist for the release of the clinical evaluation report</w:t>
      </w:r>
      <w:bookmarkEnd w:id="296"/>
      <w:bookmarkEnd w:id="297"/>
      <w:bookmarkEnd w:id="298"/>
      <w:bookmarkEnd w:id="299"/>
      <w:bookmarkEnd w:id="300"/>
    </w:p>
    <w:p w14:paraId="6161F0D7" w14:textId="77777777" w:rsidR="00FD03E5" w:rsidRPr="003015CD" w:rsidRDefault="00FD03E5" w:rsidP="00081885">
      <w:p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It is recommended to check the following aspects for the release of a clinical evaluation report: </w:t>
      </w:r>
    </w:p>
    <w:p w14:paraId="05615880" w14:textId="77777777" w:rsidR="00FD03E5" w:rsidRPr="003015CD" w:rsidRDefault="00FD03E5" w:rsidP="00081885">
      <w:pPr>
        <w:pStyle w:val="Sansinterlign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is the CER a standalone document and does it include an executive summary which provides an overview on the relevant aspects of clinical evaluation of the device?</w:t>
      </w:r>
    </w:p>
    <w:p w14:paraId="028CEBAA" w14:textId="77777777" w:rsidR="00FD03E5" w:rsidRPr="003015CD" w:rsidRDefault="00FD03E5" w:rsidP="00081885">
      <w:pPr>
        <w:pStyle w:val="Sansinterlign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can the report be read and understood by a third party, does it provide sufficient detail for understanding the clinical evaluation procedure adopted by the evaluators, the data that are provided, all assumptions made and all conclusions reached? </w:t>
      </w:r>
    </w:p>
    <w:p w14:paraId="73397EF8" w14:textId="662FE07D" w:rsidR="00FD03E5" w:rsidRPr="003015CD" w:rsidRDefault="00FD03E5" w:rsidP="00081885">
      <w:pPr>
        <w:pStyle w:val="Sansinterligne"/>
        <w:numPr>
          <w:ilvl w:val="0"/>
          <w:numId w:val="59"/>
        </w:numPr>
        <w:jc w:val="both"/>
        <w:rPr>
          <w:rFonts w:asciiTheme="majorHAnsi" w:eastAsia="Arial" w:hAnsiTheme="majorHAnsi" w:cstheme="majorHAnsi"/>
          <w:color w:val="000000" w:themeColor="text1"/>
        </w:rPr>
      </w:pPr>
      <w:r w:rsidRPr="003015CD">
        <w:rPr>
          <w:rFonts w:asciiTheme="majorHAnsi" w:eastAsia="Arial" w:hAnsiTheme="majorHAnsi" w:cstheme="majorHAnsi"/>
          <w:color w:val="000000" w:themeColor="text1"/>
        </w:rPr>
        <w:t xml:space="preserve">is all the relevant information regarding the device description covered by the CER? For additional information, see Appendix </w:t>
      </w:r>
      <w:r w:rsidRPr="003015CD">
        <w:rPr>
          <w:rFonts w:asciiTheme="majorHAnsi" w:eastAsia="Arial" w:hAnsiTheme="majorHAnsi" w:cstheme="majorHAnsi"/>
          <w:color w:val="000000" w:themeColor="text1"/>
        </w:rPr>
        <w:fldChar w:fldCharType="begin"/>
      </w:r>
      <w:r w:rsidRPr="003015CD">
        <w:rPr>
          <w:rFonts w:asciiTheme="majorHAnsi" w:eastAsia="Arial" w:hAnsiTheme="majorHAnsi" w:cstheme="majorHAnsi"/>
          <w:color w:val="000000" w:themeColor="text1"/>
        </w:rPr>
        <w:instrText xml:space="preserve"> REF _Ref166607076 \r \h  \* MERGEFORMAT </w:instrText>
      </w:r>
      <w:r w:rsidRPr="003015CD">
        <w:rPr>
          <w:rFonts w:asciiTheme="majorHAnsi" w:eastAsia="Arial" w:hAnsiTheme="majorHAnsi" w:cstheme="majorHAnsi"/>
          <w:color w:val="000000" w:themeColor="text1"/>
        </w:rPr>
      </w:r>
      <w:r w:rsidRPr="003015CD">
        <w:rPr>
          <w:rFonts w:asciiTheme="majorHAnsi" w:eastAsia="Arial" w:hAnsiTheme="majorHAnsi" w:cstheme="majorHAnsi"/>
          <w:color w:val="000000" w:themeColor="text1"/>
        </w:rPr>
        <w:fldChar w:fldCharType="separate"/>
      </w:r>
      <w:r w:rsidR="001D11FB" w:rsidRPr="003015CD">
        <w:rPr>
          <w:rFonts w:asciiTheme="majorHAnsi" w:eastAsia="Arial" w:hAnsiTheme="majorHAnsi" w:cstheme="majorHAnsi"/>
          <w:color w:val="000000" w:themeColor="text1"/>
        </w:rPr>
        <w:t>A2</w:t>
      </w:r>
      <w:r w:rsidRPr="003015CD">
        <w:rPr>
          <w:rFonts w:asciiTheme="majorHAnsi" w:eastAsia="Arial" w:hAnsiTheme="majorHAnsi" w:cstheme="majorHAnsi"/>
          <w:color w:val="000000" w:themeColor="text1"/>
        </w:rPr>
        <w:fldChar w:fldCharType="end"/>
      </w:r>
      <w:r w:rsidRPr="003015CD">
        <w:rPr>
          <w:rFonts w:asciiTheme="majorHAnsi" w:eastAsia="Arial" w:hAnsiTheme="majorHAnsi" w:cstheme="majorHAnsi"/>
          <w:color w:val="000000" w:themeColor="text1"/>
        </w:rPr>
        <w:t>.</w:t>
      </w:r>
    </w:p>
    <w:p w14:paraId="7FC8E25C" w14:textId="77777777" w:rsidR="00FD03E5" w:rsidRPr="003015CD" w:rsidRDefault="00FD03E5" w:rsidP="00081885">
      <w:pPr>
        <w:pStyle w:val="Sansinterligne"/>
        <w:numPr>
          <w:ilvl w:val="0"/>
          <w:numId w:val="59"/>
        </w:numPr>
        <w:jc w:val="both"/>
        <w:rPr>
          <w:rFonts w:asciiTheme="majorHAnsi" w:eastAsia="Arial" w:hAnsiTheme="majorHAnsi" w:cstheme="majorHAnsi"/>
          <w:color w:val="000000" w:themeColor="text1"/>
        </w:rPr>
      </w:pPr>
      <w:r w:rsidRPr="003015CD">
        <w:rPr>
          <w:rFonts w:asciiTheme="majorHAnsi" w:hAnsiTheme="majorHAnsi" w:cstheme="majorHAnsi"/>
          <w:color w:val="000000" w:themeColor="text1"/>
        </w:rPr>
        <w:t>is key information necessary to understand the context of the clinical evaluation as outlined in the CEP reflected in the CER?</w:t>
      </w:r>
    </w:p>
    <w:p w14:paraId="58A0D456" w14:textId="6E5A8275" w:rsidR="00FD03E5" w:rsidRPr="003015CD" w:rsidRDefault="00FD03E5" w:rsidP="00081885">
      <w:pPr>
        <w:pStyle w:val="Sansinterlign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the device is already marketed in the Union or outside the Union, ha</w:t>
      </w:r>
      <w:r w:rsidR="007F5BFE" w:rsidRPr="003015CD">
        <w:rPr>
          <w:rFonts w:asciiTheme="majorHAnsi" w:hAnsiTheme="majorHAnsi" w:cstheme="majorHAnsi"/>
          <w:color w:val="000000" w:themeColor="text1"/>
        </w:rPr>
        <w:t>ve</w:t>
      </w:r>
      <w:r w:rsidRPr="003015CD">
        <w:rPr>
          <w:rFonts w:asciiTheme="majorHAnsi" w:hAnsiTheme="majorHAnsi" w:cstheme="majorHAnsi"/>
          <w:color w:val="000000" w:themeColor="text1"/>
        </w:rPr>
        <w:t xml:space="preserve"> the latest PMS/ PMCF data been taken into consideration and ha</w:t>
      </w:r>
      <w:r w:rsidR="007F5BFE" w:rsidRPr="003015CD">
        <w:rPr>
          <w:rFonts w:asciiTheme="majorHAnsi" w:hAnsiTheme="majorHAnsi" w:cstheme="majorHAnsi"/>
          <w:color w:val="000000" w:themeColor="text1"/>
        </w:rPr>
        <w:t>ve these</w:t>
      </w:r>
      <w:r w:rsidRPr="003015CD">
        <w:rPr>
          <w:rFonts w:asciiTheme="majorHAnsi" w:hAnsiTheme="majorHAnsi" w:cstheme="majorHAnsi"/>
          <w:color w:val="000000" w:themeColor="text1"/>
        </w:rPr>
        <w:t xml:space="preserve"> been summarised and referenced in the CER (See also Section</w:t>
      </w:r>
      <w:r w:rsidR="00656B3D" w:rsidRPr="003015CD">
        <w:rPr>
          <w:rFonts w:asciiTheme="majorHAnsi" w:hAnsiTheme="majorHAnsi" w:cstheme="majorHAnsi"/>
          <w:color w:val="000000" w:themeColor="text1"/>
        </w:rPr>
        <w:t xml:space="preserve"> </w:t>
      </w:r>
      <w:r w:rsidR="00656B3D" w:rsidRPr="003015CD">
        <w:rPr>
          <w:rFonts w:asciiTheme="majorHAnsi" w:hAnsiTheme="majorHAnsi" w:cstheme="majorHAnsi"/>
          <w:color w:val="000000" w:themeColor="text1"/>
        </w:rPr>
        <w:fldChar w:fldCharType="begin"/>
      </w:r>
      <w:r w:rsidR="00656B3D" w:rsidRPr="003015CD">
        <w:rPr>
          <w:rFonts w:asciiTheme="majorHAnsi" w:hAnsiTheme="majorHAnsi" w:cstheme="majorHAnsi"/>
          <w:color w:val="000000" w:themeColor="text1"/>
        </w:rPr>
        <w:instrText xml:space="preserve"> REF _Ref233793815 \r \h </w:instrText>
      </w:r>
      <w:r w:rsidR="00656B3D" w:rsidRPr="003015CD">
        <w:rPr>
          <w:rFonts w:asciiTheme="majorHAnsi" w:hAnsiTheme="majorHAnsi" w:cstheme="majorHAnsi"/>
          <w:color w:val="000000" w:themeColor="text1"/>
        </w:rPr>
      </w:r>
      <w:r w:rsidR="00656B3D"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8.1.4</w:t>
      </w:r>
      <w:r w:rsidR="00656B3D"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w:t>
      </w:r>
    </w:p>
    <w:p w14:paraId="2CFEDD41" w14:textId="64C475C9" w:rsidR="00FD03E5" w:rsidRPr="003015CD" w:rsidRDefault="00FD03E5" w:rsidP="00081885">
      <w:pPr>
        <w:pStyle w:val="Sansinterligne"/>
        <w:numPr>
          <w:ilvl w:val="0"/>
          <w:numId w:val="59"/>
        </w:numPr>
        <w:jc w:val="both"/>
        <w:rPr>
          <w:rFonts w:asciiTheme="majorHAnsi" w:eastAsia="Arial" w:hAnsiTheme="majorHAnsi" w:cstheme="majorHAnsi"/>
          <w:color w:val="000000" w:themeColor="text1"/>
        </w:rPr>
      </w:pPr>
      <w:r w:rsidRPr="003015CD">
        <w:rPr>
          <w:rFonts w:asciiTheme="majorHAnsi" w:hAnsiTheme="majorHAnsi" w:cstheme="majorHAnsi"/>
          <w:color w:val="000000" w:themeColor="text1"/>
        </w:rPr>
        <w:t>are all clinical data mentioned, adequately summarised and appraised in the CER?</w:t>
      </w:r>
    </w:p>
    <w:p w14:paraId="487AE3AD" w14:textId="77777777" w:rsidR="00FD03E5" w:rsidRPr="003015CD" w:rsidRDefault="00FD03E5" w:rsidP="00081885">
      <w:pPr>
        <w:pStyle w:val="Sansinterlign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if equivalence is claimed, </w:t>
      </w:r>
    </w:p>
    <w:p w14:paraId="2D7D2E41" w14:textId="7777777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is the equivalent device clearly identified as well as its manufacturer? </w:t>
      </w:r>
    </w:p>
    <w:p w14:paraId="36643540" w14:textId="7777777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is demonstration of equivalence between the device under evaluation and equivalent device(s) included in the report (considering the technical, biological and clinical characteristics)?</w:t>
      </w:r>
    </w:p>
    <w:p w14:paraId="3D5BB696" w14:textId="7777777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does the report disclose all the differences between the device under evaluation and the equivalent device? Does it explain why the differences are not expected to significantly affect the clinical performance and clinical safety of the device?</w:t>
      </w:r>
    </w:p>
    <w:p w14:paraId="02786646" w14:textId="4D1E479A" w:rsidR="00FD03E5" w:rsidRPr="003015CD" w:rsidRDefault="00FD03E5" w:rsidP="00081885">
      <w:pPr>
        <w:pStyle w:val="Sansinterligne"/>
        <w:jc w:val="both"/>
        <w:rPr>
          <w:rFonts w:asciiTheme="majorHAnsi" w:hAnsiTheme="majorHAnsi" w:cstheme="majorBidi"/>
          <w:color w:val="000000" w:themeColor="text1"/>
        </w:rPr>
      </w:pPr>
      <w:r w:rsidRPr="003015CD">
        <w:rPr>
          <w:rFonts w:asciiTheme="majorHAnsi" w:hAnsiTheme="majorHAnsi" w:cstheme="majorBidi"/>
          <w:color w:val="000000" w:themeColor="text1"/>
        </w:rPr>
        <w:t xml:space="preserve">in respect to the SOTA, </w:t>
      </w:r>
    </w:p>
    <w:p w14:paraId="5FF82D5F" w14:textId="14C348F4" w:rsidR="00FD03E5" w:rsidRPr="003015CD" w:rsidRDefault="00FD03E5" w:rsidP="00D35986">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when updating the CER, has the information on SOTA been updated as well? </w:t>
      </w:r>
    </w:p>
    <w:p w14:paraId="4EF17A38" w14:textId="37834193"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is </w:t>
      </w:r>
      <w:r w:rsidR="00681D6D" w:rsidRPr="003015CD">
        <w:rPr>
          <w:rFonts w:asciiTheme="majorHAnsi" w:hAnsiTheme="majorHAnsi" w:cstheme="majorHAnsi"/>
          <w:color w:val="000000" w:themeColor="text1"/>
        </w:rPr>
        <w:t>SOTA</w:t>
      </w:r>
      <w:r w:rsidRPr="003015CD" w:rsidDel="009F1B41">
        <w:rPr>
          <w:rFonts w:asciiTheme="majorHAnsi" w:hAnsiTheme="majorHAnsi" w:cstheme="majorHAnsi"/>
          <w:color w:val="000000" w:themeColor="text1"/>
        </w:rPr>
        <w:t xml:space="preserve"> </w:t>
      </w:r>
      <w:r w:rsidRPr="003015CD">
        <w:rPr>
          <w:rFonts w:asciiTheme="majorHAnsi" w:hAnsiTheme="majorHAnsi" w:cstheme="majorHAnsi"/>
          <w:color w:val="000000" w:themeColor="text1"/>
        </w:rPr>
        <w:t xml:space="preserve">described (see Appendix </w:t>
      </w:r>
      <w:r w:rsidRPr="003015CD">
        <w:rPr>
          <w:rFonts w:asciiTheme="majorHAnsi" w:hAnsiTheme="majorHAnsi" w:cstheme="majorHAnsi"/>
          <w:color w:val="000000" w:themeColor="text1"/>
        </w:rPr>
        <w:fldChar w:fldCharType="begin"/>
      </w:r>
      <w:r w:rsidRPr="003015CD">
        <w:rPr>
          <w:rFonts w:asciiTheme="majorHAnsi" w:hAnsiTheme="majorHAnsi" w:cstheme="majorHAnsi"/>
          <w:color w:val="000000" w:themeColor="text1"/>
        </w:rPr>
        <w:instrText xml:space="preserve"> REF _Ref172731801 \r \h  \* MERGEFORMAT </w:instrText>
      </w:r>
      <w:r w:rsidRPr="003015CD">
        <w:rPr>
          <w:rFonts w:asciiTheme="majorHAnsi" w:hAnsiTheme="majorHAnsi" w:cstheme="majorHAnsi"/>
          <w:color w:val="000000" w:themeColor="text1"/>
        </w:rPr>
      </w:r>
      <w:r w:rsidRPr="003015CD">
        <w:rPr>
          <w:rFonts w:asciiTheme="majorHAnsi" w:hAnsiTheme="majorHAnsi" w:cstheme="majorHAnsi"/>
          <w:color w:val="000000" w:themeColor="text1"/>
        </w:rPr>
        <w:fldChar w:fldCharType="separate"/>
      </w:r>
      <w:r w:rsidR="001D11FB" w:rsidRPr="003015CD">
        <w:rPr>
          <w:rFonts w:asciiTheme="majorHAnsi" w:hAnsiTheme="majorHAnsi" w:cstheme="majorHAnsi"/>
          <w:color w:val="000000" w:themeColor="text1"/>
        </w:rPr>
        <w:t>A1</w:t>
      </w:r>
      <w:r w:rsidRPr="003015CD">
        <w:rPr>
          <w:rFonts w:asciiTheme="majorHAnsi" w:hAnsiTheme="majorHAnsi" w:cstheme="majorHAnsi"/>
          <w:color w:val="000000" w:themeColor="text1"/>
        </w:rPr>
        <w:fldChar w:fldCharType="end"/>
      </w:r>
      <w:r w:rsidRPr="003015CD">
        <w:rPr>
          <w:rFonts w:asciiTheme="majorHAnsi" w:hAnsiTheme="majorHAnsi" w:cstheme="majorHAnsi"/>
          <w:color w:val="000000" w:themeColor="text1"/>
        </w:rPr>
        <w:t xml:space="preserve">) or are its key elements summarised (if the full explanation is reported in the CEP or in an appendix)? Is it adequately substantiated by literature? </w:t>
      </w:r>
    </w:p>
    <w:p w14:paraId="20EA859F" w14:textId="71A587F4" w:rsidR="00FD03E5" w:rsidRPr="003015CD" w:rsidRDefault="00FD03E5" w:rsidP="00D35986">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does the content of the CER fully correspond </w:t>
      </w:r>
      <w:r w:rsidRPr="003015CD" w:rsidDel="00666DE6">
        <w:rPr>
          <w:rFonts w:asciiTheme="majorHAnsi" w:hAnsiTheme="majorHAnsi" w:cstheme="majorHAnsi"/>
          <w:color w:val="000000" w:themeColor="text1"/>
        </w:rPr>
        <w:t xml:space="preserve">to </w:t>
      </w:r>
      <w:r w:rsidRPr="003015CD">
        <w:rPr>
          <w:rFonts w:asciiTheme="majorHAnsi" w:hAnsiTheme="majorHAnsi" w:cstheme="majorHAnsi"/>
          <w:color w:val="000000" w:themeColor="text1"/>
        </w:rPr>
        <w:t>the SOTA?</w:t>
      </w:r>
    </w:p>
    <w:p w14:paraId="6014DEFB" w14:textId="2ED7D652" w:rsidR="00FD03E5" w:rsidRPr="003015CD" w:rsidRDefault="00FD03E5" w:rsidP="00D35986">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does the report explain why the benefit-risk profile and the undesirable side-effects are acceptable (including the nature, severity, probability and duration of acceptable harm) in relation to the SOTA (including information on available diagnostic or therapeutic alternatives, historical context and developments, etc.)? </w:t>
      </w:r>
    </w:p>
    <w:p w14:paraId="1BBB2232" w14:textId="77777777" w:rsidR="00FD03E5" w:rsidRPr="003015CD" w:rsidRDefault="00FD03E5" w:rsidP="00081885">
      <w:pPr>
        <w:pStyle w:val="Sansinterlign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If the CER covers several models/ sizes/ settings and/or different medical conditions, is there sufficient clinical evidence and are the report’s conclusions correct for</w:t>
      </w:r>
    </w:p>
    <w:p w14:paraId="751B97ED" w14:textId="7777777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all the devices?</w:t>
      </w:r>
    </w:p>
    <w:p w14:paraId="3EA04F0A" w14:textId="7777777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all its sizes, models and settings? (Including the smallest/ largest size, highest/ lowest dose, etc.)</w:t>
      </w:r>
    </w:p>
    <w:p w14:paraId="27051ADC" w14:textId="712C1BCE"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every indication (as described in the IFU/ not excluded with contraindications in the IFU)?</w:t>
      </w:r>
    </w:p>
    <w:p w14:paraId="09E436CD" w14:textId="3589B5D1"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the entire target population (pre-term infants to old age, for males and females, etc., if not restricted in the IFU)?</w:t>
      </w:r>
    </w:p>
    <w:p w14:paraId="131717E3" w14:textId="250017D0" w:rsidR="00FD03E5" w:rsidRPr="003015CD" w:rsidRDefault="00FD03E5" w:rsidP="00081885">
      <w:pPr>
        <w:pStyle w:val="List23"/>
        <w:numPr>
          <w:ilvl w:val="0"/>
          <w:numId w:val="42"/>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every form, stage and severity of the medical condition, as applicable (Including the most severe/ most benign forms, acute/ chronic stage, if not excluded in the IFU</w:t>
      </w:r>
      <w:r w:rsidR="005058E1" w:rsidRPr="003015CD">
        <w:rPr>
          <w:rFonts w:asciiTheme="majorHAnsi" w:hAnsiTheme="majorHAnsi" w:cstheme="majorHAnsi"/>
          <w:color w:val="000000" w:themeColor="text1"/>
        </w:rPr>
        <w:t>)?</w:t>
      </w:r>
    </w:p>
    <w:p w14:paraId="77FC28E4" w14:textId="48D53AE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all intended users (including lay persons, if not excluded in the IFU, and any unusual user group</w:t>
      </w:r>
      <w:r w:rsidR="005058E1" w:rsidRPr="003015CD">
        <w:rPr>
          <w:rFonts w:asciiTheme="majorHAnsi" w:hAnsiTheme="majorHAnsi" w:cstheme="majorHAnsi"/>
          <w:color w:val="000000" w:themeColor="text1"/>
        </w:rPr>
        <w:t>)?</w:t>
      </w:r>
    </w:p>
    <w:p w14:paraId="1FB9B355" w14:textId="202413CB"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the whole duration of device use, including the maximal number of repeated exposures (as indicated by the IFU</w:t>
      </w:r>
      <w:r w:rsidR="009212F3" w:rsidRPr="003015CD">
        <w:rPr>
          <w:rFonts w:asciiTheme="majorHAnsi" w:hAnsiTheme="majorHAnsi" w:cstheme="majorHAnsi"/>
          <w:color w:val="000000" w:themeColor="text1"/>
        </w:rPr>
        <w:t>)?</w:t>
      </w:r>
    </w:p>
    <w:p w14:paraId="32218B23" w14:textId="77777777" w:rsidR="00FD03E5" w:rsidRPr="003015CD" w:rsidRDefault="00FD03E5" w:rsidP="00081885">
      <w:pPr>
        <w:pStyle w:val="List23"/>
        <w:numPr>
          <w:ilvl w:val="0"/>
          <w:numId w:val="60"/>
        </w:numPr>
        <w:ind w:hanging="153"/>
        <w:jc w:val="both"/>
        <w:rPr>
          <w:rFonts w:asciiTheme="majorHAnsi" w:hAnsiTheme="majorHAnsi" w:cstheme="majorHAnsi"/>
          <w:color w:val="000000" w:themeColor="text1"/>
        </w:rPr>
      </w:pPr>
      <w:r w:rsidRPr="003015CD">
        <w:rPr>
          <w:rFonts w:asciiTheme="majorHAnsi" w:hAnsiTheme="majorHAnsi" w:cstheme="majorHAnsi"/>
          <w:color w:val="000000" w:themeColor="text1"/>
        </w:rPr>
        <w:t>if there are any discrepancies as to the above, are they identified in the report’s conclusions?</w:t>
      </w:r>
    </w:p>
    <w:p w14:paraId="4BE38D97" w14:textId="77777777" w:rsidR="00FD03E5" w:rsidRPr="003015CD" w:rsidRDefault="00FD03E5" w:rsidP="00081885">
      <w:pPr>
        <w:pStyle w:val="Sansinterlign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is conformity to each of the relevant GSPRs clearly stated and are all discrepancies identified in the report’s conclusions? </w:t>
      </w:r>
    </w:p>
    <w:p w14:paraId="73BBA575" w14:textId="66B621EA"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are all the quantitative and</w:t>
      </w:r>
      <w:r w:rsidR="00D048D5" w:rsidRPr="003015CD">
        <w:rPr>
          <w:rFonts w:asciiTheme="majorHAnsi" w:hAnsiTheme="majorHAnsi" w:cstheme="majorHAnsi"/>
          <w:color w:val="000000" w:themeColor="text1"/>
        </w:rPr>
        <w:t xml:space="preserve"> qualitative</w:t>
      </w:r>
      <w:r w:rsidRPr="003015CD">
        <w:rPr>
          <w:rFonts w:asciiTheme="majorHAnsi" w:hAnsiTheme="majorHAnsi" w:cstheme="majorHAnsi"/>
          <w:color w:val="000000" w:themeColor="text1"/>
        </w:rPr>
        <w:t xml:space="preserve"> qualitive aspects of clinical safety</w:t>
      </w:r>
      <w:r w:rsidRPr="003015CD">
        <w:t xml:space="preserve"> </w:t>
      </w:r>
      <w:r w:rsidRPr="003015CD">
        <w:rPr>
          <w:rFonts w:asciiTheme="majorHAnsi" w:hAnsiTheme="majorHAnsi" w:cstheme="majorHAnsi"/>
          <w:color w:val="000000" w:themeColor="text1"/>
        </w:rPr>
        <w:t xml:space="preserve">described </w:t>
      </w:r>
      <w:r w:rsidRPr="003015CD">
        <w:t>and are all the</w:t>
      </w:r>
      <w:r w:rsidRPr="003015CD">
        <w:rPr>
          <w:rFonts w:asciiTheme="majorHAnsi" w:hAnsiTheme="majorHAnsi" w:cstheme="majorHAnsi"/>
          <w:color w:val="000000" w:themeColor="text1"/>
        </w:rPr>
        <w:t xml:space="preserve"> risks that could have a significant impact on the benefit-risk analysis identified and assessed in the CER?</w:t>
      </w:r>
    </w:p>
    <w:p w14:paraId="00C75DE9"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are the clinical benefits, in relation to relevant clinical outcome parameters, properly described and assessed? </w:t>
      </w:r>
    </w:p>
    <w:p w14:paraId="7B6A7667"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do the report’s conclusions include the relevant information about all the risks that could have a significant impact on the benefit-risk analysis' been identified in the clinical evaluation? Is there alignment between the risk management and clinical evaluation?</w:t>
      </w:r>
    </w:p>
    <w:p w14:paraId="3E4D478D"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do the information materials supplied by the manufacturer correspond with the contents of the CER and are all discrepancies identified and justified in the report’s conclusions?</w:t>
      </w:r>
    </w:p>
    <w:p w14:paraId="35BED473"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do the report’s conclusions identify all residual risks and uncertainties or unanswered questions that should be addressed with PMS / PMCF activities?</w:t>
      </w:r>
    </w:p>
    <w:p w14:paraId="74E90CA7"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do the report’s conclusions support the intended purpose, the claims and the information material supplied by the manufacturer and SSCP?</w:t>
      </w:r>
    </w:p>
    <w:p w14:paraId="2B974A72"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do the report’s conclusions demonstrate a sufficient level of clinical evidence to demonstrate compliance with the relevant GSPRs? </w:t>
      </w:r>
    </w:p>
    <w:p w14:paraId="660FC0EB"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is the report dated, and includes information about next CER update (date and justification)?</w:t>
      </w:r>
    </w:p>
    <w:p w14:paraId="0568D87B" w14:textId="77777777"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is the qualification of the evaluators included in the report and does it include the aspects listed in section 6.4?</w:t>
      </w:r>
    </w:p>
    <w:p w14:paraId="2245A9BF" w14:textId="4CF2C1CE" w:rsidR="00FD03E5" w:rsidRPr="003015CD" w:rsidRDefault="00FD03E5" w:rsidP="00081885">
      <w:pPr>
        <w:pStyle w:val="Paragraphedeliste"/>
        <w:numPr>
          <w:ilvl w:val="0"/>
          <w:numId w:val="59"/>
        </w:numPr>
        <w:jc w:val="both"/>
        <w:rPr>
          <w:rFonts w:asciiTheme="majorHAnsi" w:hAnsiTheme="majorHAnsi" w:cstheme="majorHAnsi"/>
          <w:color w:val="000000" w:themeColor="text1"/>
        </w:rPr>
      </w:pPr>
      <w:r w:rsidRPr="003015CD">
        <w:rPr>
          <w:rFonts w:asciiTheme="majorHAnsi" w:hAnsiTheme="majorHAnsi" w:cstheme="majorHAnsi"/>
          <w:color w:val="000000" w:themeColor="text1"/>
        </w:rPr>
        <w:t xml:space="preserve">does the manufacturer hold a CV of each of the evaluators and are these </w:t>
      </w:r>
      <w:r w:rsidRPr="003015CD" w:rsidDel="00DE50E7">
        <w:rPr>
          <w:rFonts w:asciiTheme="majorHAnsi" w:hAnsiTheme="majorHAnsi" w:cstheme="majorHAnsi"/>
          <w:color w:val="000000" w:themeColor="text1"/>
        </w:rPr>
        <w:t>up</w:t>
      </w:r>
      <w:r w:rsidR="00DE50E7" w:rsidRPr="003015CD">
        <w:rPr>
          <w:rFonts w:asciiTheme="majorHAnsi" w:hAnsiTheme="majorHAnsi" w:cstheme="majorHAnsi"/>
          <w:color w:val="000000" w:themeColor="text1"/>
        </w:rPr>
        <w:t xml:space="preserve"> to date</w:t>
      </w:r>
      <w:r w:rsidRPr="003015CD">
        <w:rPr>
          <w:rFonts w:asciiTheme="majorHAnsi" w:hAnsiTheme="majorHAnsi" w:cstheme="majorHAnsi"/>
          <w:color w:val="000000" w:themeColor="text1"/>
        </w:rPr>
        <w:t xml:space="preserve">? </w:t>
      </w:r>
    </w:p>
    <w:p w14:paraId="658DCDAA" w14:textId="77777777" w:rsidR="00FD03E5" w:rsidRPr="003015CD" w:rsidRDefault="00FD03E5" w:rsidP="00081885">
      <w:pPr>
        <w:pStyle w:val="Sansinterligne"/>
        <w:numPr>
          <w:ilvl w:val="0"/>
          <w:numId w:val="0"/>
        </w:numPr>
        <w:ind w:left="714" w:hanging="357"/>
        <w:jc w:val="both"/>
        <w:rPr>
          <w:rFonts w:asciiTheme="majorHAnsi" w:hAnsiTheme="majorHAnsi" w:cstheme="majorHAnsi"/>
          <w:color w:val="000000" w:themeColor="text1"/>
        </w:rPr>
      </w:pPr>
    </w:p>
    <w:p w14:paraId="0C17E554" w14:textId="77777777" w:rsidR="00FD03E5" w:rsidRPr="003015CD" w:rsidRDefault="00FD03E5" w:rsidP="00081885">
      <w:pPr>
        <w:pStyle w:val="Sansinterligne"/>
        <w:numPr>
          <w:ilvl w:val="0"/>
          <w:numId w:val="0"/>
        </w:numPr>
        <w:ind w:left="714" w:hanging="357"/>
        <w:jc w:val="both"/>
        <w:rPr>
          <w:rFonts w:asciiTheme="majorHAnsi" w:hAnsiTheme="majorHAnsi" w:cstheme="majorHAnsi"/>
          <w:color w:val="000000" w:themeColor="text1"/>
        </w:rPr>
      </w:pPr>
    </w:p>
    <w:p w14:paraId="2564E0D6" w14:textId="67FED4A6" w:rsidR="0047776A" w:rsidRPr="003015CD" w:rsidRDefault="0047776A" w:rsidP="00B502BE">
      <w:pPr>
        <w:autoSpaceDE w:val="0"/>
        <w:autoSpaceDN w:val="0"/>
        <w:adjustRightInd w:val="0"/>
        <w:spacing w:before="80" w:after="80"/>
        <w:ind w:left="714" w:hanging="357"/>
        <w:jc w:val="both"/>
        <w:rPr>
          <w:rFonts w:asciiTheme="majorHAnsi" w:hAnsiTheme="majorHAnsi" w:cstheme="majorHAnsi"/>
          <w:color w:val="000000" w:themeColor="text1"/>
        </w:rPr>
      </w:pPr>
    </w:p>
    <w:sectPr w:rsidR="0047776A" w:rsidRPr="003015CD" w:rsidSect="00D7148C">
      <w:pgSz w:w="11906" w:h="16838" w:code="9"/>
      <w:pgMar w:top="1418" w:right="851" w:bottom="992"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797A" w14:textId="77777777" w:rsidR="005E3F5A" w:rsidRDefault="005E3F5A" w:rsidP="000A15D5">
      <w:r>
        <w:separator/>
      </w:r>
    </w:p>
    <w:p w14:paraId="1D3F45C4" w14:textId="77777777" w:rsidR="005E3F5A" w:rsidRDefault="005E3F5A" w:rsidP="000A15D5"/>
  </w:endnote>
  <w:endnote w:type="continuationSeparator" w:id="0">
    <w:p w14:paraId="642628ED" w14:textId="77777777" w:rsidR="005E3F5A" w:rsidRDefault="005E3F5A" w:rsidP="000A15D5">
      <w:r>
        <w:continuationSeparator/>
      </w:r>
    </w:p>
    <w:p w14:paraId="26FCFF6A" w14:textId="77777777" w:rsidR="005E3F5A" w:rsidRDefault="005E3F5A" w:rsidP="000A15D5"/>
  </w:endnote>
  <w:endnote w:type="continuationNotice" w:id="1">
    <w:p w14:paraId="5BBBE923" w14:textId="77777777" w:rsidR="005E3F5A" w:rsidRDefault="005E3F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M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2B85" w14:textId="5EBECA60" w:rsidR="00BD6713" w:rsidRDefault="00BD6713" w:rsidP="00D91112">
    <w:pPr>
      <w:pStyle w:val="Footer1"/>
      <w:ind w:left="0" w:firstLine="0"/>
    </w:pPr>
    <w:r>
      <w:rPr>
        <w:noProof/>
        <w:lang w:val="es-ES" w:eastAsia="es-ES"/>
      </w:rPr>
      <mc:AlternateContent>
        <mc:Choice Requires="wps">
          <w:drawing>
            <wp:anchor distT="0" distB="0" distL="114300" distR="114300" simplePos="0" relativeHeight="251658240" behindDoc="0" locked="0" layoutInCell="0" allowOverlap="1" wp14:anchorId="3712FC07" wp14:editId="07167EE6">
              <wp:simplePos x="0" y="0"/>
              <wp:positionH relativeFrom="page">
                <wp:posOffset>0</wp:posOffset>
              </wp:positionH>
              <wp:positionV relativeFrom="page">
                <wp:posOffset>10248900</wp:posOffset>
              </wp:positionV>
              <wp:extent cx="7560310" cy="252730"/>
              <wp:effectExtent l="0" t="0" r="2540" b="4445"/>
              <wp:wrapNone/>
              <wp:docPr id="1" name="Text Box 1" descr="{&quot;HashCode&quot;:-137663621,&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0387E" w14:textId="77777777" w:rsidR="00BD6713" w:rsidRPr="00B94B19" w:rsidRDefault="00BD6713" w:rsidP="00B94B19">
                          <w:pPr>
                            <w:spacing w:before="0" w:after="0"/>
                            <w:jc w:val="center"/>
                            <w:rPr>
                              <w:color w:val="C8C9C8"/>
                              <w:sz w:val="14"/>
                            </w:rPr>
                          </w:pPr>
                          <w:r w:rsidRPr="00B94B19">
                            <w:rPr>
                              <w:color w:val="C8C9C8"/>
                              <w:sz w:val="14"/>
                            </w:rPr>
                            <w:t>Restricted Information and Basic Personal Data</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2FC07" id="_x0000_t202" coordsize="21600,21600" o:spt="202" path="m,l,21600r21600,l21600,xe">
              <v:stroke joinstyle="miter"/>
              <v:path gradientshapeok="t" o:connecttype="rect"/>
            </v:shapetype>
            <v:shape id="Text Box 1" o:spid="_x0000_s1026" type="#_x0000_t202" alt="{&quot;HashCode&quot;:-137663621,&quot;Height&quot;:841.0,&quot;Width&quot;:595.0,&quot;Placement&quot;:&quot;Footer&quot;,&quot;Index&quot;:&quot;Primary&quot;,&quot;Section&quot;:1,&quot;Top&quot;:0.0,&quot;Left&quot;:0.0}" style="position:absolute;margin-left:0;margin-top:807pt;width:595.3pt;height:1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" o:allowincell="f" filled="f" stroked="f">
              <v:textbox inset=",0,,0">
                <w:txbxContent>
                  <w:p w14:paraId="16A0387E" w14:textId="77777777" w:rsidR="00BD6713" w:rsidRPr="00B94B19" w:rsidRDefault="00BD6713" w:rsidP="00B94B19">
                    <w:pPr>
                      <w:spacing w:before="0" w:after="0"/>
                      <w:jc w:val="center"/>
                      <w:rPr>
                        <w:color w:val="C8C9C8"/>
                        <w:sz w:val="14"/>
                      </w:rPr>
                    </w:pPr>
                    <w:r w:rsidRPr="00B94B19">
                      <w:rPr>
                        <w:color w:val="C8C9C8"/>
                        <w:sz w:val="14"/>
                      </w:rPr>
                      <w:t>Restricted Information and Basic Personal Data</w:t>
                    </w:r>
                  </w:p>
                </w:txbxContent>
              </v:textbox>
              <w10:wrap anchorx="page" anchory="page"/>
            </v:shape>
          </w:pict>
        </mc:Fallback>
      </mc:AlternateContent>
    </w:r>
    <w:r w:rsidRPr="005F2978">
      <w:tab/>
    </w:r>
    <w:r>
      <w:t xml:space="preserve">page </w:t>
    </w:r>
    <w:r w:rsidRPr="005F2978">
      <w:fldChar w:fldCharType="begin"/>
    </w:r>
    <w:r w:rsidRPr="005F2978">
      <w:instrText>PAGE   \* MERGEFORMAT</w:instrText>
    </w:r>
    <w:r w:rsidRPr="005F2978">
      <w:fldChar w:fldCharType="separate"/>
    </w:r>
    <w:r>
      <w:rPr>
        <w:noProof/>
      </w:rPr>
      <w:t>35</w:t>
    </w:r>
    <w:r w:rsidRPr="005F2978">
      <w:fldChar w:fldCharType="end"/>
    </w:r>
    <w:r>
      <w:t xml:space="preserve"> of </w:t>
    </w:r>
    <w:fldSimple w:instr="NUMPAGES   \* MERGEFORMAT">
      <w:r>
        <w:rPr>
          <w:noProof/>
        </w:rPr>
        <w:t>98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02C3" w14:textId="77777777" w:rsidR="005E3F5A" w:rsidRDefault="005E3F5A" w:rsidP="00DF5C33">
      <w:r>
        <w:separator/>
      </w:r>
    </w:p>
    <w:p w14:paraId="7897AB08" w14:textId="77777777" w:rsidR="005E3F5A" w:rsidRDefault="005E3F5A" w:rsidP="00DF5C33"/>
  </w:footnote>
  <w:footnote w:type="continuationSeparator" w:id="0">
    <w:p w14:paraId="4972FEA8" w14:textId="77777777" w:rsidR="005E3F5A" w:rsidRDefault="005E3F5A" w:rsidP="000A15D5">
      <w:r>
        <w:continuationSeparator/>
      </w:r>
    </w:p>
    <w:p w14:paraId="5BA05FE7" w14:textId="77777777" w:rsidR="005E3F5A" w:rsidRDefault="005E3F5A" w:rsidP="000A15D5"/>
  </w:footnote>
  <w:footnote w:type="continuationNotice" w:id="1">
    <w:p w14:paraId="3EAF9B31" w14:textId="77777777" w:rsidR="005E3F5A" w:rsidRDefault="005E3F5A">
      <w:pPr>
        <w:spacing w:before="0" w:after="0"/>
      </w:pPr>
    </w:p>
  </w:footnote>
  <w:footnote w:id="2">
    <w:p w14:paraId="5AEE24C2" w14:textId="2746A8F2" w:rsidR="00BD6713" w:rsidRDefault="00BD6713" w:rsidP="005D0F57">
      <w:pPr>
        <w:pStyle w:val="Notedebasdepage"/>
      </w:pPr>
      <w:r>
        <w:rPr>
          <w:rStyle w:val="Appelnotedebasdep"/>
        </w:rPr>
        <w:footnoteRef/>
      </w:r>
      <w:r>
        <w:t xml:space="preserve"> </w:t>
      </w:r>
      <w:r w:rsidRPr="00834E53">
        <w:t xml:space="preserve">. U.S. Food and Drug Administration (FDA) </w:t>
      </w:r>
      <w:r w:rsidR="00C35A82" w:rsidRPr="00834E53">
        <w:t>CfDaRH.</w:t>
      </w:r>
      <w:r w:rsidRPr="00834E53">
        <w:t xml:space="preserve"> Use of real-world evidence to support regulatory decision-making for medical devices guidance for industry and food and drug administration staff U.S. food and drug administration (FDA), 2017. </w:t>
      </w:r>
      <w:hyperlink r:id="rId1" w:history="1">
        <w:r w:rsidR="00EC11C3" w:rsidRPr="001C0ED1">
          <w:rPr>
            <w:rStyle w:val="Lienhypertexte"/>
          </w:rPr>
          <w:t>https://www.fda.gov/media/99447/download</w:t>
        </w:r>
      </w:hyperlink>
    </w:p>
    <w:p w14:paraId="48FDE2E0" w14:textId="6068654E" w:rsidR="00EC11C3" w:rsidRPr="00834E53" w:rsidRDefault="00BF0964" w:rsidP="005D0F57">
      <w:pPr>
        <w:pStyle w:val="Notedebasdepage"/>
      </w:pPr>
      <w:r>
        <w:t>See also IMDRF documents.</w:t>
      </w:r>
    </w:p>
  </w:footnote>
  <w:footnote w:id="3">
    <w:p w14:paraId="62FCC02B" w14:textId="5588CDDE" w:rsidR="00BD6713" w:rsidRPr="00A81A27" w:rsidRDefault="00BD6713">
      <w:pPr>
        <w:pStyle w:val="Notedebasdepage"/>
        <w:rPr>
          <w:lang w:val="en-US"/>
        </w:rPr>
      </w:pPr>
      <w:r>
        <w:rPr>
          <w:rStyle w:val="Appelnotedebasdep"/>
        </w:rPr>
        <w:footnoteRef/>
      </w:r>
      <w:r w:rsidRPr="00A81A27">
        <w:rPr>
          <w:lang w:val="en-US"/>
        </w:rPr>
        <w:t xml:space="preserve"> Section 6.1, Annex II to MDR</w:t>
      </w:r>
    </w:p>
  </w:footnote>
  <w:footnote w:id="4">
    <w:p w14:paraId="15651C9F" w14:textId="345062F0" w:rsidR="00BD6713" w:rsidRPr="00A81A27" w:rsidRDefault="00BD6713" w:rsidP="001717F1">
      <w:pPr>
        <w:pStyle w:val="Notedebasdepage"/>
        <w:rPr>
          <w:lang w:val="en-US"/>
        </w:rPr>
      </w:pPr>
      <w:r>
        <w:rPr>
          <w:rStyle w:val="Appelnotedebasdep"/>
        </w:rPr>
        <w:footnoteRef/>
      </w:r>
      <w:r w:rsidRPr="00A81A27">
        <w:rPr>
          <w:lang w:val="en-US"/>
        </w:rPr>
        <w:t xml:space="preserve"> </w:t>
      </w:r>
      <w:r w:rsidRPr="00BB0A8B">
        <w:rPr>
          <w:lang w:val="en-US"/>
        </w:rPr>
        <w:t>Art</w:t>
      </w:r>
      <w:r>
        <w:rPr>
          <w:lang w:val="en-US"/>
        </w:rPr>
        <w:t>icle</w:t>
      </w:r>
      <w:r w:rsidRPr="00BB0A8B">
        <w:rPr>
          <w:lang w:val="en-US"/>
        </w:rPr>
        <w:t xml:space="preserve"> </w:t>
      </w:r>
      <w:r w:rsidRPr="00A81A27">
        <w:rPr>
          <w:lang w:val="en-US"/>
        </w:rPr>
        <w:t xml:space="preserve">61(12) </w:t>
      </w:r>
      <w:r>
        <w:rPr>
          <w:lang w:val="en-US"/>
        </w:rPr>
        <w:t xml:space="preserve">of  </w:t>
      </w:r>
      <w:r w:rsidRPr="00A81A27">
        <w:rPr>
          <w:lang w:val="en-US"/>
        </w:rPr>
        <w:t xml:space="preserve">MDR </w:t>
      </w:r>
    </w:p>
  </w:footnote>
  <w:footnote w:id="5">
    <w:p w14:paraId="6307C1EC" w14:textId="2A73DCDC" w:rsidR="00BD6713" w:rsidRPr="00A81A27" w:rsidRDefault="00BD6713" w:rsidP="00C41E19">
      <w:pPr>
        <w:pStyle w:val="Notedebasdepage"/>
        <w:rPr>
          <w:lang w:val="en-US"/>
        </w:rPr>
      </w:pPr>
      <w:r>
        <w:rPr>
          <w:rStyle w:val="Appelnotedebasdep"/>
        </w:rPr>
        <w:footnoteRef/>
      </w:r>
      <w:r w:rsidRPr="00A81A27">
        <w:rPr>
          <w:lang w:val="en-US"/>
        </w:rPr>
        <w:t xml:space="preserve"> </w:t>
      </w:r>
      <w:r w:rsidRPr="00BB0A8B">
        <w:rPr>
          <w:lang w:val="en-US"/>
        </w:rPr>
        <w:t>Art</w:t>
      </w:r>
      <w:r>
        <w:rPr>
          <w:lang w:val="en-US"/>
        </w:rPr>
        <w:t>icle</w:t>
      </w:r>
      <w:r w:rsidRPr="00BB0A8B">
        <w:rPr>
          <w:lang w:val="en-US"/>
        </w:rPr>
        <w:t xml:space="preserve"> </w:t>
      </w:r>
      <w:r w:rsidRPr="00A81A27">
        <w:rPr>
          <w:lang w:val="en-US"/>
        </w:rPr>
        <w:t xml:space="preserve">61(1) </w:t>
      </w:r>
      <w:r>
        <w:rPr>
          <w:lang w:val="en-US"/>
        </w:rPr>
        <w:t xml:space="preserve">of  </w:t>
      </w:r>
      <w:r w:rsidRPr="00A81A27">
        <w:rPr>
          <w:lang w:val="en-US"/>
        </w:rPr>
        <w:t xml:space="preserve">MDR </w:t>
      </w:r>
    </w:p>
  </w:footnote>
  <w:footnote w:id="6">
    <w:p w14:paraId="3BA7637C" w14:textId="77777777" w:rsidR="00BD6713" w:rsidRPr="00A45363" w:rsidRDefault="00BD6713">
      <w:pPr>
        <w:pStyle w:val="Notedebasdepage"/>
      </w:pPr>
      <w:r>
        <w:rPr>
          <w:rStyle w:val="Appelnotedebasdep"/>
        </w:rPr>
        <w:footnoteRef/>
      </w:r>
      <w:r>
        <w:t xml:space="preserve"> See MDCG 2020-13 </w:t>
      </w:r>
    </w:p>
  </w:footnote>
  <w:footnote w:id="7">
    <w:p w14:paraId="1FA06357" w14:textId="77777777" w:rsidR="00BD6713" w:rsidRDefault="00BD6713" w:rsidP="00A81A27">
      <w:pPr>
        <w:pStyle w:val="Notedebasdepage"/>
      </w:pPr>
      <w:r w:rsidRPr="059AB3F3">
        <w:rPr>
          <w:rStyle w:val="Appelnotedebasdep"/>
        </w:rPr>
        <w:footnoteRef/>
      </w:r>
      <w:r>
        <w:t xml:space="preserve"> See section 12.1</w:t>
      </w:r>
    </w:p>
  </w:footnote>
  <w:footnote w:id="8">
    <w:p w14:paraId="670FCB88" w14:textId="77777777" w:rsidR="00BD6713" w:rsidRDefault="00BD6713" w:rsidP="00A81A27">
      <w:pPr>
        <w:pStyle w:val="Notedebasdepage"/>
        <w:rPr>
          <w:lang w:val="en-US"/>
        </w:rPr>
      </w:pPr>
      <w:r w:rsidRPr="1F339632">
        <w:rPr>
          <w:rStyle w:val="Appelnotedebasdep"/>
          <w:lang w:val="en-US"/>
        </w:rPr>
        <w:footnoteRef/>
      </w:r>
      <w:r w:rsidRPr="1F339632">
        <w:rPr>
          <w:lang w:val="en-US"/>
        </w:rPr>
        <w:t xml:space="preserve"> The device lifetime is the time period specified by the manufacturer in the device documentation during which the device is expected to remain safe and effective for use / in use. See MDCG 2022-21 for more information</w:t>
      </w:r>
    </w:p>
  </w:footnote>
  <w:footnote w:id="9">
    <w:p w14:paraId="640012D2" w14:textId="77777777" w:rsidR="00BD6713" w:rsidRDefault="00BD6713">
      <w:r w:rsidRPr="0A25E025">
        <w:rPr>
          <w:rStyle w:val="Appelnotedebasdep"/>
        </w:rPr>
        <w:footnoteRef/>
      </w:r>
      <w:r>
        <w:t xml:space="preserve"> See Article 7 of MDR</w:t>
      </w:r>
    </w:p>
  </w:footnote>
  <w:footnote w:id="10">
    <w:p w14:paraId="71DEEA23" w14:textId="77777777" w:rsidR="00BD6713" w:rsidRPr="00A81A27" w:rsidRDefault="00BD6713">
      <w:pPr>
        <w:pStyle w:val="Notedebasdepage"/>
        <w:rPr>
          <w:lang w:val="en-US"/>
        </w:rPr>
      </w:pPr>
      <w:r>
        <w:rPr>
          <w:rStyle w:val="Appelnotedebasdep"/>
        </w:rPr>
        <w:footnoteRef/>
      </w:r>
      <w:r>
        <w:t xml:space="preserve"> </w:t>
      </w:r>
      <w:r>
        <w:rPr>
          <w:rFonts w:asciiTheme="majorHAnsi" w:hAnsiTheme="majorHAnsi" w:cstheme="majorBidi"/>
          <w:color w:val="000000" w:themeColor="text1"/>
        </w:rPr>
        <w:t>MDCG 2020-5</w:t>
      </w:r>
    </w:p>
  </w:footnote>
  <w:footnote w:id="11">
    <w:p w14:paraId="3562196A" w14:textId="77777777" w:rsidR="00BD6713" w:rsidRPr="004D4185" w:rsidRDefault="00BD6713">
      <w:pPr>
        <w:pStyle w:val="Notedebasdepage"/>
      </w:pPr>
      <w:r>
        <w:rPr>
          <w:rStyle w:val="Appelnotedebasdep"/>
        </w:rPr>
        <w:footnoteRef/>
      </w:r>
      <w:r>
        <w:t xml:space="preserve"> </w:t>
      </w:r>
      <w:r w:rsidRPr="008C1128">
        <w:t>ISO 14155</w:t>
      </w:r>
      <w:r>
        <w:t>:2020</w:t>
      </w:r>
      <w:r w:rsidRPr="008C1128">
        <w:t xml:space="preserve"> Section 6.3</w:t>
      </w:r>
    </w:p>
  </w:footnote>
  <w:footnote w:id="12">
    <w:p w14:paraId="57C32B43" w14:textId="77777777" w:rsidR="00BD6713" w:rsidRPr="00A94957" w:rsidRDefault="00BD6713">
      <w:pPr>
        <w:pStyle w:val="Notedebasdepage"/>
      </w:pPr>
      <w:r>
        <w:rPr>
          <w:rStyle w:val="Appelnotedebasdep"/>
        </w:rPr>
        <w:footnoteRef/>
      </w:r>
      <w:r>
        <w:t xml:space="preserve"> MDCG 2020-7</w:t>
      </w:r>
    </w:p>
  </w:footnote>
  <w:footnote w:id="13">
    <w:p w14:paraId="7524C8A2" w14:textId="6C3661A0" w:rsidR="00BD6713" w:rsidRPr="00A6088B" w:rsidRDefault="00BD6713" w:rsidP="00864DC5">
      <w:pPr>
        <w:pStyle w:val="Notedebasdepage"/>
      </w:pPr>
      <w:r>
        <w:rPr>
          <w:rStyle w:val="Appelnotedebasdep"/>
        </w:rPr>
        <w:footnoteRef/>
      </w:r>
      <w:r w:rsidRPr="00A6088B">
        <w:t xml:space="preserve"> Article 61(3) and Section 3, Annex XIV </w:t>
      </w:r>
      <w:r w:rsidR="00AD5F51" w:rsidRPr="00A6088B">
        <w:t>of MDR</w:t>
      </w:r>
    </w:p>
  </w:footnote>
  <w:footnote w:id="14">
    <w:p w14:paraId="1F31E89D" w14:textId="7E604E49" w:rsidR="00BD6713" w:rsidRPr="00A6088B" w:rsidRDefault="00BD6713" w:rsidP="00864DC5">
      <w:pPr>
        <w:pStyle w:val="Notedebasdepage"/>
      </w:pPr>
      <w:r>
        <w:rPr>
          <w:rStyle w:val="Appelnotedebasdep"/>
        </w:rPr>
        <w:footnoteRef/>
      </w:r>
      <w:r w:rsidRPr="00A6088B">
        <w:t xml:space="preserve"> Section 3, Annex XIV to MDR. See MDCG 2020-5 for guidance on equivalence</w:t>
      </w:r>
    </w:p>
  </w:footnote>
  <w:footnote w:id="15">
    <w:p w14:paraId="4753E224" w14:textId="3FBAC3A0" w:rsidR="00BD6713" w:rsidRPr="00864DC5" w:rsidRDefault="00BD6713" w:rsidP="00864DC5">
      <w:pPr>
        <w:pStyle w:val="Notedebasdepage"/>
      </w:pPr>
      <w:r>
        <w:rPr>
          <w:rStyle w:val="Appelnotedebasdep"/>
        </w:rPr>
        <w:footnoteRef/>
      </w:r>
      <w:r w:rsidRPr="00864DC5">
        <w:t>Section 1, Part A, Annex XIV to</w:t>
      </w:r>
      <w:r w:rsidRPr="00864DC5" w:rsidDel="008950A2">
        <w:t xml:space="preserve"> </w:t>
      </w:r>
      <w:r w:rsidRPr="00864DC5">
        <w:t>MDR</w:t>
      </w:r>
    </w:p>
  </w:footnote>
  <w:footnote w:id="16">
    <w:p w14:paraId="78174F53" w14:textId="77777777" w:rsidR="00BD6713" w:rsidRPr="00864DC5" w:rsidRDefault="00BD6713" w:rsidP="00864DC5">
      <w:pPr>
        <w:pStyle w:val="Notedebasdepage"/>
      </w:pPr>
      <w:r>
        <w:rPr>
          <w:rStyle w:val="Appelnotedebasdep"/>
        </w:rPr>
        <w:footnoteRef/>
      </w:r>
      <w:r w:rsidRPr="00864DC5">
        <w:t xml:space="preserve"> P</w:t>
      </w:r>
      <w:r>
        <w:t>lease note that MDR</w:t>
      </w:r>
      <w:r w:rsidRPr="006C42F9">
        <w:t xml:space="preserve"> does not mandate the use of 'Stage 0,' 'Stage 1,' etc., terminology, which is optional</w:t>
      </w:r>
      <w:r>
        <w:t>.</w:t>
      </w:r>
    </w:p>
  </w:footnote>
  <w:footnote w:id="17">
    <w:p w14:paraId="37D9C6BE" w14:textId="77777777" w:rsidR="00BD6713" w:rsidRPr="00DB7D49" w:rsidRDefault="00BD6713">
      <w:pPr>
        <w:pStyle w:val="Notedebasdepage"/>
      </w:pPr>
      <w:r>
        <w:rPr>
          <w:rStyle w:val="Appelnotedebasdep"/>
        </w:rPr>
        <w:footnoteRef/>
      </w:r>
      <w:r>
        <w:t xml:space="preserve"> W</w:t>
      </w:r>
      <w:r w:rsidRPr="00F8083C">
        <w:rPr>
          <w:rFonts w:ascii="Segoe UI" w:hAnsi="Segoe UI" w:cs="Segoe UI"/>
          <w:szCs w:val="18"/>
          <w:lang w:val="en-US"/>
        </w:rPr>
        <w:t>hile MDCG 2023-7 is specific to class III and implantable devices, the general principles may be applied to all devices</w:t>
      </w:r>
    </w:p>
  </w:footnote>
  <w:footnote w:id="18">
    <w:p w14:paraId="38AA3ADE" w14:textId="77777777" w:rsidR="00BD6713" w:rsidRPr="00083ADE" w:rsidRDefault="00BD6713">
      <w:pPr>
        <w:pStyle w:val="Notedebasdepage"/>
      </w:pPr>
      <w:r>
        <w:rPr>
          <w:rStyle w:val="Appelnotedebasdep"/>
        </w:rPr>
        <w:footnoteRef/>
      </w:r>
      <w:r>
        <w:t xml:space="preserve"> See section 7.1.6 for devices falling under art. 61(10)</w:t>
      </w:r>
    </w:p>
  </w:footnote>
  <w:footnote w:id="19">
    <w:p w14:paraId="75A13A4D" w14:textId="77777777" w:rsidR="00BD6713" w:rsidRPr="000D7F70" w:rsidRDefault="00BD6713">
      <w:pPr>
        <w:pStyle w:val="Notedebasdepage"/>
      </w:pPr>
      <w:r>
        <w:rPr>
          <w:rStyle w:val="Appelnotedebasdep"/>
        </w:rPr>
        <w:footnoteRef/>
      </w:r>
      <w:r>
        <w:t xml:space="preserve"> </w:t>
      </w:r>
      <w:r w:rsidRPr="00F26CF4">
        <w:t>MDCG 2021-3, Q8</w:t>
      </w:r>
    </w:p>
  </w:footnote>
  <w:footnote w:id="20">
    <w:p w14:paraId="45468C24" w14:textId="2B62892F" w:rsidR="00BD6713" w:rsidRPr="000D7F70" w:rsidRDefault="00BD6713" w:rsidP="000D7F70">
      <w:pPr>
        <w:pStyle w:val="Notedebasdepage"/>
      </w:pPr>
      <w:r>
        <w:rPr>
          <w:rStyle w:val="Appelnotedebasdep"/>
        </w:rPr>
        <w:footnoteRef/>
      </w:r>
      <w:r>
        <w:t xml:space="preserve"> </w:t>
      </w:r>
      <w:r w:rsidRPr="00BB0A8B">
        <w:rPr>
          <w:lang w:val="en-US"/>
        </w:rPr>
        <w:t>Art</w:t>
      </w:r>
      <w:r>
        <w:rPr>
          <w:lang w:val="en-US"/>
        </w:rPr>
        <w:t>icle</w:t>
      </w:r>
      <w:r w:rsidRPr="00BB0A8B">
        <w:rPr>
          <w:lang w:val="en-US"/>
        </w:rPr>
        <w:t xml:space="preserve"> </w:t>
      </w:r>
      <w:r w:rsidRPr="00F11616">
        <w:t>10 (4)-(5)</w:t>
      </w:r>
      <w:r w:rsidRPr="002A4E7F">
        <w:t xml:space="preserve"> </w:t>
      </w:r>
      <w:r>
        <w:rPr>
          <w:lang w:val="en-IE"/>
        </w:rPr>
        <w:t xml:space="preserve">of </w:t>
      </w:r>
      <w:r w:rsidRPr="00F11616">
        <w:t>MDR</w:t>
      </w:r>
    </w:p>
  </w:footnote>
  <w:footnote w:id="21">
    <w:p w14:paraId="3E7B17C5" w14:textId="77777777" w:rsidR="00BD6713" w:rsidRPr="007C67AD" w:rsidRDefault="00BD6713">
      <w:pPr>
        <w:pStyle w:val="Notedebasdepage"/>
      </w:pPr>
      <w:r>
        <w:rPr>
          <w:rStyle w:val="Appelnotedebasdep"/>
        </w:rPr>
        <w:footnoteRef/>
      </w:r>
      <w:r>
        <w:t xml:space="preserve"> </w:t>
      </w:r>
      <w:r w:rsidRPr="007C67AD">
        <w:t>Please note that this is valid until the end of the transition period as per MDR art. 120</w:t>
      </w:r>
    </w:p>
  </w:footnote>
  <w:footnote w:id="22">
    <w:p w14:paraId="2C882577" w14:textId="6F75E268" w:rsidR="00BD6713" w:rsidRPr="00A81A27" w:rsidRDefault="00BD6713" w:rsidP="00E71509">
      <w:pPr>
        <w:pStyle w:val="Notedebasdepage"/>
        <w:rPr>
          <w:lang w:val="en-US"/>
        </w:rPr>
      </w:pPr>
      <w:r>
        <w:rPr>
          <w:rStyle w:val="Appelnotedebasdep"/>
        </w:rPr>
        <w:footnoteRef/>
      </w:r>
      <w:r>
        <w:t xml:space="preserve"> Note the specifics of indents one, two, and four of Article 2(48), respectively: </w:t>
      </w:r>
      <w:r w:rsidRPr="00F770CC">
        <w:t>Data sourced from clinical investigations of the device under evaluation fall under the first and data sourced from clinical investigations of an equivalent device fall under the second indent of Article 2(48). Clinical investigations that are conducted or identified as a part of the PMS</w:t>
      </w:r>
      <w:r w:rsidR="00FE33B3">
        <w:t xml:space="preserve"> and</w:t>
      </w:r>
      <w:r w:rsidRPr="00F770CC">
        <w:t xml:space="preserve"> PMCF, qualify as sources </w:t>
      </w:r>
      <w:r>
        <w:t xml:space="preserve">of </w:t>
      </w:r>
      <w:r w:rsidRPr="00F770CC">
        <w:t>clinical data by way of the fourth indent of the clinical data definition in Article 2(48).</w:t>
      </w:r>
      <w:r>
        <w:t xml:space="preserve"> </w:t>
      </w:r>
    </w:p>
  </w:footnote>
  <w:footnote w:id="23">
    <w:p w14:paraId="7E1201B8" w14:textId="77777777" w:rsidR="00BD6713" w:rsidRPr="00D143BE" w:rsidRDefault="00BD6713" w:rsidP="00E71509">
      <w:pPr>
        <w:pStyle w:val="Notedebasdepage"/>
      </w:pPr>
      <w:r w:rsidRPr="00D143BE">
        <w:rPr>
          <w:rStyle w:val="Appelnotedebasdep"/>
        </w:rPr>
        <w:footnoteRef/>
      </w:r>
      <w:r w:rsidRPr="00D143BE">
        <w:t xml:space="preserve"> Directive 93/42/EEC and Directive 90/385/EEC</w:t>
      </w:r>
    </w:p>
  </w:footnote>
  <w:footnote w:id="24">
    <w:p w14:paraId="13D8F897" w14:textId="77777777" w:rsidR="00BD6713" w:rsidRPr="006476D1" w:rsidRDefault="00BD6713" w:rsidP="00E71509">
      <w:pPr>
        <w:pStyle w:val="Notedebasdepage"/>
        <w:rPr>
          <w:lang w:val="en-IE"/>
        </w:rPr>
      </w:pPr>
      <w:r>
        <w:rPr>
          <w:rStyle w:val="Appelnotedebasdep"/>
        </w:rPr>
        <w:footnoteRef/>
      </w:r>
      <w:r>
        <w:t xml:space="preserve"> </w:t>
      </w:r>
      <w:r>
        <w:rPr>
          <w:lang w:val="en-IE"/>
        </w:rPr>
        <w:t xml:space="preserve">Available via: </w:t>
      </w:r>
      <w:hyperlink r:id="rId2" w:history="1">
        <w:r w:rsidRPr="00C327ED">
          <w:rPr>
            <w:rStyle w:val="Lienhypertexte"/>
            <w:lang w:val="en-IE"/>
          </w:rPr>
          <w:t>https://health.ec.europa.eu/medical-devices-sector/new-regulations/guidance-mdcg-endorsed-documents-and-other-guidance_en</w:t>
        </w:r>
      </w:hyperlink>
      <w:r>
        <w:rPr>
          <w:lang w:val="en-IE"/>
        </w:rPr>
        <w:t xml:space="preserve"> </w:t>
      </w:r>
    </w:p>
  </w:footnote>
  <w:footnote w:id="25">
    <w:p w14:paraId="05C57F5E" w14:textId="77777777" w:rsidR="00BD6713" w:rsidRPr="00AC24D5" w:rsidRDefault="00BD6713" w:rsidP="00E71509">
      <w:pPr>
        <w:pStyle w:val="Notedebasdepage"/>
      </w:pPr>
      <w:r>
        <w:rPr>
          <w:rStyle w:val="Appelnotedebasdep"/>
        </w:rPr>
        <w:footnoteRef/>
      </w:r>
      <w:r>
        <w:t xml:space="preserve"> See MDCG 2021-6 Rev.1</w:t>
      </w:r>
    </w:p>
  </w:footnote>
  <w:footnote w:id="26">
    <w:p w14:paraId="04B3E9B5" w14:textId="77777777" w:rsidR="00BD6713" w:rsidRPr="00FF3126" w:rsidRDefault="00BD6713">
      <w:pPr>
        <w:pStyle w:val="Notedebasdepage"/>
      </w:pPr>
      <w:r>
        <w:rPr>
          <w:rStyle w:val="Appelnotedebasdep"/>
        </w:rPr>
        <w:footnoteRef/>
      </w:r>
      <w:r>
        <w:t xml:space="preserve"> See MDCG 2021-6 Rev.1</w:t>
      </w:r>
    </w:p>
  </w:footnote>
  <w:footnote w:id="27">
    <w:p w14:paraId="05196CD8" w14:textId="77777777" w:rsidR="00BD6713" w:rsidRPr="00A81A27" w:rsidRDefault="00BD6713">
      <w:pPr>
        <w:pStyle w:val="Notedebasdepage"/>
        <w:rPr>
          <w:lang w:val="en-US"/>
        </w:rPr>
      </w:pPr>
      <w:r w:rsidRPr="00D82CCA">
        <w:rPr>
          <w:rStyle w:val="Appelnotedebasdep"/>
        </w:rPr>
        <w:footnoteRef/>
      </w:r>
      <w:r w:rsidRPr="00D82CCA">
        <w:t xml:space="preserve"> </w:t>
      </w:r>
      <w:r w:rsidRPr="00A81A27">
        <w:t>Indent three Article 2(48) MDR</w:t>
      </w:r>
    </w:p>
  </w:footnote>
  <w:footnote w:id="28">
    <w:p w14:paraId="3B7154C3" w14:textId="77777777" w:rsidR="00BD6713" w:rsidRPr="00A81A27" w:rsidRDefault="00BD6713">
      <w:pPr>
        <w:pStyle w:val="Notedebasdepage"/>
        <w:rPr>
          <w:lang w:val="en-US"/>
        </w:rPr>
      </w:pPr>
      <w:r>
        <w:rPr>
          <w:rStyle w:val="Appelnotedebasdep"/>
        </w:rPr>
        <w:footnoteRef/>
      </w:r>
      <w:r>
        <w:t xml:space="preserve"> </w:t>
      </w:r>
      <w:r w:rsidRPr="00A81A27">
        <w:rPr>
          <w:lang w:val="en-US"/>
        </w:rPr>
        <w:t xml:space="preserve">Indent two </w:t>
      </w:r>
      <w:r>
        <w:rPr>
          <w:lang w:val="en-US"/>
        </w:rPr>
        <w:t>Article 2(48) MDR</w:t>
      </w:r>
    </w:p>
  </w:footnote>
  <w:footnote w:id="29">
    <w:p w14:paraId="05CDA2D2" w14:textId="77777777" w:rsidR="00BD6713" w:rsidRPr="00A81A27" w:rsidRDefault="00BD6713">
      <w:pPr>
        <w:pStyle w:val="Notedebasdepage"/>
        <w:rPr>
          <w:lang w:val="en-US"/>
        </w:rPr>
      </w:pPr>
      <w:r>
        <w:rPr>
          <w:rStyle w:val="Appelnotedebasdep"/>
        </w:rPr>
        <w:footnoteRef/>
      </w:r>
      <w:r>
        <w:t xml:space="preserve"> </w:t>
      </w:r>
      <w:r w:rsidRPr="00A81A27">
        <w:rPr>
          <w:lang w:val="en-US"/>
        </w:rPr>
        <w:t>I</w:t>
      </w:r>
      <w:r>
        <w:rPr>
          <w:lang w:val="en-US"/>
        </w:rPr>
        <w:t>ndent four Article 2(48) MDR</w:t>
      </w:r>
    </w:p>
  </w:footnote>
  <w:footnote w:id="30">
    <w:p w14:paraId="3CEC0DEF" w14:textId="77777777" w:rsidR="00BD6713" w:rsidRPr="00B1434F" w:rsidRDefault="00BD6713">
      <w:pPr>
        <w:pStyle w:val="Notedebasdepage"/>
      </w:pPr>
      <w:r>
        <w:rPr>
          <w:rStyle w:val="Appelnotedebasdep"/>
        </w:rPr>
        <w:footnoteRef/>
      </w:r>
      <w:r>
        <w:t xml:space="preserve"> </w:t>
      </w:r>
      <w:r w:rsidRPr="009D6372">
        <w:t>Any device which is used for medical purposes as per Article 2(1) needs to comply with MDR.</w:t>
      </w:r>
      <w:r>
        <w:t xml:space="preserve"> I</w:t>
      </w:r>
      <w:r w:rsidRPr="00E46FD4">
        <w:t>f conducted with a CE-marked device this would fall under indent four and would not need to be published.</w:t>
      </w:r>
    </w:p>
  </w:footnote>
  <w:footnote w:id="31">
    <w:p w14:paraId="46DF53C7" w14:textId="77777777" w:rsidR="00BD6713" w:rsidRPr="00FE1921" w:rsidRDefault="00BD6713">
      <w:pPr>
        <w:pStyle w:val="Notedebasdepage"/>
      </w:pPr>
      <w:r>
        <w:rPr>
          <w:rStyle w:val="Appelnotedebasdep"/>
        </w:rPr>
        <w:footnoteRef/>
      </w:r>
      <w:r w:rsidRPr="00FE1921">
        <w:t xml:space="preserve"> </w:t>
      </w:r>
      <w:r w:rsidRPr="00A81A27">
        <w:t xml:space="preserve">PTCA is short for </w:t>
      </w:r>
      <w:r w:rsidRPr="00FE1921">
        <w:t>Percutaneous Transluminal Coronary Angioplasty)</w:t>
      </w:r>
      <w:r w:rsidRPr="00A81A27">
        <w:t>, PTA is short fo</w:t>
      </w:r>
      <w:r>
        <w:t xml:space="preserve">r </w:t>
      </w:r>
      <w:r w:rsidRPr="00FE1921">
        <w:t>Percutaneous Transluminal Angioplasty</w:t>
      </w:r>
    </w:p>
  </w:footnote>
  <w:footnote w:id="32">
    <w:p w14:paraId="009DDDDA" w14:textId="77777777" w:rsidR="00BD6713" w:rsidRPr="00C66BDA" w:rsidRDefault="00BD6713">
      <w:pPr>
        <w:pStyle w:val="Notedebasdepage"/>
      </w:pPr>
      <w:r>
        <w:rPr>
          <w:rStyle w:val="Appelnotedebasdep"/>
        </w:rPr>
        <w:footnoteRef/>
      </w:r>
      <w:r>
        <w:t xml:space="preserve"> For an equivalent device, other studies fall under indent two.</w:t>
      </w:r>
    </w:p>
  </w:footnote>
  <w:footnote w:id="33">
    <w:p w14:paraId="43549E88" w14:textId="77777777" w:rsidR="00BD6713" w:rsidRPr="00323CC6" w:rsidRDefault="00BD6713">
      <w:pPr>
        <w:pStyle w:val="Notedebasdepage"/>
      </w:pPr>
      <w:r>
        <w:rPr>
          <w:rStyle w:val="Appelnotedebasdep"/>
        </w:rPr>
        <w:footnoteRef/>
      </w:r>
      <w:r>
        <w:t xml:space="preserve"> </w:t>
      </w:r>
      <w:r w:rsidRPr="00323CC6">
        <w:t>Indent three Article 2(48) MDR</w:t>
      </w:r>
    </w:p>
  </w:footnote>
  <w:footnote w:id="34">
    <w:p w14:paraId="205292F0" w14:textId="77777777" w:rsidR="00BD6713" w:rsidRPr="00A81A27" w:rsidRDefault="00BD6713">
      <w:pPr>
        <w:pStyle w:val="Notedebasdepage"/>
        <w:rPr>
          <w:lang w:val="en-US"/>
        </w:rPr>
      </w:pPr>
      <w:r>
        <w:rPr>
          <w:rStyle w:val="Appelnotedebasdep"/>
        </w:rPr>
        <w:footnoteRef/>
      </w:r>
      <w:r>
        <w:t xml:space="preserve"> </w:t>
      </w:r>
      <w:r w:rsidRPr="00A81A27">
        <w:rPr>
          <w:lang w:val="en-US"/>
        </w:rPr>
        <w:t>I</w:t>
      </w:r>
      <w:r>
        <w:rPr>
          <w:lang w:val="en-US"/>
        </w:rPr>
        <w:t>ndent four Article 2(48) MDR</w:t>
      </w:r>
    </w:p>
  </w:footnote>
  <w:footnote w:id="35">
    <w:p w14:paraId="1ADBC3BA" w14:textId="77777777" w:rsidR="00BD6713" w:rsidRPr="006930D9" w:rsidRDefault="00BD6713" w:rsidP="00E71509">
      <w:pPr>
        <w:pStyle w:val="Notedebasdepage"/>
      </w:pPr>
      <w:r>
        <w:rPr>
          <w:rStyle w:val="Appelnotedebasdep"/>
        </w:rPr>
        <w:footnoteRef/>
      </w:r>
      <w:r>
        <w:t xml:space="preserve"> </w:t>
      </w:r>
      <w:r w:rsidRPr="00F30144">
        <w:t>Planning, designing and implementing high-quality (Level 4) post-market clinical follow-up surveys. Journal of Medical Device Regulation, 2023, 20(4), 31–44</w:t>
      </w:r>
    </w:p>
  </w:footnote>
  <w:footnote w:id="36">
    <w:p w14:paraId="52D60C5F" w14:textId="77777777" w:rsidR="00BD6713" w:rsidRPr="00A81A27" w:rsidRDefault="00BD6713">
      <w:pPr>
        <w:pStyle w:val="Notedebasdepage"/>
        <w:rPr>
          <w:lang w:val="en-US"/>
        </w:rPr>
      </w:pPr>
      <w:r>
        <w:rPr>
          <w:rStyle w:val="Appelnotedebasdep"/>
        </w:rPr>
        <w:footnoteRef/>
      </w:r>
      <w:r>
        <w:t xml:space="preserve"> </w:t>
      </w:r>
      <w:r w:rsidRPr="00A81A27">
        <w:rPr>
          <w:lang w:val="en-US"/>
        </w:rPr>
        <w:t>Article 2(28) MDR</w:t>
      </w:r>
    </w:p>
  </w:footnote>
  <w:footnote w:id="37">
    <w:p w14:paraId="78A58BD3" w14:textId="77777777" w:rsidR="00BD6713" w:rsidRPr="00A81A27" w:rsidRDefault="00BD6713">
      <w:pPr>
        <w:pStyle w:val="Notedebasdepage"/>
        <w:rPr>
          <w:lang w:val="en-US"/>
        </w:rPr>
      </w:pPr>
      <w:r>
        <w:rPr>
          <w:rStyle w:val="Appelnotedebasdep"/>
        </w:rPr>
        <w:footnoteRef/>
      </w:r>
      <w:r>
        <w:t xml:space="preserve"> </w:t>
      </w:r>
      <w:r w:rsidRPr="00A81A27">
        <w:rPr>
          <w:lang w:val="en-US"/>
        </w:rPr>
        <w:t>Article 2(29) MDR</w:t>
      </w:r>
    </w:p>
  </w:footnote>
  <w:footnote w:id="38">
    <w:p w14:paraId="01F20C67" w14:textId="77777777" w:rsidR="00BD6713" w:rsidRPr="00A81A27" w:rsidRDefault="00BD6713">
      <w:pPr>
        <w:pStyle w:val="Notedebasdepage"/>
        <w:rPr>
          <w:lang w:val="en-US"/>
        </w:rPr>
      </w:pPr>
      <w:r>
        <w:rPr>
          <w:rStyle w:val="Appelnotedebasdep"/>
        </w:rPr>
        <w:footnoteRef/>
      </w:r>
      <w:r>
        <w:t xml:space="preserve"> </w:t>
      </w:r>
      <w:r>
        <w:rPr>
          <w:rFonts w:asciiTheme="majorHAnsi" w:hAnsiTheme="majorHAnsi" w:cstheme="majorBidi"/>
          <w:color w:val="000000" w:themeColor="text1"/>
        </w:rPr>
        <w:t xml:space="preserve">Note that this includes data for CE-marked devices within EEA and </w:t>
      </w:r>
      <w:r w:rsidRPr="70C12CB1">
        <w:rPr>
          <w:rFonts w:asciiTheme="majorHAnsi" w:hAnsiTheme="majorHAnsi" w:cstheme="majorBidi"/>
          <w:color w:val="000000" w:themeColor="text1"/>
        </w:rPr>
        <w:t>countries that have a mutual recognition agreement for the application regarding MDR</w:t>
      </w:r>
      <w:r>
        <w:rPr>
          <w:rFonts w:asciiTheme="majorHAnsi" w:hAnsiTheme="majorHAnsi" w:cstheme="majorBidi"/>
          <w:color w:val="000000" w:themeColor="text1"/>
        </w:rPr>
        <w:t>.</w:t>
      </w:r>
    </w:p>
  </w:footnote>
  <w:footnote w:id="39">
    <w:p w14:paraId="4C4D0C0B" w14:textId="77777777" w:rsidR="00BD6713" w:rsidRPr="00D143BE" w:rsidRDefault="00BD6713" w:rsidP="00E71509">
      <w:pPr>
        <w:pStyle w:val="Notedebasdepage"/>
      </w:pPr>
      <w:r w:rsidRPr="00D143BE">
        <w:rPr>
          <w:rStyle w:val="Appelnotedebasdep"/>
        </w:rPr>
        <w:footnoteRef/>
      </w:r>
      <w:r w:rsidRPr="00D143BE">
        <w:t xml:space="preserve"> </w:t>
      </w:r>
      <w:r>
        <w:t>G</w:t>
      </w:r>
      <w:r w:rsidRPr="00D143BE">
        <w:t xml:space="preserve">uidance on the expectations on the PMS can be found in </w:t>
      </w:r>
      <w:r>
        <w:t xml:space="preserve">MDCG 2025-10 Guidance on post-market surveillance of medical devices and in vitro diagnostic medical devices and in </w:t>
      </w:r>
      <w:r w:rsidRPr="00D143BE">
        <w:t>MDCG 2022-21 Guidance on PSUR. PSUR is mandatory for class IIa, IIb and III devices, whereas manufacturers of class I devices do not have to prepare a PSUR; instead, they should prepare a Post-Market Surveillance Report (PMSR) . MDCG 2022-21, although not covering PMSR, may provide useful suggestions on how information can be presented. Guidance on PMCF can be found in MDCG 2020-7 and 2020-8.</w:t>
      </w:r>
    </w:p>
  </w:footnote>
  <w:footnote w:id="40">
    <w:p w14:paraId="42D3D46B" w14:textId="77777777" w:rsidR="00BD6713" w:rsidRPr="00A81A27" w:rsidRDefault="00BD6713" w:rsidP="00E71509">
      <w:pPr>
        <w:pStyle w:val="Notedebasdepage"/>
        <w:rPr>
          <w:lang w:val="en-US"/>
        </w:rPr>
      </w:pPr>
      <w:r>
        <w:rPr>
          <w:rStyle w:val="Appelnotedebasdep"/>
        </w:rPr>
        <w:footnoteRef/>
      </w:r>
      <w:r>
        <w:t xml:space="preserve"> See </w:t>
      </w:r>
      <w:r w:rsidRPr="00A81A27">
        <w:rPr>
          <w:lang w:val="en-US"/>
        </w:rPr>
        <w:t>IMDRF/Registry WG/N46 FINAL:2018</w:t>
      </w:r>
      <w:r>
        <w:rPr>
          <w:lang w:val="en-US"/>
        </w:rPr>
        <w:t xml:space="preserve"> </w:t>
      </w:r>
      <w:r w:rsidRPr="00DA2B28">
        <w:rPr>
          <w:lang w:val="en-US"/>
        </w:rPr>
        <w:t>Tools for Assessing the Usability of Registries in Support of</w:t>
      </w:r>
      <w:r>
        <w:rPr>
          <w:lang w:val="en-US"/>
        </w:rPr>
        <w:t xml:space="preserve"> </w:t>
      </w:r>
      <w:r w:rsidRPr="00DA2B28">
        <w:rPr>
          <w:lang w:val="en-US"/>
        </w:rPr>
        <w:t>Regulatory Decision-Making</w:t>
      </w:r>
      <w:r>
        <w:rPr>
          <w:lang w:val="en-US"/>
        </w:rPr>
        <w:t xml:space="preserve"> for guidance on e.g., </w:t>
      </w:r>
      <w:r w:rsidRPr="00D57E22">
        <w:rPr>
          <w:lang w:val="en-US"/>
        </w:rPr>
        <w:t>key processes and features to be considered in assessing the usability of registry data for regulatory purposes</w:t>
      </w:r>
    </w:p>
  </w:footnote>
  <w:footnote w:id="41">
    <w:p w14:paraId="44E832B9" w14:textId="77777777" w:rsidR="00BD6713" w:rsidRPr="00D143BE" w:rsidRDefault="00BD6713" w:rsidP="00E71509">
      <w:pPr>
        <w:pStyle w:val="Notedebasdepage"/>
        <w:rPr>
          <w:lang w:val="en-US"/>
        </w:rPr>
      </w:pPr>
      <w:r w:rsidRPr="00D143BE">
        <w:rPr>
          <w:rStyle w:val="Appelnotedebasdep"/>
        </w:rPr>
        <w:footnoteRef/>
      </w:r>
      <w:r w:rsidRPr="00D143BE">
        <w:t xml:space="preserve"> </w:t>
      </w:r>
      <w:r w:rsidRPr="00D143BE">
        <w:rPr>
          <w:lang w:val="en-US"/>
        </w:rPr>
        <w:t xml:space="preserve">Required as part of the PMCF plan by </w:t>
      </w:r>
      <w:r w:rsidRPr="00D143BE">
        <w:rPr>
          <w:rFonts w:asciiTheme="majorHAnsi" w:hAnsiTheme="majorHAnsi" w:cstheme="majorBidi"/>
          <w:color w:val="000000" w:themeColor="text1"/>
          <w:lang w:val="en-US"/>
        </w:rPr>
        <w:t>XIV Part B 6.1.(e)</w:t>
      </w:r>
    </w:p>
  </w:footnote>
  <w:footnote w:id="42">
    <w:p w14:paraId="1AEEB2B5" w14:textId="77777777" w:rsidR="00BD6713" w:rsidRPr="00DB7DAE" w:rsidRDefault="00BD6713">
      <w:pPr>
        <w:pStyle w:val="Notedebasdepage"/>
      </w:pPr>
      <w:r>
        <w:rPr>
          <w:rStyle w:val="Appelnotedebasdep"/>
        </w:rPr>
        <w:footnoteRef/>
      </w:r>
      <w:r>
        <w:t xml:space="preserve"> </w:t>
      </w:r>
      <w:r w:rsidRPr="00DB7DAE">
        <w:t>RWD are data that describe patient characteristics (including treatment utilisation and outcomes) in routine clinical practice. RWE is evidence derived from the analysis of RWD</w:t>
      </w:r>
      <w:r>
        <w:t xml:space="preserve">. </w:t>
      </w:r>
      <w:hyperlink r:id="rId3" w:history="1">
        <w:r w:rsidRPr="00DB7DAE">
          <w:rPr>
            <w:rStyle w:val="Lienhypertexte"/>
          </w:rPr>
          <w:t>RWE Reflection paper - final version for publication</w:t>
        </w:r>
      </w:hyperlink>
    </w:p>
  </w:footnote>
  <w:footnote w:id="43">
    <w:p w14:paraId="524A98E1" w14:textId="77777777" w:rsidR="00BD6713" w:rsidRPr="00A81A27" w:rsidRDefault="00BD6713">
      <w:pPr>
        <w:pStyle w:val="Notedebasdepage"/>
        <w:rPr>
          <w:lang w:val="en-US"/>
        </w:rPr>
      </w:pPr>
      <w:r>
        <w:rPr>
          <w:rStyle w:val="Appelnotedebasdep"/>
        </w:rPr>
        <w:footnoteRef/>
      </w:r>
      <w:r>
        <w:t xml:space="preserve"> </w:t>
      </w:r>
      <w:hyperlink r:id="rId4" w:history="1">
        <w:r>
          <w:rPr>
            <w:rStyle w:val="Lienhypertexte"/>
          </w:rPr>
          <w:t xml:space="preserve">Uses of real-world evidence in a regulatory context (IMDRF meeting 2023) </w:t>
        </w:r>
      </w:hyperlink>
    </w:p>
  </w:footnote>
  <w:footnote w:id="44">
    <w:p w14:paraId="7A4910D9" w14:textId="0314FD82" w:rsidR="00BD6713" w:rsidRPr="0051411A" w:rsidRDefault="00BD6713" w:rsidP="00E71509">
      <w:pPr>
        <w:pStyle w:val="Notedebasdepage"/>
        <w:rPr>
          <w:lang w:val="en-US"/>
        </w:rPr>
      </w:pPr>
      <w:r w:rsidRPr="0051411A">
        <w:rPr>
          <w:rStyle w:val="Appelnotedebasdep"/>
        </w:rPr>
        <w:footnoteRef/>
      </w:r>
      <w:r w:rsidRPr="0051411A">
        <w:t xml:space="preserve"> </w:t>
      </w:r>
      <w:r w:rsidRPr="00C32383">
        <w:rPr>
          <w:lang w:val="en-US"/>
        </w:rPr>
        <w:t>REGULATION (EU) 2025/327</w:t>
      </w:r>
      <w:r>
        <w:rPr>
          <w:lang w:val="en-US"/>
        </w:rPr>
        <w:t xml:space="preserve">: </w:t>
      </w:r>
      <w:r>
        <w:rPr>
          <w:lang w:val="en-US"/>
        </w:rPr>
        <w:br/>
      </w:r>
      <w:r w:rsidRPr="00A81A27">
        <w:rPr>
          <w:lang w:val="en-US"/>
        </w:rPr>
        <w:t>Preamble</w:t>
      </w:r>
      <w:r>
        <w:rPr>
          <w:lang w:val="en-US"/>
        </w:rPr>
        <w:t xml:space="preserve"> 7) “</w:t>
      </w:r>
      <w:r w:rsidRPr="00A14A55">
        <w:rPr>
          <w:lang w:val="en-US"/>
        </w:rPr>
        <w:t>In health systems, personal electronic health data are usually gathered in electronic health records, which typically contain a natural person’s medical history, diagnoses and treatment, medications, allergies and vaccinations, as well as radiology images, laboratory results and other medical data, spread between different actors in the health system, such as general practitioners, hospitals, pharmacies or care services</w:t>
      </w:r>
      <w:r>
        <w:rPr>
          <w:lang w:val="en-US"/>
        </w:rPr>
        <w:t xml:space="preserve">”. </w:t>
      </w:r>
      <w:r>
        <w:rPr>
          <w:lang w:val="en-US"/>
        </w:rPr>
        <w:br/>
      </w:r>
      <w:r w:rsidRPr="00C32383">
        <w:rPr>
          <w:lang w:val="en-US"/>
        </w:rPr>
        <w:t>Article 2 (j) ‘electronic health record’ or ‘EHR’ means a collection of electronic health data related to a natural person and collected in the health system, processed for the purpose of the provision of healthcare</w:t>
      </w:r>
      <w:r>
        <w:rPr>
          <w:lang w:val="en-US"/>
        </w:rPr>
        <w:t xml:space="preserve">. </w:t>
      </w:r>
    </w:p>
  </w:footnote>
  <w:footnote w:id="45">
    <w:p w14:paraId="223DB81A" w14:textId="77777777" w:rsidR="00BD6713" w:rsidRPr="0069223F" w:rsidRDefault="00BD6713" w:rsidP="00E71509">
      <w:pPr>
        <w:pStyle w:val="Notedebasdepage"/>
        <w:jc w:val="both"/>
        <w:rPr>
          <w:lang w:val="en-US"/>
        </w:rPr>
      </w:pPr>
      <w:r w:rsidRPr="0051411A">
        <w:rPr>
          <w:rStyle w:val="Appelnotedebasdep"/>
        </w:rPr>
        <w:footnoteRef/>
      </w:r>
      <w:r w:rsidRPr="0051411A">
        <w:t xml:space="preserve"> </w:t>
      </w:r>
      <w:r w:rsidRPr="0051411A">
        <w:rPr>
          <w:lang w:val="en-US"/>
        </w:rPr>
        <w:t xml:space="preserve">Note the importance of extensive and consistent annotations of samples; an overview of best practices is found in Sanderson-November M, Silver S, Hooker V, Schmelz M. Biorepository best practices for research and clinical investigations. </w:t>
      </w:r>
      <w:r w:rsidRPr="0051411A">
        <w:rPr>
          <w:lang w:val="en-US"/>
        </w:rPr>
        <w:t>Contemp Clin Trials. 2022 May;116:106572. doi:10.1016/j.cct.2021.106572. Epub 2021 Sep 25. PMID: 34583056; PMCID: PMC9275522</w:t>
      </w:r>
      <w:r w:rsidRPr="0051411A">
        <w:rPr>
          <w:rFonts w:ascii="Segoe UI" w:hAnsi="Segoe UI" w:cs="Segoe UI"/>
          <w:color w:val="212121"/>
          <w:shd w:val="clear" w:color="auto" w:fill="FFFFFF"/>
        </w:rPr>
        <w:t>.</w:t>
      </w:r>
    </w:p>
  </w:footnote>
  <w:footnote w:id="46">
    <w:p w14:paraId="25AF95E5" w14:textId="77777777" w:rsidR="00BD6713" w:rsidRPr="00D143BE" w:rsidRDefault="00BD6713" w:rsidP="00E71509">
      <w:pPr>
        <w:pStyle w:val="Notedebasdepage"/>
      </w:pPr>
      <w:r w:rsidRPr="00D143BE">
        <w:rPr>
          <w:rStyle w:val="Appelnotedebasdep"/>
        </w:rPr>
        <w:footnoteRef/>
      </w:r>
      <w:r w:rsidRPr="00D143BE">
        <w:t xml:space="preserve"> </w:t>
      </w:r>
      <w:r>
        <w:t>E</w:t>
      </w:r>
      <w:r w:rsidRPr="00D143BE">
        <w:t xml:space="preserve">xception described in </w:t>
      </w:r>
      <w:r w:rsidRPr="00677958">
        <w:t>Section 7</w:t>
      </w:r>
      <w:r>
        <w:t xml:space="preserve"> for devices falling under Article 61(10)</w:t>
      </w:r>
    </w:p>
  </w:footnote>
  <w:footnote w:id="47">
    <w:p w14:paraId="65A45336" w14:textId="77777777" w:rsidR="00BD6713" w:rsidRPr="00C01FD9" w:rsidRDefault="00BD6713" w:rsidP="00795EC3">
      <w:pPr>
        <w:pStyle w:val="Notedebasdepage"/>
        <w:rPr>
          <w:lang w:val="en-IE"/>
        </w:rPr>
      </w:pPr>
      <w:r>
        <w:rPr>
          <w:rStyle w:val="Appelnotedebasdep"/>
        </w:rPr>
        <w:footnoteRef/>
      </w:r>
      <w:r>
        <w:t xml:space="preserve"> </w:t>
      </w:r>
      <w:r w:rsidRPr="007966CD">
        <w:rPr>
          <w:lang w:val="en-IE"/>
        </w:rPr>
        <w:t xml:space="preserve">Zeng X, Zhang Y, Kwong JS, Zhang C, Li S, Sun F, Niu Y, Du L. The methodological quality assessment tools for preclinical and clinical studies, systematic review and meta-analysis, and clinical practice guideline: a systematic review. J Evid Based Med. 2015 Feb;8(1):2-10. </w:t>
      </w:r>
      <w:r w:rsidRPr="007966CD">
        <w:rPr>
          <w:lang w:val="en-IE"/>
        </w:rPr>
        <w:t>doi: 10.1111/jebm.12141. PMID: 25594108.</w:t>
      </w:r>
    </w:p>
  </w:footnote>
  <w:footnote w:id="48">
    <w:p w14:paraId="6C1929FD" w14:textId="77777777" w:rsidR="00BD6713" w:rsidRPr="00C01FD9" w:rsidRDefault="00BD6713" w:rsidP="00795EC3">
      <w:pPr>
        <w:pStyle w:val="Notedebasdepage"/>
        <w:rPr>
          <w:lang w:val="en-IE"/>
        </w:rPr>
      </w:pPr>
      <w:r>
        <w:rPr>
          <w:rStyle w:val="Appelnotedebasdep"/>
        </w:rPr>
        <w:footnoteRef/>
      </w:r>
      <w:r>
        <w:t xml:space="preserve"> </w:t>
      </w:r>
      <w:r w:rsidRPr="002C6711">
        <w:t xml:space="preserve">Ma LL, Wang YY, Yang ZH, Huang D, Weng H, Zeng XT. Methodological quality (risk of bias) assessment tools for primary and secondary medical studies: what are they and which is better? Mil Med Res. 2020 Feb 29;7(1):7. </w:t>
      </w:r>
      <w:r w:rsidRPr="002C6711">
        <w:t>doi: 10.1186/s40779-020-00238-8. PMID: 32111253; PMCID: PMC7049186.</w:t>
      </w:r>
      <w:r>
        <w:t xml:space="preserve"> </w:t>
      </w:r>
    </w:p>
  </w:footnote>
  <w:footnote w:id="49">
    <w:p w14:paraId="1C6CB3EA" w14:textId="77777777" w:rsidR="00BD6713" w:rsidRPr="00C01FD9" w:rsidRDefault="00BD6713" w:rsidP="0079093E">
      <w:pPr>
        <w:pStyle w:val="Notedebasdepage"/>
        <w:jc w:val="both"/>
        <w:rPr>
          <w:lang w:val="en-IE"/>
        </w:rPr>
      </w:pPr>
      <w:r>
        <w:rPr>
          <w:rStyle w:val="Appelnotedebasdep"/>
        </w:rPr>
        <w:footnoteRef/>
      </w:r>
      <w:r>
        <w:t xml:space="preserve"> </w:t>
      </w:r>
      <w:r w:rsidRPr="005A4AD8">
        <w:t>European Commission, Directorate-General for Research and Innovation, Group of Chief Scientific Advisors, Scientific advice to European policy in a complex world, Publications Office, 2019, https://data.europa.eu/doi/10.2777/80320</w:t>
      </w:r>
      <w:r w:rsidRPr="003C2451">
        <w:t>.</w:t>
      </w:r>
    </w:p>
  </w:footnote>
  <w:footnote w:id="50">
    <w:p w14:paraId="113EEC28" w14:textId="77777777" w:rsidR="00BD6713" w:rsidRPr="0079093E" w:rsidRDefault="00BD6713">
      <w:pPr>
        <w:pStyle w:val="Notedebasdepage"/>
        <w:rPr>
          <w:lang w:val="en-IE"/>
        </w:rPr>
      </w:pPr>
      <w:r>
        <w:rPr>
          <w:rStyle w:val="Appelnotedebasdep"/>
        </w:rPr>
        <w:footnoteRef/>
      </w:r>
      <w:r>
        <w:t xml:space="preserve"> </w:t>
      </w:r>
      <w:r w:rsidRPr="009D415C">
        <w:t>Cochrane Handbook for Systematic Reviews of Interventions</w:t>
      </w:r>
    </w:p>
  </w:footnote>
  <w:footnote w:id="51">
    <w:p w14:paraId="35F66D55" w14:textId="77777777" w:rsidR="00BD6713" w:rsidRPr="00C01FD9" w:rsidRDefault="00BD6713" w:rsidP="00795EC3">
      <w:pPr>
        <w:pStyle w:val="Notedebasdepage"/>
        <w:rPr>
          <w:lang w:val="en-IE"/>
        </w:rPr>
      </w:pPr>
      <w:r>
        <w:rPr>
          <w:rStyle w:val="Appelnotedebasdep"/>
        </w:rPr>
        <w:footnoteRef/>
      </w:r>
      <w:r>
        <w:t xml:space="preserve"> </w:t>
      </w:r>
      <w:r>
        <w:rPr>
          <w:lang w:val="en-IE"/>
        </w:rPr>
        <w:t>Cochrane Risk of Bias tool (</w:t>
      </w:r>
      <w:r>
        <w:rPr>
          <w:lang w:val="en-IE"/>
        </w:rPr>
        <w:t>RoB 2)</w:t>
      </w:r>
    </w:p>
  </w:footnote>
  <w:footnote w:id="52">
    <w:p w14:paraId="49CD3590" w14:textId="5CB5BA7A" w:rsidR="00BD6713" w:rsidRPr="00F43929" w:rsidRDefault="00BD6713" w:rsidP="00795EC3">
      <w:pPr>
        <w:pStyle w:val="Notedebasdepage"/>
        <w:rPr>
          <w:lang w:val="en-IE"/>
        </w:rPr>
      </w:pPr>
      <w:r>
        <w:rPr>
          <w:rStyle w:val="Appelnotedebasdep"/>
        </w:rPr>
        <w:footnoteRef/>
      </w:r>
      <w:r>
        <w:t xml:space="preserve"> </w:t>
      </w:r>
      <w:r>
        <w:rPr>
          <w:lang w:val="en-IE"/>
        </w:rPr>
        <w:t>Article 2(53)</w:t>
      </w:r>
      <w:r w:rsidRPr="002A4E7F">
        <w:rPr>
          <w:lang w:val="en-IE"/>
        </w:rPr>
        <w:t xml:space="preserve"> </w:t>
      </w:r>
      <w:r>
        <w:rPr>
          <w:lang w:val="en-IE"/>
        </w:rPr>
        <w:t>of  MDR</w:t>
      </w:r>
    </w:p>
  </w:footnote>
  <w:footnote w:id="53">
    <w:p w14:paraId="0FE61FD1" w14:textId="5DC096D9" w:rsidR="00BD6713" w:rsidRPr="00A81A27" w:rsidRDefault="00BD6713" w:rsidP="00E71509">
      <w:pPr>
        <w:pStyle w:val="Notedebasdepage"/>
        <w:rPr>
          <w:lang w:val="en-IE"/>
        </w:rPr>
      </w:pPr>
      <w:r>
        <w:rPr>
          <w:rStyle w:val="Appelnotedebasdep"/>
        </w:rPr>
        <w:footnoteRef/>
      </w:r>
      <w:r>
        <w:t xml:space="preserve"> </w:t>
      </w:r>
      <w:r>
        <w:rPr>
          <w:lang w:val="en-IE"/>
        </w:rPr>
        <w:t xml:space="preserve">Where “adequacy” is mentioned </w:t>
      </w:r>
      <w:r w:rsidR="003952D8">
        <w:rPr>
          <w:lang w:val="en-IE"/>
        </w:rPr>
        <w:t xml:space="preserve">in the </w:t>
      </w:r>
      <w:r>
        <w:rPr>
          <w:lang w:val="en-IE"/>
        </w:rPr>
        <w:t xml:space="preserve">following points, </w:t>
      </w:r>
      <w:r w:rsidRPr="000664C9">
        <w:rPr>
          <w:lang w:val="en-IE"/>
        </w:rPr>
        <w:t>it may not be sufficient</w:t>
      </w:r>
      <w:r>
        <w:rPr>
          <w:lang w:val="en-IE"/>
        </w:rPr>
        <w:t xml:space="preserve"> or appropriate</w:t>
      </w:r>
      <w:r w:rsidRPr="000664C9">
        <w:rPr>
          <w:lang w:val="en-IE"/>
        </w:rPr>
        <w:t xml:space="preserve"> to appraise adequacy on a binary adequate/not adequate scale and further elaboration may be </w:t>
      </w:r>
      <w:r>
        <w:rPr>
          <w:lang w:val="en-IE"/>
        </w:rPr>
        <w:t>required</w:t>
      </w:r>
      <w:r w:rsidRPr="000664C9">
        <w:rPr>
          <w:lang w:val="en-IE"/>
        </w:rPr>
        <w:t>.</w:t>
      </w:r>
      <w:r>
        <w:rPr>
          <w:lang w:val="en-IE"/>
        </w:rPr>
        <w:t xml:space="preserve"> The</w:t>
      </w:r>
      <w:r w:rsidRPr="000664C9">
        <w:rPr>
          <w:lang w:val="en-IE"/>
        </w:rPr>
        <w:t xml:space="preserve"> degree of adequacy may impact the weighting discussed in </w:t>
      </w:r>
      <w:r>
        <w:rPr>
          <w:lang w:val="en-IE"/>
        </w:rPr>
        <w:t>S</w:t>
      </w:r>
      <w:r w:rsidRPr="000664C9">
        <w:rPr>
          <w:lang w:val="en-IE"/>
        </w:rPr>
        <w:t xml:space="preserve">ection </w:t>
      </w:r>
      <w:r>
        <w:rPr>
          <w:lang w:val="en-IE"/>
        </w:rPr>
        <w:t>9.3.3.</w:t>
      </w:r>
    </w:p>
  </w:footnote>
  <w:footnote w:id="54">
    <w:p w14:paraId="1428CF66" w14:textId="77777777" w:rsidR="002A1CC3" w:rsidRPr="00065D3C" w:rsidRDefault="002A1CC3" w:rsidP="002A1CC3">
      <w:pPr>
        <w:pStyle w:val="Notedebasdepage"/>
        <w:rPr>
          <w:lang w:val="en-IE"/>
        </w:rPr>
      </w:pPr>
      <w:r>
        <w:rPr>
          <w:rStyle w:val="Appelnotedebasdep"/>
        </w:rPr>
        <w:footnoteRef/>
      </w:r>
      <w:r>
        <w:t xml:space="preserve"> </w:t>
      </w:r>
      <w:r>
        <w:rPr>
          <w:lang w:val="en-IE"/>
        </w:rPr>
        <w:t>Planning, designing and implementing high quality (Level 4) post market clinical follow up surveys. Journal of Medical Device Regulation, 2023, 20(4), 31-44</w:t>
      </w:r>
    </w:p>
  </w:footnote>
  <w:footnote w:id="55">
    <w:p w14:paraId="0A5F5A03" w14:textId="77777777" w:rsidR="00BD6713" w:rsidRPr="00C01FD9" w:rsidRDefault="00BD6713" w:rsidP="00795EC3">
      <w:pPr>
        <w:pStyle w:val="Notedebasdepage"/>
        <w:rPr>
          <w:lang w:val="en-IE"/>
        </w:rPr>
      </w:pPr>
      <w:r>
        <w:rPr>
          <w:rStyle w:val="Appelnotedebasdep"/>
        </w:rPr>
        <w:footnoteRef/>
      </w:r>
      <w:r>
        <w:t xml:space="preserve"> Systematic scientific data are needed for such purposes, e.g., data collected from adequately designed registries and PMCF studies</w:t>
      </w:r>
    </w:p>
  </w:footnote>
  <w:footnote w:id="56">
    <w:p w14:paraId="1594A50E" w14:textId="77777777" w:rsidR="00BD6713" w:rsidRPr="00A81A27" w:rsidRDefault="00BD6713">
      <w:pPr>
        <w:pStyle w:val="Notedebasdepage"/>
        <w:rPr>
          <w:lang w:val="en-IE"/>
        </w:rPr>
      </w:pPr>
      <w:r>
        <w:rPr>
          <w:rStyle w:val="Appelnotedebasdep"/>
        </w:rPr>
        <w:footnoteRef/>
      </w:r>
      <w:r>
        <w:t xml:space="preserve"> </w:t>
      </w:r>
      <w:r w:rsidRPr="001C105B">
        <w:t>https://www.gradeworkinggroup.org/</w:t>
      </w:r>
    </w:p>
  </w:footnote>
  <w:footnote w:id="57">
    <w:p w14:paraId="7A9FECC4" w14:textId="77777777" w:rsidR="00BD6713" w:rsidRPr="00291E4C" w:rsidRDefault="00BD6713">
      <w:pPr>
        <w:pStyle w:val="Notedebasdepage"/>
        <w:rPr>
          <w:lang w:val="en-IE"/>
        </w:rPr>
      </w:pPr>
      <w:r>
        <w:rPr>
          <w:rStyle w:val="Appelnotedebasdep"/>
        </w:rPr>
        <w:footnoteRef/>
      </w:r>
      <w:r>
        <w:t xml:space="preserve"> </w:t>
      </w:r>
      <w:r>
        <w:rPr>
          <w:lang w:val="en-IE"/>
        </w:rPr>
        <w:t>MDR Annex XIV, Part A, section 1(e)</w:t>
      </w:r>
    </w:p>
  </w:footnote>
  <w:footnote w:id="58">
    <w:p w14:paraId="644B0A78" w14:textId="451B9D83" w:rsidR="00BD6713" w:rsidRPr="00291E4C" w:rsidRDefault="00BD6713">
      <w:pPr>
        <w:pStyle w:val="Notedebasdepage"/>
        <w:rPr>
          <w:lang w:val="en-IE"/>
        </w:rPr>
      </w:pPr>
      <w:r>
        <w:rPr>
          <w:rStyle w:val="Appelnotedebasdep"/>
        </w:rPr>
        <w:footnoteRef/>
      </w:r>
      <w:r>
        <w:t xml:space="preserve"> </w:t>
      </w:r>
      <w:r>
        <w:rPr>
          <w:lang w:val="en-IE"/>
        </w:rPr>
        <w:t xml:space="preserve">See Appendix </w:t>
      </w:r>
      <w:r w:rsidR="00C87086">
        <w:rPr>
          <w:lang w:val="en-IE"/>
        </w:rPr>
        <w:fldChar w:fldCharType="begin"/>
      </w:r>
      <w:r w:rsidR="00C87086">
        <w:rPr>
          <w:lang w:val="en-IE"/>
        </w:rPr>
        <w:instrText xml:space="preserve"> REF _Ref233808566 \r \h </w:instrText>
      </w:r>
      <w:r w:rsidR="00C87086">
        <w:rPr>
          <w:lang w:val="en-IE"/>
        </w:rPr>
      </w:r>
      <w:r w:rsidR="00C87086">
        <w:rPr>
          <w:lang w:val="en-IE"/>
        </w:rPr>
        <w:fldChar w:fldCharType="separate"/>
      </w:r>
      <w:r w:rsidR="00C87086">
        <w:rPr>
          <w:lang w:val="en-IE"/>
        </w:rPr>
        <w:t>A9</w:t>
      </w:r>
      <w:r w:rsidR="00C87086">
        <w:rPr>
          <w:lang w:val="en-IE"/>
        </w:rPr>
        <w:fldChar w:fldCharType="end"/>
      </w:r>
    </w:p>
  </w:footnote>
  <w:footnote w:id="59">
    <w:p w14:paraId="2DDD93C2" w14:textId="77777777" w:rsidR="00BD6713" w:rsidRPr="00AB6475" w:rsidRDefault="00BD6713" w:rsidP="00E71509">
      <w:pPr>
        <w:pStyle w:val="Notedebasdepage"/>
        <w:rPr>
          <w:lang w:val="en-IE"/>
        </w:rPr>
      </w:pPr>
      <w:r>
        <w:rPr>
          <w:rStyle w:val="Appelnotedebasdep"/>
        </w:rPr>
        <w:footnoteRef/>
      </w:r>
      <w:r>
        <w:t xml:space="preserve"> </w:t>
      </w:r>
      <w:r>
        <w:rPr>
          <w:lang w:val="en-IE"/>
        </w:rPr>
        <w:t>Per MDR Article 61(1)</w:t>
      </w:r>
    </w:p>
  </w:footnote>
  <w:footnote w:id="60">
    <w:p w14:paraId="287A3E1D" w14:textId="77777777" w:rsidR="00BD6713" w:rsidRPr="00515DB9" w:rsidRDefault="00BD6713">
      <w:pPr>
        <w:pStyle w:val="Notedebasdepage"/>
        <w:rPr>
          <w:lang w:val="en-IE"/>
        </w:rPr>
      </w:pPr>
      <w:r>
        <w:rPr>
          <w:rStyle w:val="Appelnotedebasdep"/>
        </w:rPr>
        <w:footnoteRef/>
      </w:r>
      <w:r>
        <w:t xml:space="preserve"> </w:t>
      </w:r>
      <w:r w:rsidRPr="00515DB9">
        <w:t>Including the evaluation of undesirable side-effects and</w:t>
      </w:r>
      <w:r>
        <w:t xml:space="preserve"> </w:t>
      </w:r>
      <w:r w:rsidRPr="00515DB9">
        <w:t>acceptability of the benefit-risk</w:t>
      </w:r>
      <w:r>
        <w:t xml:space="preserve"> </w:t>
      </w:r>
      <w:r w:rsidRPr="00515DB9">
        <w:t>ratio</w:t>
      </w:r>
      <w:r>
        <w:t>, see 10.2</w:t>
      </w:r>
      <w:r w:rsidRPr="00515DB9">
        <w:t xml:space="preserve"> </w:t>
      </w:r>
    </w:p>
  </w:footnote>
  <w:footnote w:id="61">
    <w:p w14:paraId="74ADA0B2" w14:textId="77777777" w:rsidR="00BD6713" w:rsidRPr="00D22E12" w:rsidRDefault="00BD6713" w:rsidP="00E71509">
      <w:pPr>
        <w:pStyle w:val="Notedebasdepage"/>
        <w:rPr>
          <w:lang w:val="en-IE"/>
        </w:rPr>
      </w:pPr>
      <w:r>
        <w:rPr>
          <w:rStyle w:val="Appelnotedebasdep"/>
        </w:rPr>
        <w:footnoteRef/>
      </w:r>
      <w:r>
        <w:t xml:space="preserve"> </w:t>
      </w:r>
      <w:r>
        <w:rPr>
          <w:lang w:val="en-IE"/>
        </w:rPr>
        <w:t>per MDR Annex XIV Part A, section 2</w:t>
      </w:r>
    </w:p>
  </w:footnote>
  <w:footnote w:id="62">
    <w:p w14:paraId="43FAB56A" w14:textId="77777777" w:rsidR="00BD6713" w:rsidRPr="00515DB9" w:rsidRDefault="00BD6713">
      <w:pPr>
        <w:pStyle w:val="Notedebasdepage"/>
        <w:rPr>
          <w:lang w:val="en-IE"/>
        </w:rPr>
      </w:pPr>
      <w:r>
        <w:rPr>
          <w:rStyle w:val="Appelnotedebasdep"/>
        </w:rPr>
        <w:footnoteRef/>
      </w:r>
      <w:r>
        <w:t xml:space="preserve"> See section 7 for further information</w:t>
      </w:r>
    </w:p>
  </w:footnote>
  <w:footnote w:id="63">
    <w:p w14:paraId="040E7AF4" w14:textId="77777777" w:rsidR="00BD6713" w:rsidRPr="007374AE" w:rsidRDefault="00BD6713">
      <w:pPr>
        <w:pStyle w:val="Notedebasdepage"/>
        <w:rPr>
          <w:lang w:val="en-IE"/>
        </w:rPr>
      </w:pPr>
      <w:r>
        <w:rPr>
          <w:rStyle w:val="Appelnotedebasdep"/>
        </w:rPr>
        <w:footnoteRef/>
      </w:r>
      <w:r>
        <w:t xml:space="preserve"> </w:t>
      </w:r>
      <w:r>
        <w:rPr>
          <w:lang w:val="en-IE"/>
        </w:rPr>
        <w:t>As identified in the CEP</w:t>
      </w:r>
    </w:p>
  </w:footnote>
  <w:footnote w:id="64">
    <w:p w14:paraId="31597041" w14:textId="77777777" w:rsidR="00BD6713" w:rsidRPr="00515DB9" w:rsidRDefault="00BD6713">
      <w:pPr>
        <w:pStyle w:val="Notedebasdepage"/>
        <w:rPr>
          <w:lang w:val="en-IE"/>
        </w:rPr>
      </w:pPr>
      <w:r>
        <w:rPr>
          <w:rStyle w:val="Appelnotedebasdep"/>
        </w:rPr>
        <w:footnoteRef/>
      </w:r>
      <w:r>
        <w:t xml:space="preserve"> </w:t>
      </w:r>
      <w:r>
        <w:rPr>
          <w:lang w:val="en-IE"/>
        </w:rPr>
        <w:t>As outlined in MDR Annex XIV Part A, section 1(d)</w:t>
      </w:r>
    </w:p>
  </w:footnote>
  <w:footnote w:id="65">
    <w:p w14:paraId="4F342FD9" w14:textId="77777777" w:rsidR="00BD6713" w:rsidRPr="00515DB9" w:rsidRDefault="00BD6713">
      <w:pPr>
        <w:pStyle w:val="Notedebasdepage"/>
        <w:rPr>
          <w:lang w:val="en-IE"/>
        </w:rPr>
      </w:pPr>
      <w:r>
        <w:rPr>
          <w:rStyle w:val="Appelnotedebasdep"/>
        </w:rPr>
        <w:footnoteRef/>
      </w:r>
      <w:r>
        <w:t xml:space="preserve"> </w:t>
      </w:r>
      <w:r>
        <w:rPr>
          <w:lang w:val="en-IE"/>
        </w:rPr>
        <w:t>For further information on pilot clinical investigations, please refer to MDCG 2021-6 question 8</w:t>
      </w:r>
    </w:p>
  </w:footnote>
  <w:footnote w:id="66">
    <w:p w14:paraId="7F0A9D11" w14:textId="77777777" w:rsidR="00BD6713" w:rsidRPr="00515DB9" w:rsidRDefault="00BD6713" w:rsidP="0098089F">
      <w:pPr>
        <w:pStyle w:val="Notedebasdepage"/>
        <w:rPr>
          <w:lang w:val="en-IE"/>
        </w:rPr>
      </w:pPr>
      <w:r>
        <w:rPr>
          <w:rStyle w:val="Appelnotedebasdep"/>
        </w:rPr>
        <w:footnoteRef/>
      </w:r>
      <w:r>
        <w:t xml:space="preserve"> </w:t>
      </w:r>
      <w:r>
        <w:rPr>
          <w:lang w:val="en-IE"/>
        </w:rPr>
        <w:t>In accordance with MDR Article 61(11) and Annex XIV Part B.</w:t>
      </w:r>
    </w:p>
  </w:footnote>
  <w:footnote w:id="67">
    <w:p w14:paraId="55389946" w14:textId="77777777" w:rsidR="00BD6713" w:rsidRPr="00291E4C" w:rsidRDefault="00BD6713" w:rsidP="0098089F">
      <w:pPr>
        <w:pStyle w:val="Notedebasdepage"/>
        <w:rPr>
          <w:lang w:val="en-IE"/>
        </w:rPr>
      </w:pPr>
      <w:r>
        <w:rPr>
          <w:rStyle w:val="Appelnotedebasdep"/>
        </w:rPr>
        <w:footnoteRef/>
      </w:r>
      <w:r>
        <w:t xml:space="preserve"> </w:t>
      </w:r>
      <w:r>
        <w:rPr>
          <w:lang w:val="en-IE"/>
        </w:rPr>
        <w:t>Annex XIV, Part B</w:t>
      </w:r>
    </w:p>
  </w:footnote>
  <w:footnote w:id="68">
    <w:p w14:paraId="775CF542" w14:textId="77777777" w:rsidR="00BD6713" w:rsidRPr="00945C87" w:rsidRDefault="00BD6713" w:rsidP="0098089F">
      <w:pPr>
        <w:pStyle w:val="Notedebasdepage"/>
        <w:rPr>
          <w:lang w:val="en-IE"/>
        </w:rPr>
      </w:pPr>
      <w:r>
        <w:rPr>
          <w:rStyle w:val="Appelnotedebasdep"/>
        </w:rPr>
        <w:footnoteRef/>
      </w:r>
      <w:r>
        <w:t xml:space="preserve"> </w:t>
      </w:r>
      <w:r w:rsidRPr="00492B7B">
        <w:t>S</w:t>
      </w:r>
      <w:r>
        <w:t>ee MDCG 2020-7</w:t>
      </w:r>
    </w:p>
  </w:footnote>
  <w:footnote w:id="69">
    <w:p w14:paraId="4439D538" w14:textId="673810E6" w:rsidR="00BD6713" w:rsidRPr="000017FB" w:rsidRDefault="00BD6713" w:rsidP="0098089F">
      <w:pPr>
        <w:pStyle w:val="Notedebasdepage"/>
      </w:pPr>
      <w:r>
        <w:rPr>
          <w:rStyle w:val="Appelnotedebasdep"/>
        </w:rPr>
        <w:footnoteRef/>
      </w:r>
      <w:r>
        <w:t xml:space="preserve"> Article 10(9)(f)</w:t>
      </w:r>
      <w:r w:rsidRPr="00C012DF">
        <w:t xml:space="preserve"> </w:t>
      </w:r>
      <w:r w:rsidR="00DF4696">
        <w:rPr>
          <w:lang w:val="en-IE"/>
        </w:rPr>
        <w:t xml:space="preserve">of </w:t>
      </w:r>
      <w:r w:rsidR="00DF4696">
        <w:t>MDR</w:t>
      </w:r>
    </w:p>
  </w:footnote>
  <w:footnote w:id="70">
    <w:p w14:paraId="79B5A313" w14:textId="2FE79E96" w:rsidR="00BD6713" w:rsidRPr="00492B7B" w:rsidRDefault="00BD6713" w:rsidP="0098089F">
      <w:pPr>
        <w:pStyle w:val="Notedebasdepage"/>
      </w:pPr>
      <w:r>
        <w:rPr>
          <w:rStyle w:val="Appelnotedebasdep"/>
        </w:rPr>
        <w:footnoteRef/>
      </w:r>
      <w:r>
        <w:t xml:space="preserve">  See MDCG 2020-8. See section 1</w:t>
      </w:r>
      <w:r w:rsidR="00B62D7A">
        <w:t>4</w:t>
      </w:r>
      <w:r>
        <w:t xml:space="preserve"> of this document for further guidance.</w:t>
      </w:r>
    </w:p>
  </w:footnote>
  <w:footnote w:id="71">
    <w:p w14:paraId="483E1905" w14:textId="77777777" w:rsidR="00BD6713" w:rsidRPr="007374AE" w:rsidRDefault="00BD6713" w:rsidP="0098089F">
      <w:pPr>
        <w:pStyle w:val="Notedebasdepage"/>
        <w:rPr>
          <w:lang w:val="en-IE"/>
        </w:rPr>
      </w:pPr>
      <w:r>
        <w:rPr>
          <w:rStyle w:val="Appelnotedebasdep"/>
        </w:rPr>
        <w:footnoteRef/>
      </w:r>
      <w:r>
        <w:t xml:space="preserve"> </w:t>
      </w:r>
      <w:r>
        <w:rPr>
          <w:lang w:val="en-IE"/>
        </w:rPr>
        <w:t>Per Annex XIV, Part B, section 8</w:t>
      </w:r>
    </w:p>
  </w:footnote>
  <w:footnote w:id="72">
    <w:p w14:paraId="1152BE3E" w14:textId="77777777" w:rsidR="00BD6713" w:rsidRPr="007E7EF7" w:rsidRDefault="00BD6713" w:rsidP="0098089F">
      <w:pPr>
        <w:pStyle w:val="Notedebasdepage"/>
      </w:pPr>
      <w:r>
        <w:rPr>
          <w:rStyle w:val="Appelnotedebasdep"/>
        </w:rPr>
        <w:footnoteRef/>
      </w:r>
      <w:r>
        <w:t xml:space="preserve"> MDR Annex II, Section </w:t>
      </w:r>
      <w:r w:rsidRPr="00191B0E">
        <w:t>6.1</w:t>
      </w:r>
      <w:r>
        <w:t xml:space="preserve"> (</w:t>
      </w:r>
      <w:r w:rsidRPr="00191B0E">
        <w:t>d)</w:t>
      </w:r>
      <w:r>
        <w:t xml:space="preserve">; Annex III, Section </w:t>
      </w:r>
      <w:r w:rsidRPr="00191B0E">
        <w:t>1.1</w:t>
      </w:r>
      <w:r>
        <w:t xml:space="preserve"> </w:t>
      </w:r>
      <w:r w:rsidRPr="00191B0E">
        <w:t>(b</w:t>
      </w:r>
      <w:r>
        <w:t>), last indent;</w:t>
      </w:r>
      <w:r w:rsidRPr="00191B0E">
        <w:t xml:space="preserve"> </w:t>
      </w:r>
      <w:r>
        <w:t xml:space="preserve">Annex VII, Section </w:t>
      </w:r>
      <w:r w:rsidRPr="00191B0E">
        <w:t>4.5.5</w:t>
      </w:r>
      <w:r>
        <w:t xml:space="preserve">, </w:t>
      </w:r>
      <w:r w:rsidRPr="00191B0E">
        <w:t>last indent</w:t>
      </w:r>
    </w:p>
  </w:footnote>
  <w:footnote w:id="73">
    <w:p w14:paraId="2E5919CE" w14:textId="77777777" w:rsidR="00BD6713" w:rsidRPr="00515DB9" w:rsidRDefault="00BD6713" w:rsidP="0098089F">
      <w:pPr>
        <w:pStyle w:val="Notedebasdepage"/>
        <w:rPr>
          <w:lang w:val="en-IE"/>
        </w:rPr>
      </w:pPr>
      <w:r>
        <w:rPr>
          <w:rStyle w:val="Appelnotedebasdep"/>
        </w:rPr>
        <w:footnoteRef/>
      </w:r>
      <w:r>
        <w:t xml:space="preserve"> </w:t>
      </w:r>
      <w:r>
        <w:rPr>
          <w:lang w:val="en-IE"/>
        </w:rPr>
        <w:t>MDR Article 61(11) and Annex XIV Part B</w:t>
      </w:r>
    </w:p>
  </w:footnote>
  <w:footnote w:id="74">
    <w:p w14:paraId="2B3FC00A" w14:textId="77777777" w:rsidR="00BD6713" w:rsidRPr="00EC6F0D" w:rsidRDefault="00BD6713" w:rsidP="0098089F">
      <w:pPr>
        <w:pStyle w:val="Notedebasdepage"/>
        <w:rPr>
          <w:lang w:val="en-IE"/>
        </w:rPr>
      </w:pPr>
      <w:r>
        <w:rPr>
          <w:rStyle w:val="Appelnotedebasdep"/>
        </w:rPr>
        <w:footnoteRef/>
      </w:r>
      <w:r>
        <w:t xml:space="preserve"> Such as substances which are carcinogenic, mutagenic or toxic to reproduction (‘CMR’), substances having endocrine-disrupting properties (ED), medicinal substances, substances derived from human blood or human plasma, any tissues or cells of human or animal origin or their derivatives</w:t>
      </w:r>
    </w:p>
  </w:footnote>
  <w:footnote w:id="75">
    <w:p w14:paraId="47B70F0F" w14:textId="77777777" w:rsidR="00BD6713" w:rsidRPr="00515DB9" w:rsidRDefault="00BD6713" w:rsidP="0098089F">
      <w:pPr>
        <w:pStyle w:val="Notedebasdepage"/>
        <w:rPr>
          <w:lang w:val="en-IE"/>
        </w:rPr>
      </w:pPr>
      <w:r>
        <w:rPr>
          <w:rStyle w:val="Appelnotedebasdep"/>
        </w:rPr>
        <w:footnoteRef/>
      </w:r>
      <w:r>
        <w:t xml:space="preserve"> </w:t>
      </w:r>
      <w:r>
        <w:rPr>
          <w:lang w:val="en-IE"/>
        </w:rPr>
        <w:t>Per Annex VIII section 1.3</w:t>
      </w:r>
    </w:p>
  </w:footnote>
  <w:footnote w:id="76">
    <w:p w14:paraId="54C97A9B" w14:textId="24BF4AE7" w:rsidR="00BD6713" w:rsidRPr="00515DB9" w:rsidRDefault="00BD6713" w:rsidP="0098089F">
      <w:pPr>
        <w:pStyle w:val="Notedebasdepage"/>
        <w:rPr>
          <w:lang w:val="en-IE"/>
        </w:rPr>
      </w:pPr>
      <w:r>
        <w:rPr>
          <w:rStyle w:val="Appelnotedebasdep"/>
        </w:rPr>
        <w:footnoteRef/>
      </w:r>
      <w:r>
        <w:t xml:space="preserve"> </w:t>
      </w:r>
      <w:r>
        <w:rPr>
          <w:lang w:val="en-IE"/>
        </w:rPr>
        <w:t xml:space="preserve">As described in Article 5(6) </w:t>
      </w:r>
      <w:r w:rsidR="0052434F">
        <w:rPr>
          <w:lang w:val="en-IE"/>
        </w:rPr>
        <w:t>of MDR</w:t>
      </w:r>
    </w:p>
  </w:footnote>
  <w:footnote w:id="77">
    <w:p w14:paraId="50716313" w14:textId="77777777" w:rsidR="00BD6713" w:rsidRPr="00515DB9" w:rsidRDefault="00BD6713" w:rsidP="0098089F">
      <w:pPr>
        <w:pStyle w:val="Notedebasdepage"/>
        <w:rPr>
          <w:lang w:val="en-IE"/>
        </w:rPr>
      </w:pPr>
      <w:r>
        <w:rPr>
          <w:rStyle w:val="Appelnotedebasdep"/>
        </w:rPr>
        <w:footnoteRef/>
      </w:r>
      <w:r>
        <w:t xml:space="preserve"> </w:t>
      </w:r>
      <w:r>
        <w:rPr>
          <w:lang w:val="en-IE"/>
        </w:rPr>
        <w:t>Per MDR Annex XIV, Part A, Section 3</w:t>
      </w:r>
    </w:p>
  </w:footnote>
  <w:footnote w:id="78">
    <w:p w14:paraId="28F2B6C8" w14:textId="77777777" w:rsidR="00BD6713" w:rsidRPr="00515DB9" w:rsidRDefault="00BD6713" w:rsidP="0098089F">
      <w:pPr>
        <w:pStyle w:val="Notedebasdepage"/>
        <w:rPr>
          <w:lang w:val="en-IE"/>
        </w:rPr>
      </w:pPr>
      <w:r>
        <w:rPr>
          <w:rStyle w:val="Appelnotedebasdep"/>
        </w:rPr>
        <w:footnoteRef/>
      </w:r>
      <w:r>
        <w:t xml:space="preserve"> </w:t>
      </w:r>
      <w:r>
        <w:rPr>
          <w:lang w:val="en-IE"/>
        </w:rPr>
        <w:t>See MDCG 2023-7</w:t>
      </w:r>
    </w:p>
  </w:footnote>
  <w:footnote w:id="79">
    <w:p w14:paraId="025AD932" w14:textId="77777777" w:rsidR="00BD6713" w:rsidRPr="009503B5" w:rsidRDefault="00BD6713" w:rsidP="0098089F">
      <w:pPr>
        <w:pStyle w:val="Notedebasdepage"/>
      </w:pPr>
      <w:r>
        <w:rPr>
          <w:rStyle w:val="Appelnotedebasdep"/>
        </w:rPr>
        <w:footnoteRef/>
      </w:r>
      <w:r>
        <w:t xml:space="preserve"> Per MDR </w:t>
      </w:r>
      <w:r w:rsidRPr="0079093E">
        <w:t>Ar</w:t>
      </w:r>
      <w:r>
        <w:t>ticle 61(4), second subparagraph.</w:t>
      </w:r>
    </w:p>
  </w:footnote>
  <w:footnote w:id="80">
    <w:p w14:paraId="724B1207" w14:textId="77777777" w:rsidR="00BD6713" w:rsidRPr="00EA6292" w:rsidRDefault="00BD6713" w:rsidP="0098089F">
      <w:pPr>
        <w:pStyle w:val="Notedebasdepage"/>
        <w:rPr>
          <w:lang w:val="it-IT"/>
        </w:rPr>
      </w:pPr>
      <w:r>
        <w:rPr>
          <w:rStyle w:val="Appelnotedebasdep"/>
        </w:rPr>
        <w:footnoteRef/>
      </w:r>
      <w:r w:rsidRPr="00EA6292">
        <w:rPr>
          <w:lang w:val="it-IT"/>
        </w:rPr>
        <w:t xml:space="preserve"> Per MDR </w:t>
      </w:r>
      <w:r w:rsidRPr="00EA6292">
        <w:rPr>
          <w:lang w:val="it-IT"/>
        </w:rPr>
        <w:t>Annex XIV, 6.2(f)</w:t>
      </w:r>
    </w:p>
  </w:footnote>
  <w:footnote w:id="81">
    <w:p w14:paraId="44FF7F98" w14:textId="77777777" w:rsidR="00BD6713" w:rsidRPr="00515DB9" w:rsidRDefault="00BD6713" w:rsidP="0098089F">
      <w:pPr>
        <w:keepNext/>
        <w:spacing w:before="240"/>
        <w:jc w:val="both"/>
        <w:outlineLvl w:val="3"/>
        <w:rPr>
          <w:rFonts w:asciiTheme="majorHAnsi" w:hAnsiTheme="majorHAnsi"/>
          <w:color w:val="000000" w:themeColor="text1"/>
          <w:highlight w:val="yellow"/>
        </w:rPr>
      </w:pPr>
      <w:r w:rsidRPr="00DF640A">
        <w:rPr>
          <w:rStyle w:val="Appelnotedebasdep"/>
          <w:sz w:val="20"/>
        </w:rPr>
        <w:footnoteRef/>
      </w:r>
      <w:r w:rsidRPr="00515DB9">
        <w:rPr>
          <w:sz w:val="20"/>
        </w:rPr>
        <w:t xml:space="preserve"> </w:t>
      </w:r>
      <w:r w:rsidRPr="00515DB9">
        <w:rPr>
          <w:rFonts w:asciiTheme="majorHAnsi" w:hAnsiTheme="majorHAnsi"/>
          <w:color w:val="000000" w:themeColor="text1"/>
          <w:sz w:val="20"/>
        </w:rPr>
        <w:t xml:space="preserve">MDR Article 74(1). </w:t>
      </w:r>
    </w:p>
  </w:footnote>
  <w:footnote w:id="82">
    <w:p w14:paraId="7EBFD7F8" w14:textId="77777777" w:rsidR="00BD6713" w:rsidRPr="00C01FD9" w:rsidRDefault="00BD6713" w:rsidP="00E71509">
      <w:pPr>
        <w:pStyle w:val="Notedebasdepage"/>
        <w:ind w:left="0" w:firstLine="0"/>
        <w:rPr>
          <w:lang w:val="fr-FR"/>
        </w:rPr>
      </w:pPr>
      <w:r>
        <w:rPr>
          <w:rStyle w:val="Appelnotedebasdep"/>
        </w:rPr>
        <w:footnoteRef/>
      </w:r>
      <w:r>
        <w:t xml:space="preserve"> </w:t>
      </w:r>
      <w:r w:rsidRPr="00C01FD9">
        <w:rPr>
          <w:lang w:val="fr-FR"/>
        </w:rPr>
        <w:t>MDR Art</w:t>
      </w:r>
      <w:r>
        <w:rPr>
          <w:lang w:val="fr-FR"/>
        </w:rPr>
        <w:t>.</w:t>
      </w:r>
      <w:r w:rsidRPr="00C01FD9">
        <w:rPr>
          <w:lang w:val="fr-FR"/>
        </w:rPr>
        <w:t xml:space="preserve"> 61(11) </w:t>
      </w:r>
    </w:p>
  </w:footnote>
  <w:footnote w:id="83">
    <w:p w14:paraId="20CD3989" w14:textId="77777777" w:rsidR="00BD6713" w:rsidRPr="00C01FD9" w:rsidRDefault="00BD6713" w:rsidP="00AC53D7">
      <w:pPr>
        <w:pStyle w:val="Notedebasdepage"/>
        <w:rPr>
          <w:lang w:val="fr-FR"/>
        </w:rPr>
      </w:pPr>
      <w:r>
        <w:rPr>
          <w:rStyle w:val="Appelnotedebasdep"/>
        </w:rPr>
        <w:footnoteRef/>
      </w:r>
      <w:r w:rsidRPr="00C01FD9">
        <w:rPr>
          <w:lang w:val="fr-FR"/>
        </w:rPr>
        <w:t xml:space="preserve"> MDR Article 83(</w:t>
      </w:r>
      <w:r>
        <w:rPr>
          <w:lang w:val="fr-FR"/>
        </w:rPr>
        <w:t>2</w:t>
      </w:r>
      <w:r w:rsidRPr="00C01FD9">
        <w:rPr>
          <w:lang w:val="fr-FR"/>
        </w:rPr>
        <w:t>)</w:t>
      </w:r>
    </w:p>
  </w:footnote>
  <w:footnote w:id="84">
    <w:p w14:paraId="7C24FABB" w14:textId="77777777" w:rsidR="00BD6713" w:rsidRPr="00041E8C" w:rsidRDefault="00BD6713" w:rsidP="00E51BA4">
      <w:pPr>
        <w:pStyle w:val="Notedebasdepage"/>
      </w:pPr>
      <w:r>
        <w:rPr>
          <w:rStyle w:val="Appelnotedebasdep"/>
        </w:rPr>
        <w:footnoteRef/>
      </w:r>
      <w:r>
        <w:t xml:space="preserve"> MDR Article 83 (3)</w:t>
      </w:r>
    </w:p>
  </w:footnote>
  <w:footnote w:id="85">
    <w:p w14:paraId="31B3E074" w14:textId="5CD02025" w:rsidR="00BD6713" w:rsidRPr="0097015C" w:rsidRDefault="00BD6713">
      <w:pPr>
        <w:pStyle w:val="Notedebasdepage"/>
      </w:pPr>
      <w:r>
        <w:rPr>
          <w:rStyle w:val="Appelnotedebasdep"/>
        </w:rPr>
        <w:footnoteRef/>
      </w:r>
      <w:r>
        <w:t xml:space="preserve"> Section 1.1 (b), Annex III </w:t>
      </w:r>
      <w:r w:rsidR="00C81B24">
        <w:t>to MDR</w:t>
      </w:r>
    </w:p>
  </w:footnote>
  <w:footnote w:id="86">
    <w:p w14:paraId="5CB69A2E" w14:textId="135766A0" w:rsidR="00BD6713" w:rsidRPr="002544BF" w:rsidRDefault="00BD6713" w:rsidP="00191B0E">
      <w:pPr>
        <w:pStyle w:val="Notedebasdepage"/>
      </w:pPr>
      <w:r>
        <w:rPr>
          <w:rStyle w:val="Appelnotedebasdep"/>
        </w:rPr>
        <w:footnoteRef/>
      </w:r>
      <w:r>
        <w:t xml:space="preserve"> Section 7, part B, Annex XIV </w:t>
      </w:r>
      <w:r w:rsidR="00C81B24">
        <w:t>to MDR</w:t>
      </w:r>
    </w:p>
  </w:footnote>
  <w:footnote w:id="87">
    <w:p w14:paraId="5453DAA3" w14:textId="1CB140D6" w:rsidR="00BD6713" w:rsidRPr="0079093E" w:rsidRDefault="00BD6713" w:rsidP="005210F1">
      <w:pPr>
        <w:pStyle w:val="Notedebasdepage"/>
        <w:rPr>
          <w:lang w:val="en-US"/>
        </w:rPr>
      </w:pPr>
      <w:r w:rsidRPr="00934684">
        <w:rPr>
          <w:rStyle w:val="Appelnotedebasdep"/>
        </w:rPr>
        <w:footnoteRef/>
      </w:r>
      <w:r w:rsidRPr="0079093E">
        <w:rPr>
          <w:lang w:val="en-US"/>
        </w:rPr>
        <w:t xml:space="preserve"> Art. 2(48).</w:t>
      </w:r>
      <w:r w:rsidRPr="00C012DF">
        <w:t xml:space="preserve"> </w:t>
      </w:r>
      <w:r>
        <w:t xml:space="preserve">of </w:t>
      </w:r>
      <w:r w:rsidRPr="003F22AF">
        <w:rPr>
          <w:lang w:val="en-US"/>
        </w:rPr>
        <w:t>MDR</w:t>
      </w:r>
    </w:p>
  </w:footnote>
  <w:footnote w:id="88">
    <w:p w14:paraId="2FF772C3" w14:textId="25508767" w:rsidR="00BD6713" w:rsidRPr="00CE3CED" w:rsidRDefault="00BD6713" w:rsidP="005210F1">
      <w:pPr>
        <w:pStyle w:val="Notedebasdepage"/>
      </w:pPr>
      <w:r w:rsidRPr="00934684">
        <w:rPr>
          <w:rStyle w:val="Appelnotedebasdep"/>
        </w:rPr>
        <w:footnoteRef/>
      </w:r>
      <w:r w:rsidRPr="00934684">
        <w:t xml:space="preserve"> </w:t>
      </w:r>
      <w:r w:rsidRPr="00CE3CED">
        <w:t xml:space="preserve">For further detail, refer to standard </w:t>
      </w:r>
      <w:r w:rsidR="00EB516B" w:rsidRPr="00EB516B">
        <w:t>EN ISO 14971:2019/A11:2021 </w:t>
      </w:r>
      <w:r w:rsidRPr="00CE3CED">
        <w:t>and other harmonised standards.</w:t>
      </w:r>
    </w:p>
  </w:footnote>
  <w:footnote w:id="89">
    <w:p w14:paraId="42FA6A9F" w14:textId="571119D2" w:rsidR="00BD6713" w:rsidRPr="00CE3CED" w:rsidRDefault="00BD6713" w:rsidP="005210F1">
      <w:pPr>
        <w:pStyle w:val="Notedebasdepage"/>
      </w:pPr>
      <w:r w:rsidRPr="00CE3CED">
        <w:rPr>
          <w:rStyle w:val="Appelnotedebasdep"/>
        </w:rPr>
        <w:footnoteRef/>
      </w:r>
      <w:r w:rsidRPr="00CE3CED">
        <w:t xml:space="preserve"> </w:t>
      </w:r>
      <w:r>
        <w:t>Art. 2(53)</w:t>
      </w:r>
      <w:r w:rsidRPr="00C012DF">
        <w:t xml:space="preserve"> </w:t>
      </w:r>
      <w:r>
        <w:t>of MDR</w:t>
      </w:r>
    </w:p>
  </w:footnote>
  <w:footnote w:id="90">
    <w:p w14:paraId="1BD9300E" w14:textId="77777777" w:rsidR="00BD6713" w:rsidRPr="00CE3CED" w:rsidRDefault="00BD6713" w:rsidP="005210F1">
      <w:pPr>
        <w:pStyle w:val="Notedebasdepage"/>
      </w:pPr>
      <w:r w:rsidRPr="00CE3CED">
        <w:rPr>
          <w:rStyle w:val="Appelnotedebasdep"/>
        </w:rPr>
        <w:footnoteRef/>
      </w:r>
      <w:r w:rsidRPr="00CE3CED">
        <w:t xml:space="preserve"> Claims made by the manufacturer on the clinical performance and clinical safety of the device under evaluation.</w:t>
      </w:r>
    </w:p>
  </w:footnote>
  <w:footnote w:id="91">
    <w:p w14:paraId="761537D7" w14:textId="7577CD7A" w:rsidR="00BD6713" w:rsidRPr="006616AE" w:rsidRDefault="00BD6713">
      <w:pPr>
        <w:pStyle w:val="Notedebasdepage"/>
      </w:pPr>
      <w:r>
        <w:rPr>
          <w:rStyle w:val="Appelnotedebasdep"/>
        </w:rPr>
        <w:footnoteRef/>
      </w:r>
      <w:r>
        <w:t xml:space="preserve"> Article 83(4)</w:t>
      </w:r>
      <w:r w:rsidRPr="00C012DF">
        <w:t xml:space="preserve"> </w:t>
      </w:r>
      <w:r w:rsidR="00D02D7F">
        <w:t>of MDR</w:t>
      </w:r>
      <w:r>
        <w:t>,</w:t>
      </w:r>
    </w:p>
  </w:footnote>
  <w:footnote w:id="92">
    <w:p w14:paraId="270C1A22" w14:textId="77777777" w:rsidR="00BD6713" w:rsidRPr="006339F1" w:rsidRDefault="00BD6713">
      <w:pPr>
        <w:pStyle w:val="Notedebasdepage"/>
      </w:pPr>
      <w:r>
        <w:rPr>
          <w:rStyle w:val="Appelnotedebasdep"/>
        </w:rPr>
        <w:footnoteRef/>
      </w:r>
      <w:r>
        <w:t xml:space="preserve"> </w:t>
      </w:r>
      <w:r w:rsidRPr="006339F1">
        <w:t>S</w:t>
      </w:r>
      <w:r>
        <w:t>ee MDCG 2019-9</w:t>
      </w:r>
    </w:p>
  </w:footnote>
  <w:footnote w:id="93">
    <w:p w14:paraId="16535AE7" w14:textId="47D29E38" w:rsidR="00BD6713" w:rsidRPr="00A23D36" w:rsidRDefault="00BD6713">
      <w:pPr>
        <w:pStyle w:val="Notedebasdepage"/>
      </w:pPr>
      <w:r>
        <w:rPr>
          <w:rStyle w:val="Appelnotedebasdep"/>
        </w:rPr>
        <w:footnoteRef/>
      </w:r>
      <w:r>
        <w:t xml:space="preserve"> </w:t>
      </w:r>
      <w:r w:rsidRPr="00A81A27">
        <w:t>A</w:t>
      </w:r>
      <w:r>
        <w:t>rticle 32(2) of MDR</w:t>
      </w:r>
    </w:p>
  </w:footnote>
  <w:footnote w:id="94">
    <w:p w14:paraId="39BA19E8" w14:textId="38514950" w:rsidR="00BD6713" w:rsidRPr="00D02D7F" w:rsidRDefault="00BD6713" w:rsidP="007939A9">
      <w:pPr>
        <w:pStyle w:val="Notedebasdepage"/>
        <w:rPr>
          <w:lang w:val="en-US"/>
        </w:rPr>
      </w:pPr>
      <w:r>
        <w:rPr>
          <w:rStyle w:val="Appelnotedebasdep"/>
        </w:rPr>
        <w:footnoteRef/>
      </w:r>
      <w:r w:rsidRPr="00D02D7F">
        <w:rPr>
          <w:lang w:val="en-US"/>
        </w:rPr>
        <w:t xml:space="preserve"> Art. 61(11)</w:t>
      </w:r>
      <w:r w:rsidRPr="00C012DF">
        <w:t xml:space="preserve"> </w:t>
      </w:r>
      <w:r w:rsidR="00D02D7F">
        <w:t xml:space="preserve">of </w:t>
      </w:r>
      <w:r w:rsidR="00D02D7F" w:rsidRPr="00D02D7F">
        <w:rPr>
          <w:lang w:val="en-US"/>
        </w:rPr>
        <w:t>MDR</w:t>
      </w:r>
    </w:p>
  </w:footnote>
  <w:footnote w:id="95">
    <w:p w14:paraId="33809F6A" w14:textId="15492F38" w:rsidR="00BD6713" w:rsidRPr="006F0BD1" w:rsidRDefault="00BD6713" w:rsidP="003C6BFB">
      <w:pPr>
        <w:pStyle w:val="Notedebasdepage"/>
      </w:pPr>
      <w:r>
        <w:rPr>
          <w:rStyle w:val="Appelnotedebasdep"/>
        </w:rPr>
        <w:footnoteRef/>
      </w:r>
      <w:r>
        <w:t xml:space="preserve"> Art. 86 of MDR</w:t>
      </w:r>
    </w:p>
  </w:footnote>
  <w:footnote w:id="96">
    <w:p w14:paraId="68707FF2" w14:textId="7033B8A4" w:rsidR="00BD6713" w:rsidRPr="002A715A" w:rsidRDefault="00BD6713" w:rsidP="00431639">
      <w:pPr>
        <w:pStyle w:val="Notedebasdepage"/>
      </w:pPr>
      <w:r>
        <w:rPr>
          <w:rStyle w:val="Appelnotedebasdep"/>
        </w:rPr>
        <w:footnoteRef/>
      </w:r>
      <w:r>
        <w:t xml:space="preserve"> Art. 61(11) of  MDR requires to update at least annually the PMCF evaluation report and the PSUR for class III and implantable devices. The CER should be updated consistently as per Annex XIV part B, section 7</w:t>
      </w:r>
    </w:p>
  </w:footnote>
  <w:footnote w:id="97">
    <w:p w14:paraId="338EA8E7" w14:textId="68FE7FF1" w:rsidR="00951561" w:rsidRPr="00D02D7F" w:rsidRDefault="00951561">
      <w:pPr>
        <w:pStyle w:val="Notedebasdepage"/>
        <w:rPr>
          <w:lang w:val="en-IE"/>
        </w:rPr>
      </w:pPr>
      <w:r>
        <w:rPr>
          <w:rStyle w:val="Appelnotedebasdep"/>
        </w:rPr>
        <w:footnoteRef/>
      </w:r>
      <w:r>
        <w:t xml:space="preserve"> </w:t>
      </w:r>
      <w:r>
        <w:rPr>
          <w:lang w:val="en-IE"/>
        </w:rPr>
        <w:t xml:space="preserve">MDCG 2020-13: </w:t>
      </w:r>
      <w:r w:rsidRPr="00951561">
        <w:rPr>
          <w:lang w:val="en-IE"/>
        </w:rPr>
        <w:t>Clinical evaluation assessment report template</w:t>
      </w:r>
    </w:p>
  </w:footnote>
  <w:footnote w:id="98">
    <w:p w14:paraId="101289C4" w14:textId="03D36C8D" w:rsidR="00BD6713" w:rsidRPr="00B7690A" w:rsidRDefault="00BD6713">
      <w:pPr>
        <w:pStyle w:val="Notedebasdepage"/>
      </w:pPr>
      <w:r>
        <w:rPr>
          <w:rStyle w:val="Appelnotedebasdep"/>
        </w:rPr>
        <w:footnoteRef/>
      </w:r>
      <w:r>
        <w:t xml:space="preserve"> </w:t>
      </w:r>
      <w:r w:rsidRPr="006616AE">
        <w:rPr>
          <w:rFonts w:asciiTheme="majorHAnsi" w:hAnsiTheme="majorHAnsi" w:cstheme="majorHAnsi"/>
          <w:color w:val="000000" w:themeColor="text1"/>
        </w:rPr>
        <w:t>Article 54(1)</w:t>
      </w:r>
      <w:r>
        <w:rPr>
          <w:rFonts w:asciiTheme="majorHAnsi" w:hAnsiTheme="majorHAnsi" w:cstheme="majorHAnsi"/>
          <w:color w:val="000000" w:themeColor="text1"/>
        </w:rPr>
        <w:t xml:space="preserve"> of MDR</w:t>
      </w:r>
    </w:p>
  </w:footnote>
  <w:footnote w:id="99">
    <w:p w14:paraId="7338F3D1" w14:textId="77777777" w:rsidR="00FD03E5" w:rsidRPr="009C79A1" w:rsidRDefault="00FD03E5">
      <w:pPr>
        <w:pStyle w:val="Notedebasdepage"/>
      </w:pPr>
      <w:r>
        <w:rPr>
          <w:rStyle w:val="Appelnotedebasdep"/>
        </w:rPr>
        <w:footnoteRef/>
      </w:r>
      <w:r>
        <w:t xml:space="preserve"> As defined in section 4</w:t>
      </w:r>
    </w:p>
  </w:footnote>
  <w:footnote w:id="100">
    <w:p w14:paraId="6AEE83D9" w14:textId="77777777" w:rsidR="00FD03E5" w:rsidRPr="009B48B2" w:rsidRDefault="00FD03E5">
      <w:pPr>
        <w:pStyle w:val="Notedebasdepage"/>
      </w:pPr>
      <w:r>
        <w:rPr>
          <w:rStyle w:val="Appelnotedebasdep"/>
        </w:rPr>
        <w:footnoteRef/>
      </w:r>
      <w:r>
        <w:t xml:space="preserve"> Indent six, section 1a, part A, Annex XIV to MDR</w:t>
      </w:r>
    </w:p>
  </w:footnote>
  <w:footnote w:id="101">
    <w:p w14:paraId="5B44FD76" w14:textId="77777777" w:rsidR="00FD03E5" w:rsidRPr="00AA6E58" w:rsidRDefault="00FD03E5">
      <w:pPr>
        <w:pStyle w:val="Notedebasdepage"/>
        <w:rPr>
          <w:lang w:val="en-US"/>
        </w:rPr>
      </w:pPr>
      <w:r>
        <w:rPr>
          <w:rStyle w:val="Appelnotedebasdep"/>
        </w:rPr>
        <w:footnoteRef/>
      </w:r>
      <w:r>
        <w:t xml:space="preserve"> </w:t>
      </w:r>
      <w:r w:rsidRPr="00AA6E58">
        <w:rPr>
          <w:lang w:val="en-US"/>
        </w:rPr>
        <w:t>See MDCG 2020-5 and to Appendix II of MDCG 2023-7 for guidance on equivalence. For further guidance on demonstration of equivalence of Annex XVI products, please refer to MDCG  2023-6.</w:t>
      </w:r>
    </w:p>
  </w:footnote>
  <w:footnote w:id="102">
    <w:p w14:paraId="00BC8BC9" w14:textId="77777777" w:rsidR="00FD03E5" w:rsidRPr="00F35815" w:rsidRDefault="00FD03E5" w:rsidP="00432E26">
      <w:pPr>
        <w:pStyle w:val="Notedebasdepage"/>
      </w:pPr>
      <w:r>
        <w:rPr>
          <w:rStyle w:val="Appelnotedebasdep"/>
        </w:rPr>
        <w:footnoteRef/>
      </w:r>
      <w:r>
        <w:t xml:space="preserve"> </w:t>
      </w:r>
      <w:r>
        <w:tab/>
      </w:r>
      <w:r w:rsidRPr="000A6B9E">
        <w:t>Many</w:t>
      </w:r>
      <w:r>
        <w:t xml:space="preserve"> changes are not clinically relevant (such as administrative changes to the labelling) and need not be considered for setting up a Clinical Evaluation plan.</w:t>
      </w:r>
    </w:p>
  </w:footnote>
  <w:footnote w:id="103">
    <w:p w14:paraId="5C4B516B" w14:textId="77777777" w:rsidR="00FD03E5" w:rsidRPr="00225522" w:rsidRDefault="00FD03E5">
      <w:pPr>
        <w:pStyle w:val="Notedebasdepage"/>
        <w:rPr>
          <w:lang w:val="en-IE"/>
        </w:rPr>
      </w:pPr>
      <w:r>
        <w:rPr>
          <w:rStyle w:val="Appelnotedebasdep"/>
        </w:rPr>
        <w:footnoteRef/>
      </w:r>
      <w:r>
        <w:t xml:space="preserve"> </w:t>
      </w:r>
      <w:r w:rsidRPr="004B2236">
        <w:t>First line of Article 2(48) of MDR</w:t>
      </w:r>
    </w:p>
  </w:footnote>
  <w:footnote w:id="104">
    <w:p w14:paraId="507F66F0" w14:textId="77777777" w:rsidR="00FD03E5" w:rsidRPr="00225522" w:rsidRDefault="00FD03E5">
      <w:pPr>
        <w:pStyle w:val="Notedebasdepage"/>
        <w:rPr>
          <w:lang w:val="en-IE"/>
        </w:rPr>
      </w:pPr>
      <w:r>
        <w:rPr>
          <w:rStyle w:val="Appelnotedebasdep"/>
        </w:rPr>
        <w:footnoteRef/>
      </w:r>
      <w:r>
        <w:t xml:space="preserve"> </w:t>
      </w:r>
      <w:r w:rsidRPr="00951CA0">
        <w:t>Third indent of Article 2(48) of MDR</w:t>
      </w:r>
    </w:p>
  </w:footnote>
  <w:footnote w:id="105">
    <w:p w14:paraId="429CEE2A" w14:textId="77777777" w:rsidR="00FD03E5" w:rsidRPr="00225522" w:rsidRDefault="00FD03E5">
      <w:pPr>
        <w:pStyle w:val="Notedebasdepage"/>
        <w:rPr>
          <w:lang w:val="en-IE"/>
        </w:rPr>
      </w:pPr>
      <w:r>
        <w:rPr>
          <w:rStyle w:val="Appelnotedebasdep"/>
        </w:rPr>
        <w:footnoteRef/>
      </w:r>
      <w:r>
        <w:t xml:space="preserve"> </w:t>
      </w:r>
      <w:r>
        <w:rPr>
          <w:lang w:val="en-IE"/>
        </w:rPr>
        <w:t>For further information see MDCG 2020-1 “Guidance on Clinical Evaluation (MDR)/Performance Evaluation (IVDR) of Medical Device Software</w:t>
      </w:r>
    </w:p>
  </w:footnote>
  <w:footnote w:id="106">
    <w:p w14:paraId="19698718" w14:textId="77777777" w:rsidR="00FD03E5" w:rsidRPr="00B96DCA" w:rsidRDefault="00FD03E5" w:rsidP="0079093E">
      <w:pPr>
        <w:shd w:val="clear" w:color="auto" w:fill="FFFFFF"/>
        <w:spacing w:before="0" w:after="0"/>
        <w:rPr>
          <w:sz w:val="18"/>
          <w:szCs w:val="18"/>
        </w:rPr>
      </w:pPr>
      <w:r>
        <w:rPr>
          <w:rStyle w:val="Appelnotedebasdep"/>
        </w:rPr>
        <w:footnoteRef/>
      </w:r>
      <w:r w:rsidRPr="00B96DCA">
        <w:t xml:space="preserve"> </w:t>
      </w:r>
      <w:hyperlink r:id="rId5" w:tgtFrame="_blank" w:history="1">
        <w:r w:rsidRPr="00B96DCA">
          <w:rPr>
            <w:rStyle w:val="Lienhypertexte"/>
            <w:color w:val="1967D2"/>
            <w:sz w:val="18"/>
            <w:szCs w:val="18"/>
          </w:rPr>
          <w:t>https://training.cochrane.org/</w:t>
        </w:r>
      </w:hyperlink>
    </w:p>
    <w:p w14:paraId="0070624A" w14:textId="77777777" w:rsidR="00FD03E5" w:rsidRPr="002561E5" w:rsidRDefault="00FD03E5">
      <w:pPr>
        <w:pStyle w:val="Notedebasdepage"/>
      </w:pPr>
    </w:p>
  </w:footnote>
  <w:footnote w:id="107">
    <w:p w14:paraId="727757B1" w14:textId="77777777" w:rsidR="00FD03E5" w:rsidRPr="00225522" w:rsidRDefault="00FD03E5">
      <w:pPr>
        <w:pStyle w:val="Notedebasdepage"/>
        <w:rPr>
          <w:lang w:val="en-US"/>
        </w:rPr>
      </w:pPr>
      <w:r>
        <w:rPr>
          <w:rStyle w:val="Appelnotedebasdep"/>
        </w:rPr>
        <w:footnoteRef/>
      </w:r>
      <w:r>
        <w:t xml:space="preserve"> </w:t>
      </w:r>
      <w:r w:rsidRPr="00E46E97">
        <w:t xml:space="preserve">The module in </w:t>
      </w:r>
      <w:r w:rsidRPr="00E46E97">
        <w:rPr>
          <w:lang w:val="en-US"/>
        </w:rPr>
        <w:t>EUDAMED for safety reporting is not functional at the time of release of this document.</w:t>
      </w:r>
    </w:p>
  </w:footnote>
  <w:footnote w:id="108">
    <w:p w14:paraId="676C24F3" w14:textId="77777777" w:rsidR="00FD03E5" w:rsidRPr="00CD5458" w:rsidRDefault="00FD03E5">
      <w:pPr>
        <w:pStyle w:val="Notedebasdepage"/>
      </w:pPr>
      <w:r>
        <w:rPr>
          <w:rStyle w:val="Appelnotedebasdep"/>
        </w:rPr>
        <w:footnoteRef/>
      </w:r>
      <w:r>
        <w:t xml:space="preserve"> The module is not functional at the time of release of this document.</w:t>
      </w:r>
    </w:p>
  </w:footnote>
  <w:footnote w:id="109">
    <w:p w14:paraId="3AD26933" w14:textId="77777777" w:rsidR="00FD03E5" w:rsidRPr="00FA21E3" w:rsidRDefault="00FD03E5" w:rsidP="007A5D8D">
      <w:pPr>
        <w:pStyle w:val="Notedebasdepage"/>
        <w:spacing w:before="0" w:after="0"/>
      </w:pPr>
      <w:r>
        <w:rPr>
          <w:rStyle w:val="Appelnotedebasdep"/>
        </w:rPr>
        <w:footnoteRef/>
      </w:r>
      <w:r>
        <w:t xml:space="preserve"> </w:t>
      </w:r>
      <w:r>
        <w:tab/>
        <w:t>The term intervention includes therapies, diagnostic measures, measures for the management of diseases or medical conditions.</w:t>
      </w:r>
    </w:p>
  </w:footnote>
  <w:footnote w:id="110">
    <w:p w14:paraId="351AAB16" w14:textId="77777777" w:rsidR="00FD03E5" w:rsidRPr="0079093E" w:rsidRDefault="00FD03E5">
      <w:pPr>
        <w:pStyle w:val="pf0"/>
        <w:spacing w:before="0" w:beforeAutospacing="0" w:after="0" w:afterAutospacing="0"/>
        <w:ind w:left="284" w:hanging="284"/>
        <w:rPr>
          <w:rFonts w:ascii="Arial" w:eastAsia="Calibri" w:hAnsi="Arial" w:cs="Arial"/>
          <w:sz w:val="20"/>
          <w:szCs w:val="20"/>
          <w:lang w:val="en-GB" w:eastAsia="en-US"/>
        </w:rPr>
      </w:pPr>
      <w:r w:rsidRPr="0079093E">
        <w:rPr>
          <w:rStyle w:val="Appelnotedebasdep"/>
          <w:rFonts w:ascii="Arial" w:eastAsia="Calibri" w:hAnsi="Arial" w:cs="Arial"/>
          <w:sz w:val="20"/>
          <w:szCs w:val="20"/>
          <w:lang w:val="en-GB" w:eastAsia="en-US"/>
        </w:rPr>
        <w:footnoteRef/>
      </w:r>
      <w:r w:rsidRPr="00D015A8">
        <w:rPr>
          <w:lang w:val="en-US"/>
        </w:rPr>
        <w:t xml:space="preserve"> </w:t>
      </w:r>
      <w:r w:rsidRPr="00644EAD">
        <w:rPr>
          <w:rFonts w:ascii="Arial" w:eastAsia="Calibri" w:hAnsi="Arial" w:cs="Arial"/>
          <w:sz w:val="20"/>
          <w:szCs w:val="20"/>
          <w:lang w:val="en-GB" w:eastAsia="en-US"/>
        </w:rPr>
        <w:t xml:space="preserve">More guidance can be found in the Cochrane training handbook and the references therein such as </w:t>
      </w:r>
      <w:r w:rsidRPr="007A5D8D">
        <w:rPr>
          <w:rFonts w:ascii="Arial" w:eastAsia="Calibri" w:hAnsi="Arial" w:cs="Arial"/>
          <w:sz w:val="20"/>
          <w:szCs w:val="20"/>
          <w:lang w:val="en-GB" w:eastAsia="en-US"/>
        </w:rPr>
        <w:t xml:space="preserve">Booth A. How much searching is enough? Comprehensive versus optimal retrieval for technology assessments. Int J </w:t>
      </w:r>
      <w:r w:rsidRPr="007A5D8D">
        <w:rPr>
          <w:rFonts w:ascii="Arial" w:eastAsia="Calibri" w:hAnsi="Arial" w:cs="Arial"/>
          <w:sz w:val="20"/>
          <w:szCs w:val="20"/>
          <w:lang w:val="en-GB" w:eastAsia="en-US"/>
        </w:rPr>
        <w:t>Technol Assess Health Care. 2010 Oct;26(4):431-5. doi: 10.1017/S0266462310000966. Epub 2010 Oct 6. PMID: 20923586.</w:t>
      </w:r>
      <w:r w:rsidRPr="0079093E">
        <w:rPr>
          <w:rFonts w:ascii="Arial" w:eastAsia="Calibri" w:hAnsi="Arial" w:cs="Arial"/>
          <w:sz w:val="20"/>
          <w:szCs w:val="20"/>
          <w:lang w:val="en-GB" w:eastAsia="en-US"/>
        </w:rPr>
        <w:t xml:space="preserve"> </w:t>
      </w:r>
    </w:p>
    <w:p w14:paraId="5B223180" w14:textId="77777777" w:rsidR="00FD03E5" w:rsidRPr="00D015A8" w:rsidRDefault="00FD03E5">
      <w:pPr>
        <w:pStyle w:val="Notedebasdepage"/>
        <w:ind w:left="0" w:firstLine="0"/>
        <w:rPr>
          <w:lang w:val="en-US"/>
        </w:rPr>
      </w:pPr>
    </w:p>
  </w:footnote>
  <w:footnote w:id="111">
    <w:p w14:paraId="49D1D26B" w14:textId="77777777" w:rsidR="00FD03E5" w:rsidRPr="00D015A8" w:rsidRDefault="00FD03E5">
      <w:pPr>
        <w:pStyle w:val="Notedebasdepage"/>
        <w:rPr>
          <w:lang w:val="en-US"/>
        </w:rPr>
      </w:pPr>
      <w:r w:rsidRPr="000B1767">
        <w:rPr>
          <w:rStyle w:val="Appelnotedebasdep"/>
        </w:rPr>
        <w:footnoteRef/>
      </w:r>
      <w:r w:rsidRPr="0079093E">
        <w:rPr>
          <w:rStyle w:val="Appelnotedebasdep"/>
        </w:rPr>
        <w:t xml:space="preserve"> </w:t>
      </w:r>
      <w:r w:rsidRPr="0079093E">
        <w:t xml:space="preserve">Cooper C, Dawson S, Lefebvre C. Searching for medical devices - Practical guidance. Res Synth Methods. 2022 Jan;13(1):144-154. </w:t>
      </w:r>
      <w:r w:rsidRPr="0079093E">
        <w:t>doi: 10.1002/jrsm.1524. Epub 2021 Nov 16. PMID: 34494371.</w:t>
      </w:r>
    </w:p>
  </w:footnote>
  <w:footnote w:id="112">
    <w:p w14:paraId="11822153" w14:textId="77777777" w:rsidR="00FD03E5" w:rsidRPr="00D015A8" w:rsidRDefault="00FD03E5">
      <w:pPr>
        <w:pStyle w:val="Notedebasdepage"/>
        <w:rPr>
          <w:lang w:val="en-US"/>
        </w:rPr>
      </w:pPr>
      <w:r>
        <w:rPr>
          <w:rStyle w:val="Appelnotedebasdep"/>
        </w:rPr>
        <w:footnoteRef/>
      </w:r>
      <w:r w:rsidRPr="0079093E">
        <w:rPr>
          <w:rStyle w:val="Appelnotedebasdep"/>
        </w:rPr>
        <w:t xml:space="preserve"> </w:t>
      </w:r>
      <w:r w:rsidRPr="0079093E">
        <w:t xml:space="preserve">McGowan J, Sampson M, Salzwedel DM, Cogo E, Foerster V, Lefebvre C. PRESS Peer Review of Electronic Search Strategies: 2015 Guideline Statement. J Clin </w:t>
      </w:r>
      <w:r w:rsidRPr="0079093E">
        <w:t>Epidemiol. 2016 Jul;75:40-6. doi: 10.1016/j.jclinepi.2016.01.021. Epub 2016 Mar 19. PMID: 27005575.</w:t>
      </w:r>
    </w:p>
  </w:footnote>
  <w:footnote w:id="113">
    <w:p w14:paraId="48452772" w14:textId="77777777" w:rsidR="00FD03E5" w:rsidRPr="00702320" w:rsidRDefault="00FD03E5">
      <w:pPr>
        <w:pStyle w:val="Notedebasdepage"/>
        <w:rPr>
          <w:sz w:val="16"/>
          <w:szCs w:val="16"/>
          <w:lang w:val="en-US"/>
        </w:rPr>
      </w:pPr>
      <w:r w:rsidRPr="00702320">
        <w:rPr>
          <w:rStyle w:val="Appelnotedebasdep"/>
          <w:sz w:val="16"/>
          <w:szCs w:val="16"/>
        </w:rPr>
        <w:footnoteRef/>
      </w:r>
      <w:r w:rsidRPr="00702320">
        <w:rPr>
          <w:sz w:val="16"/>
          <w:szCs w:val="16"/>
          <w:lang w:val="en-US"/>
        </w:rPr>
        <w:t xml:space="preserve"> As it is likely to be several searches, this applies to each search conducted.</w:t>
      </w:r>
    </w:p>
  </w:footnote>
  <w:footnote w:id="114">
    <w:p w14:paraId="20072665" w14:textId="77777777" w:rsidR="00FD03E5" w:rsidRPr="00702320" w:rsidRDefault="00FD03E5">
      <w:pPr>
        <w:pStyle w:val="Notedebasdepage"/>
        <w:rPr>
          <w:sz w:val="16"/>
          <w:szCs w:val="16"/>
          <w:lang w:val="en-US"/>
        </w:rPr>
      </w:pPr>
      <w:r w:rsidRPr="00702320">
        <w:rPr>
          <w:rStyle w:val="Appelnotedebasdep"/>
          <w:sz w:val="16"/>
          <w:szCs w:val="16"/>
        </w:rPr>
        <w:footnoteRef/>
      </w:r>
      <w:r w:rsidRPr="00702320">
        <w:rPr>
          <w:sz w:val="16"/>
          <w:szCs w:val="16"/>
          <w:lang w:val="en-US"/>
        </w:rPr>
        <w:t xml:space="preserve"> Available with conditions here </w:t>
      </w:r>
      <w:hyperlink r:id="rId6" w:history="1">
        <w:r w:rsidRPr="00702320">
          <w:rPr>
            <w:rStyle w:val="Lienhypertexte"/>
            <w:sz w:val="16"/>
            <w:szCs w:val="16"/>
            <w:lang w:val="en-US"/>
          </w:rPr>
          <w:t>PRISMA 2020 flow diagram — PRISMA statement</w:t>
        </w:r>
      </w:hyperlink>
    </w:p>
  </w:footnote>
  <w:footnote w:id="115">
    <w:p w14:paraId="4D58AC55" w14:textId="77777777" w:rsidR="00FD03E5" w:rsidRPr="00702320" w:rsidRDefault="00FD03E5">
      <w:pPr>
        <w:pStyle w:val="Notedebasdepage"/>
        <w:rPr>
          <w:sz w:val="16"/>
          <w:szCs w:val="16"/>
          <w:lang w:val="en-US"/>
        </w:rPr>
      </w:pPr>
      <w:r w:rsidRPr="00702320">
        <w:rPr>
          <w:rStyle w:val="Appelnotedebasdep"/>
          <w:sz w:val="16"/>
          <w:szCs w:val="16"/>
        </w:rPr>
        <w:footnoteRef/>
      </w:r>
      <w:r w:rsidRPr="00702320">
        <w:rPr>
          <w:sz w:val="16"/>
          <w:szCs w:val="16"/>
          <w:lang w:val="en-US"/>
        </w:rPr>
        <w:t xml:space="preserve"> Non-relevant publications may be excluded </w:t>
      </w:r>
      <w:r>
        <w:rPr>
          <w:sz w:val="16"/>
          <w:szCs w:val="16"/>
          <w:lang w:val="en-US"/>
        </w:rPr>
        <w:t xml:space="preserve">based </w:t>
      </w:r>
      <w:r w:rsidRPr="00702320">
        <w:rPr>
          <w:sz w:val="16"/>
          <w:szCs w:val="16"/>
          <w:lang w:val="en-US"/>
        </w:rPr>
        <w:t>on abstract</w:t>
      </w:r>
      <w:r>
        <w:rPr>
          <w:sz w:val="16"/>
          <w:szCs w:val="16"/>
          <w:lang w:val="en-US"/>
        </w:rPr>
        <w:t>s</w:t>
      </w:r>
      <w:r w:rsidRPr="00702320">
        <w:rPr>
          <w:sz w:val="16"/>
          <w:szCs w:val="16"/>
          <w:lang w:val="en-US"/>
        </w:rPr>
        <w:t xml:space="preserve"> if they are not related to the clinical evaluation do not e.g., contain information relating to the device under evaluation (or equivalent device).</w:t>
      </w:r>
    </w:p>
  </w:footnote>
  <w:footnote w:id="116">
    <w:p w14:paraId="5DD82932" w14:textId="77777777" w:rsidR="00FD03E5" w:rsidRPr="00702320" w:rsidRDefault="00FD03E5">
      <w:pPr>
        <w:pStyle w:val="Notedebasdepage"/>
        <w:rPr>
          <w:sz w:val="16"/>
          <w:szCs w:val="16"/>
          <w:lang w:val="en-US"/>
        </w:rPr>
      </w:pPr>
      <w:r w:rsidRPr="00702320">
        <w:rPr>
          <w:rStyle w:val="Appelnotedebasdep"/>
          <w:sz w:val="16"/>
          <w:szCs w:val="16"/>
        </w:rPr>
        <w:footnoteRef/>
      </w:r>
      <w:r w:rsidRPr="00702320">
        <w:rPr>
          <w:sz w:val="16"/>
          <w:szCs w:val="16"/>
          <w:lang w:val="en-US"/>
        </w:rPr>
        <w:t xml:space="preserve"> Will be a part of the technical documentation for the clinical evaluation.</w:t>
      </w:r>
    </w:p>
  </w:footnote>
  <w:footnote w:id="117">
    <w:p w14:paraId="48B147B8" w14:textId="77777777" w:rsidR="00FD03E5" w:rsidRPr="00225522" w:rsidRDefault="00FD03E5">
      <w:pPr>
        <w:pStyle w:val="Notedebasdepage"/>
        <w:rPr>
          <w:lang w:val="en-IE"/>
        </w:rPr>
      </w:pPr>
      <w:r>
        <w:rPr>
          <w:rStyle w:val="Appelnotedebasdep"/>
        </w:rPr>
        <w:footnoteRef/>
      </w:r>
      <w:r>
        <w:t xml:space="preserve"> </w:t>
      </w:r>
      <w:r>
        <w:rPr>
          <w:lang w:val="en-IE"/>
        </w:rPr>
        <w:t xml:space="preserve">Reporting guidelines for different study types can be found at </w:t>
      </w:r>
      <w:hyperlink r:id="rId7" w:history="1">
        <w:r w:rsidRPr="00FD58AC">
          <w:rPr>
            <w:rStyle w:val="Lienhypertexte"/>
            <w:rFonts w:asciiTheme="minorHAnsi" w:eastAsia="Segoe UI" w:hAnsiTheme="minorHAnsi" w:cstheme="minorHAnsi"/>
          </w:rPr>
          <w:t>https://www.equator-network.org</w:t>
        </w:r>
      </w:hyperlink>
    </w:p>
  </w:footnote>
  <w:footnote w:id="118">
    <w:p w14:paraId="54192E8A" w14:textId="77777777" w:rsidR="00FD03E5" w:rsidRPr="008D1B13" w:rsidRDefault="00FD03E5" w:rsidP="00722C9A">
      <w:pPr>
        <w:pStyle w:val="Notedebasdepage"/>
        <w:rPr>
          <w:lang w:val="en-IE"/>
        </w:rPr>
      </w:pPr>
      <w:r>
        <w:rPr>
          <w:rStyle w:val="Appelnotedebasdep"/>
        </w:rPr>
        <w:footnoteRef/>
      </w:r>
      <w:r>
        <w:t xml:space="preserve"> </w:t>
      </w:r>
      <w:r>
        <w:rPr>
          <w:lang w:val="en-IE"/>
        </w:rPr>
        <w:t>MDCG 2021-6 Rev. 1, Question 18</w:t>
      </w:r>
    </w:p>
  </w:footnote>
  <w:footnote w:id="119">
    <w:p w14:paraId="651B5606" w14:textId="77777777" w:rsidR="00FD03E5" w:rsidRPr="00D026CB" w:rsidRDefault="00FD03E5">
      <w:pPr>
        <w:pStyle w:val="Notedebasdepage"/>
        <w:tabs>
          <w:tab w:val="left" w:pos="1913"/>
        </w:tabs>
      </w:pPr>
      <w:r>
        <w:rPr>
          <w:rStyle w:val="Appelnotedebasdep"/>
        </w:rPr>
        <w:footnoteRef/>
      </w:r>
      <w:r>
        <w:t xml:space="preserve"> MDR, art. 61(1)</w:t>
      </w:r>
    </w:p>
  </w:footnote>
  <w:footnote w:id="120">
    <w:p w14:paraId="64C0019D" w14:textId="77777777" w:rsidR="00FD03E5" w:rsidRPr="00CC29F6" w:rsidRDefault="00FD03E5">
      <w:pPr>
        <w:pStyle w:val="Notedebasdepage"/>
        <w:rPr>
          <w:lang w:val="pt-PT"/>
        </w:rPr>
      </w:pPr>
      <w:r>
        <w:rPr>
          <w:rStyle w:val="Appelnotedebasdep"/>
        </w:rPr>
        <w:footnoteRef/>
      </w:r>
      <w:r>
        <w:t xml:space="preserve"> </w:t>
      </w:r>
      <w:r w:rsidRPr="004522EE">
        <w:rPr>
          <w:sz w:val="18"/>
          <w:szCs w:val="18"/>
          <w:lang w:val="en-US"/>
        </w:rPr>
        <w:t>GUIDELINES - on the benefit-risk assessment of the presence of phthalates in certain medical devices covering phthalates which are carcinogenic, mutagenic, toxic to reproduction (CMR) or have endocrine-disrupting (ED) properties - adopted at plenary meeting on 18 June 2019</w:t>
      </w:r>
      <w:r>
        <w:rPr>
          <w:sz w:val="18"/>
          <w:szCs w:val="18"/>
          <w:lang w:val="en-US"/>
        </w:rPr>
        <w:t xml:space="preserve"> and </w:t>
      </w:r>
      <w:hyperlink r:id="rId8" w:history="1">
        <w:r w:rsidRPr="00CC29F6">
          <w:rPr>
            <w:rStyle w:val="Lienhypertexte"/>
            <w:sz w:val="18"/>
            <w:szCs w:val="18"/>
            <w:lang w:val="en-US"/>
          </w:rPr>
          <w:t xml:space="preserve">updated 14 </w:t>
        </w:r>
        <w:r w:rsidRPr="00CC29F6">
          <w:rPr>
            <w:rStyle w:val="Lienhypertexte"/>
            <w:sz w:val="18"/>
            <w:szCs w:val="18"/>
            <w:lang w:val="en-US"/>
          </w:rPr>
          <w:t>june 2024 – SCHEER</w:t>
        </w:r>
      </w:hyperlink>
      <w:r>
        <w:rPr>
          <w:sz w:val="18"/>
          <w:szCs w:val="18"/>
          <w:lang w:val="en-US"/>
        </w:rPr>
        <w:t xml:space="preserve"> </w:t>
      </w:r>
    </w:p>
  </w:footnote>
  <w:footnote w:id="121">
    <w:p w14:paraId="350AD148" w14:textId="77777777" w:rsidR="00FD03E5" w:rsidRPr="00AC056B" w:rsidRDefault="00FD03E5">
      <w:pPr>
        <w:pStyle w:val="Notedebasdepage"/>
        <w:ind w:left="142" w:hanging="142"/>
        <w:rPr>
          <w:lang w:val="pt-PT"/>
        </w:rPr>
      </w:pPr>
      <w:r>
        <w:rPr>
          <w:rStyle w:val="Appelnotedebasdep"/>
        </w:rPr>
        <w:footnoteRef/>
      </w:r>
      <w:r w:rsidRPr="00F67A37">
        <w:rPr>
          <w:sz w:val="18"/>
          <w:szCs w:val="18"/>
        </w:rPr>
        <w:t xml:space="preserve"> The consultation of a medicinal products authority required under GSPR 12 and Annex IX (Section 5.2) or Annex X (Section 6) of Regulation (EU) 2017/745 typically involves</w:t>
      </w:r>
      <w:r>
        <w:rPr>
          <w:sz w:val="18"/>
          <w:szCs w:val="18"/>
        </w:rPr>
        <w:t xml:space="preserve"> </w:t>
      </w:r>
      <w:r w:rsidRPr="00F67A37">
        <w:rPr>
          <w:sz w:val="18"/>
          <w:szCs w:val="18"/>
        </w:rPr>
        <w:t>the assessment of clinical data to support the safety and usefulness of the medicinal substance when incorporated in a medical device.</w:t>
      </w:r>
    </w:p>
  </w:footnote>
  <w:footnote w:id="122">
    <w:p w14:paraId="7B0B8A8C" w14:textId="77777777" w:rsidR="00FD03E5" w:rsidRPr="00483794" w:rsidRDefault="00FD03E5">
      <w:pPr>
        <w:pStyle w:val="Notedebasdepage"/>
      </w:pPr>
      <w:r>
        <w:rPr>
          <w:rStyle w:val="Appelnotedebasdep"/>
        </w:rPr>
        <w:footnoteRef/>
      </w:r>
      <w:r>
        <w:t xml:space="preserve"> </w:t>
      </w:r>
      <w:r w:rsidRPr="00F67A37">
        <w:rPr>
          <w:sz w:val="18"/>
          <w:szCs w:val="18"/>
        </w:rPr>
        <w:t>Please see MDCG 2023-7 for more information on exemptions.</w:t>
      </w:r>
    </w:p>
  </w:footnote>
  <w:footnote w:id="123">
    <w:p w14:paraId="04CF236F" w14:textId="77777777" w:rsidR="00FD03E5" w:rsidRPr="00525DC3" w:rsidRDefault="00FD03E5">
      <w:pPr>
        <w:pStyle w:val="Notedebasdepage"/>
      </w:pPr>
      <w:r>
        <w:rPr>
          <w:rStyle w:val="Appelnotedebasdep"/>
        </w:rPr>
        <w:footnoteRef/>
      </w:r>
      <w:r>
        <w:t xml:space="preserve"> For the purpose of this guidance, an ‘undesirable side-effect’ under the MDR should be understood as any unintended and unwanted medical manifestation in the human body, as a consequence of the normal use of a device. Undesirable side-effects are not the result of a malfunction, deterioration in the device’s characteristics or performance, or an inadequacy in the information supplied by the manufacturer but rather they are associated with an adverse reaction by the patient to a device that is working properly. An unsuccessful treatment (or treatment failure) should not be considered an undesirable side effect. </w:t>
      </w:r>
      <w:r w:rsidRPr="00BF240F">
        <w:t>More details on this understanding are in the MDCG 2023-3.</w:t>
      </w:r>
      <w:r>
        <w:t xml:space="preserve"> </w:t>
      </w:r>
    </w:p>
  </w:footnote>
  <w:footnote w:id="124">
    <w:p w14:paraId="198F157F" w14:textId="77777777" w:rsidR="00FD03E5" w:rsidRPr="00754BE7" w:rsidRDefault="00FD03E5">
      <w:pPr>
        <w:pStyle w:val="Notedebasdepage"/>
      </w:pPr>
      <w:r>
        <w:rPr>
          <w:rStyle w:val="Appelnotedebasdep"/>
        </w:rPr>
        <w:footnoteRef/>
      </w:r>
      <w:r>
        <w:t xml:space="preserve"> </w:t>
      </w:r>
      <w:r w:rsidRPr="00754BE7">
        <w:t>It should be noted that the terms ‘undesirable side-effects’ and ‘side-effects’ are used synonymously in the MDR.</w:t>
      </w:r>
    </w:p>
  </w:footnote>
  <w:footnote w:id="125">
    <w:p w14:paraId="21385725" w14:textId="77777777" w:rsidR="00FD03E5" w:rsidRPr="004522EE" w:rsidRDefault="00FD03E5">
      <w:pPr>
        <w:pStyle w:val="Notedebasdepage"/>
        <w:ind w:left="113" w:hanging="113"/>
        <w:jc w:val="both"/>
        <w:rPr>
          <w:sz w:val="18"/>
          <w:szCs w:val="18"/>
          <w:lang w:val="en-US"/>
        </w:rPr>
      </w:pPr>
      <w:r w:rsidRPr="004522EE">
        <w:rPr>
          <w:rStyle w:val="Appelnotedebasdep"/>
          <w:sz w:val="18"/>
          <w:szCs w:val="18"/>
        </w:rPr>
        <w:footnoteRef/>
      </w:r>
      <w:r w:rsidRPr="004522EE">
        <w:rPr>
          <w:sz w:val="18"/>
          <w:szCs w:val="18"/>
        </w:rPr>
        <w:t xml:space="preserve"> Considered as incidents under the MDR (Article 2(64) MDR). For further information please consult guidance on </w:t>
      </w:r>
      <w:hyperlink r:id="rId9" w:anchor="sec16" w:history="1">
        <w:r w:rsidRPr="004522EE">
          <w:rPr>
            <w:rStyle w:val="Lienhypertexte"/>
            <w:sz w:val="18"/>
            <w:szCs w:val="18"/>
          </w:rPr>
          <w:t>Post-Market Surveillance and Vigilance (PMSV)</w:t>
        </w:r>
      </w:hyperlink>
    </w:p>
  </w:footnote>
  <w:footnote w:id="126">
    <w:p w14:paraId="0973EE27" w14:textId="77777777" w:rsidR="00FD03E5" w:rsidRPr="007374AE" w:rsidRDefault="00FD03E5">
      <w:pPr>
        <w:pStyle w:val="Notedebasdepage"/>
        <w:rPr>
          <w:lang w:val="it-IT"/>
        </w:rPr>
      </w:pPr>
      <w:r>
        <w:rPr>
          <w:rStyle w:val="Appelnotedebasdep"/>
        </w:rPr>
        <w:footnoteRef/>
      </w:r>
      <w:r w:rsidRPr="007374AE">
        <w:rPr>
          <w:lang w:val="it-IT"/>
        </w:rPr>
        <w:t xml:space="preserve"> Per MDR </w:t>
      </w:r>
      <w:r w:rsidRPr="007374AE">
        <w:rPr>
          <w:lang w:val="it-IT"/>
        </w:rPr>
        <w:t>Article 61(1)</w:t>
      </w:r>
    </w:p>
  </w:footnote>
  <w:footnote w:id="127">
    <w:p w14:paraId="3F83FB20" w14:textId="77777777" w:rsidR="00FD03E5" w:rsidRPr="007374AE" w:rsidRDefault="00FD03E5">
      <w:pPr>
        <w:pStyle w:val="Notedebasdepage"/>
        <w:rPr>
          <w:lang w:val="it-IT"/>
        </w:rPr>
      </w:pPr>
      <w:r>
        <w:rPr>
          <w:rStyle w:val="Appelnotedebasdep"/>
        </w:rPr>
        <w:footnoteRef/>
      </w:r>
      <w:r w:rsidRPr="007374AE">
        <w:rPr>
          <w:lang w:val="it-IT"/>
        </w:rPr>
        <w:t xml:space="preserve"> Per MDR </w:t>
      </w:r>
      <w:r w:rsidRPr="007374AE">
        <w:rPr>
          <w:lang w:val="it-IT"/>
        </w:rPr>
        <w:t>Article 61(3)(c)</w:t>
      </w:r>
    </w:p>
  </w:footnote>
  <w:footnote w:id="128">
    <w:p w14:paraId="4545D3DD" w14:textId="77777777" w:rsidR="00FD03E5" w:rsidRPr="00271090" w:rsidRDefault="00FD03E5" w:rsidP="00CA00B7">
      <w:pPr>
        <w:pStyle w:val="Notedebasdepage"/>
        <w:rPr>
          <w:lang w:val="en-US"/>
        </w:rPr>
      </w:pPr>
      <w:r>
        <w:rPr>
          <w:rStyle w:val="Appelnotedebasdep"/>
        </w:rPr>
        <w:footnoteRef/>
      </w:r>
      <w:r>
        <w:t xml:space="preserve"> Article 61 (11) and Article 2 (48)</w:t>
      </w:r>
      <w:r w:rsidRPr="00C012DF">
        <w:t xml:space="preserve"> </w:t>
      </w:r>
      <w:r>
        <w:t>of the MDR</w:t>
      </w:r>
    </w:p>
  </w:footnote>
  <w:footnote w:id="129">
    <w:p w14:paraId="22DDABF0" w14:textId="77777777" w:rsidR="00FD03E5" w:rsidRPr="00271090" w:rsidRDefault="00FD03E5" w:rsidP="00CA00B7">
      <w:pPr>
        <w:pStyle w:val="Notedebasdepage"/>
        <w:rPr>
          <w:lang w:val="en-US"/>
        </w:rPr>
      </w:pPr>
      <w:r>
        <w:rPr>
          <w:rStyle w:val="Appelnotedebasdep"/>
        </w:rPr>
        <w:footnoteRef/>
      </w:r>
      <w:r>
        <w:t xml:space="preserve"> Article 2 (51)</w:t>
      </w:r>
      <w:r w:rsidRPr="00C012DF">
        <w:t xml:space="preserve"> </w:t>
      </w:r>
      <w:r>
        <w:t>of the MDR</w:t>
      </w:r>
    </w:p>
  </w:footnote>
  <w:footnote w:id="130">
    <w:p w14:paraId="2D19EA2F" w14:textId="77777777" w:rsidR="00FD03E5" w:rsidRPr="00271090" w:rsidRDefault="00FD03E5" w:rsidP="00CA00B7">
      <w:pPr>
        <w:pStyle w:val="Notedebasdepage"/>
        <w:rPr>
          <w:lang w:val="en-US"/>
        </w:rPr>
      </w:pPr>
      <w:r>
        <w:rPr>
          <w:rStyle w:val="Appelnotedebasdep"/>
        </w:rPr>
        <w:footnoteRef/>
      </w:r>
      <w:r>
        <w:t xml:space="preserve"> Section 3, Part A, Annex XIV of the MDR </w:t>
      </w:r>
    </w:p>
  </w:footnote>
  <w:footnote w:id="131">
    <w:p w14:paraId="5639D84D" w14:textId="77777777" w:rsidR="00FD03E5" w:rsidRPr="00F56EEB" w:rsidRDefault="00FD03E5" w:rsidP="00CA00B7">
      <w:pPr>
        <w:pStyle w:val="Notedebasdepage"/>
        <w:rPr>
          <w:lang w:val="en-US"/>
        </w:rPr>
      </w:pPr>
      <w:r>
        <w:rPr>
          <w:rStyle w:val="Appelnotedebasdep"/>
        </w:rPr>
        <w:footnoteRef/>
      </w:r>
      <w:r>
        <w:t xml:space="preserve"> </w:t>
      </w:r>
      <w:r w:rsidRPr="00DC5E65">
        <w:t>Article 1(6)</w:t>
      </w:r>
      <w:r>
        <w:t xml:space="preserve"> (g) of the</w:t>
      </w:r>
      <w:r w:rsidRPr="000B1767">
        <w:t xml:space="preserve"> </w:t>
      </w:r>
      <w:r>
        <w:t xml:space="preserve">MDR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132F" w14:textId="77777777" w:rsidR="00BD6713" w:rsidRPr="00BF73B6" w:rsidRDefault="00BD6713" w:rsidP="005D03EC">
    <w:pPr>
      <w:pBdr>
        <w:bottom w:val="single" w:sz="4" w:space="1" w:color="auto"/>
      </w:pBdr>
      <w:tabs>
        <w:tab w:val="center" w:pos="4536"/>
        <w:tab w:val="right" w:pos="9072"/>
      </w:tabs>
      <w:spacing w:before="0" w:after="0"/>
      <w:rPr>
        <w:rFonts w:eastAsia="Times New Roman"/>
        <w:color w:val="002060"/>
        <w:sz w:val="40"/>
        <w:szCs w:val="40"/>
        <w:lang w:val="fr-BE" w:eastAsia="sv-SE"/>
      </w:rPr>
    </w:pPr>
    <w:bookmarkStart w:id="1" w:name="_Hlk161854405"/>
    <w:r w:rsidRPr="00B9645C">
      <w:rPr>
        <w:rFonts w:eastAsia="Times New Roman"/>
        <w:b/>
        <w:color w:val="002060"/>
        <w:sz w:val="40"/>
        <w:szCs w:val="40"/>
        <w:lang w:val="fr-BE" w:eastAsia="sv-SE"/>
      </w:rPr>
      <w:t xml:space="preserve">Medical </w:t>
    </w:r>
    <w:proofErr w:type="spellStart"/>
    <w:r w:rsidRPr="00B9645C">
      <w:rPr>
        <w:rFonts w:eastAsia="Times New Roman"/>
        <w:b/>
        <w:color w:val="002060"/>
        <w:sz w:val="40"/>
        <w:szCs w:val="40"/>
        <w:lang w:val="fr-BE" w:eastAsia="sv-SE"/>
      </w:rPr>
      <w:t>Device</w:t>
    </w:r>
    <w:proofErr w:type="spellEnd"/>
    <w:r w:rsidRPr="00BF73B6">
      <w:rPr>
        <w:rFonts w:eastAsia="Times New Roman"/>
        <w:color w:val="002060"/>
        <w:sz w:val="40"/>
        <w:szCs w:val="40"/>
        <w:lang w:val="fr-BE" w:eastAsia="sv-SE"/>
      </w:rPr>
      <w:tab/>
      <w:t xml:space="preserve">    </w:t>
    </w:r>
  </w:p>
  <w:p w14:paraId="1F2EC240" w14:textId="7470ECD6" w:rsidR="00BD6713" w:rsidRPr="005D03EC" w:rsidRDefault="00BD6713" w:rsidP="005D03EC">
    <w:pPr>
      <w:pBdr>
        <w:bottom w:val="single" w:sz="4" w:space="1" w:color="auto"/>
      </w:pBdr>
      <w:tabs>
        <w:tab w:val="center" w:pos="4536"/>
        <w:tab w:val="right" w:pos="9072"/>
      </w:tabs>
      <w:spacing w:before="0" w:after="0"/>
      <w:rPr>
        <w:rFonts w:eastAsia="Times New Roman"/>
        <w:color w:val="002060"/>
        <w:sz w:val="24"/>
        <w:szCs w:val="24"/>
        <w:lang w:val="fr-BE" w:eastAsia="sv-SE"/>
      </w:rPr>
    </w:pPr>
    <w:r w:rsidRPr="00B9645C">
      <w:rPr>
        <w:rFonts w:eastAsia="Times New Roman"/>
        <w:color w:val="002060"/>
        <w:sz w:val="24"/>
        <w:szCs w:val="24"/>
        <w:lang w:val="fr-BE" w:eastAsia="sv-SE"/>
      </w:rPr>
      <w:t xml:space="preserve">Medical </w:t>
    </w:r>
    <w:proofErr w:type="spellStart"/>
    <w:r w:rsidRPr="00B9645C">
      <w:rPr>
        <w:rFonts w:eastAsia="Times New Roman"/>
        <w:color w:val="002060"/>
        <w:sz w:val="24"/>
        <w:szCs w:val="24"/>
        <w:lang w:val="fr-BE" w:eastAsia="sv-SE"/>
      </w:rPr>
      <w:t>Device</w:t>
    </w:r>
    <w:proofErr w:type="spellEnd"/>
    <w:r w:rsidRPr="00BF73B6">
      <w:rPr>
        <w:rFonts w:eastAsia="Times New Roman"/>
        <w:color w:val="002060"/>
        <w:sz w:val="24"/>
        <w:szCs w:val="24"/>
        <w:lang w:val="fr-BE" w:eastAsia="sv-SE"/>
      </w:rPr>
      <w:t xml:space="preserve"> Coordination</w:t>
    </w:r>
    <w:r w:rsidRPr="005D03EC">
      <w:rPr>
        <w:rFonts w:eastAsia="Times New Roman"/>
        <w:color w:val="002060"/>
        <w:sz w:val="24"/>
        <w:szCs w:val="24"/>
        <w:lang w:val="fr-BE" w:eastAsia="sv-SE"/>
      </w:rPr>
      <w:t xml:space="preserve"> Group Document</w:t>
    </w:r>
    <w:r w:rsidRPr="005D03EC">
      <w:rPr>
        <w:rFonts w:eastAsia="Times New Roman"/>
        <w:color w:val="002060"/>
        <w:sz w:val="28"/>
        <w:szCs w:val="28"/>
        <w:lang w:val="fr-BE" w:eastAsia="sv-SE"/>
      </w:rPr>
      <w:t xml:space="preserve">                   MDCG  2024-XX</w:t>
    </w:r>
  </w:p>
  <w:p w14:paraId="5FDED25C" w14:textId="77777777" w:rsidR="00BD6713" w:rsidRPr="005D03EC" w:rsidRDefault="00BD6713" w:rsidP="005D03EC">
    <w:pPr>
      <w:tabs>
        <w:tab w:val="center" w:pos="4536"/>
        <w:tab w:val="right" w:pos="9072"/>
      </w:tabs>
      <w:spacing w:before="0" w:after="0"/>
      <w:rPr>
        <w:rFonts w:ascii="Times New Roman" w:eastAsia="Times New Roman" w:hAnsi="Times New Roman" w:cs="Times New Roman"/>
        <w:sz w:val="18"/>
        <w:szCs w:val="18"/>
        <w:lang w:eastAsia="sv-SE"/>
      </w:rPr>
    </w:pPr>
  </w:p>
  <w:bookmarkEnd w:id="1"/>
  <w:p w14:paraId="02390DB5" w14:textId="77777777" w:rsidR="00BD6713" w:rsidRPr="005D03EC" w:rsidRDefault="00BD6713" w:rsidP="005D03EC">
    <w:pPr>
      <w:spacing w:before="0" w:after="0"/>
      <w:rPr>
        <w:rFonts w:ascii="Times New Roman" w:eastAsia="Times New Roman" w:hAnsi="Times New Roman" w:cs="Times New Roman"/>
        <w:sz w:val="24"/>
        <w:szCs w:val="24"/>
        <w:lang w:eastAsia="sv-SE"/>
      </w:rPr>
    </w:pPr>
  </w:p>
  <w:p w14:paraId="36BCEF1C" w14:textId="348A068D" w:rsidR="00BD6713" w:rsidRDefault="00BD6713" w:rsidP="00C01F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E29"/>
    <w:multiLevelType w:val="hybridMultilevel"/>
    <w:tmpl w:val="BDC845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03A4CC5"/>
    <w:multiLevelType w:val="hybridMultilevel"/>
    <w:tmpl w:val="E37228CE"/>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2A22E8E0">
      <w:numFmt w:val="bullet"/>
      <w:lvlText w:val="•"/>
      <w:lvlJc w:val="left"/>
      <w:pPr>
        <w:ind w:left="2160" w:hanging="360"/>
      </w:pPr>
      <w:rPr>
        <w:rFonts w:ascii="Arial" w:eastAsiaTheme="minorHAnsi" w:hAnsi="Arial" w:cs="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432193"/>
    <w:multiLevelType w:val="hybridMultilevel"/>
    <w:tmpl w:val="FF249A38"/>
    <w:lvl w:ilvl="0" w:tplc="392823CE">
      <w:start w:val="6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1AA1555"/>
    <w:multiLevelType w:val="hybridMultilevel"/>
    <w:tmpl w:val="0DF026E8"/>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258B2EB"/>
    <w:multiLevelType w:val="hybridMultilevel"/>
    <w:tmpl w:val="B9E6406E"/>
    <w:lvl w:ilvl="0" w:tplc="4454E1B0">
      <w:start w:val="1"/>
      <w:numFmt w:val="lowerLetter"/>
      <w:lvlText w:val="%1."/>
      <w:lvlJc w:val="left"/>
      <w:pPr>
        <w:ind w:left="720" w:hanging="360"/>
      </w:pPr>
    </w:lvl>
    <w:lvl w:ilvl="1" w:tplc="C228FB10">
      <w:start w:val="1"/>
      <w:numFmt w:val="lowerLetter"/>
      <w:lvlText w:val="%2."/>
      <w:lvlJc w:val="left"/>
      <w:pPr>
        <w:ind w:left="1440" w:hanging="360"/>
      </w:pPr>
    </w:lvl>
    <w:lvl w:ilvl="2" w:tplc="42C602BA">
      <w:start w:val="1"/>
      <w:numFmt w:val="lowerRoman"/>
      <w:lvlText w:val="%3."/>
      <w:lvlJc w:val="right"/>
      <w:pPr>
        <w:ind w:left="2160" w:hanging="180"/>
      </w:pPr>
    </w:lvl>
    <w:lvl w:ilvl="3" w:tplc="DB025EC6">
      <w:start w:val="1"/>
      <w:numFmt w:val="decimal"/>
      <w:lvlText w:val="%4."/>
      <w:lvlJc w:val="left"/>
      <w:pPr>
        <w:ind w:left="2880" w:hanging="360"/>
      </w:pPr>
    </w:lvl>
    <w:lvl w:ilvl="4" w:tplc="351E216E">
      <w:start w:val="1"/>
      <w:numFmt w:val="lowerLetter"/>
      <w:lvlText w:val="%5."/>
      <w:lvlJc w:val="left"/>
      <w:pPr>
        <w:ind w:left="3600" w:hanging="360"/>
      </w:pPr>
    </w:lvl>
    <w:lvl w:ilvl="5" w:tplc="CF0A459A">
      <w:start w:val="1"/>
      <w:numFmt w:val="lowerRoman"/>
      <w:lvlText w:val="%6."/>
      <w:lvlJc w:val="right"/>
      <w:pPr>
        <w:ind w:left="4320" w:hanging="180"/>
      </w:pPr>
    </w:lvl>
    <w:lvl w:ilvl="6" w:tplc="70225362">
      <w:start w:val="1"/>
      <w:numFmt w:val="decimal"/>
      <w:lvlText w:val="%7."/>
      <w:lvlJc w:val="left"/>
      <w:pPr>
        <w:ind w:left="5040" w:hanging="360"/>
      </w:pPr>
    </w:lvl>
    <w:lvl w:ilvl="7" w:tplc="6BE6CA1E">
      <w:start w:val="1"/>
      <w:numFmt w:val="lowerLetter"/>
      <w:lvlText w:val="%8."/>
      <w:lvlJc w:val="left"/>
      <w:pPr>
        <w:ind w:left="5760" w:hanging="360"/>
      </w:pPr>
    </w:lvl>
    <w:lvl w:ilvl="8" w:tplc="9B802E80">
      <w:start w:val="1"/>
      <w:numFmt w:val="lowerRoman"/>
      <w:lvlText w:val="%9."/>
      <w:lvlJc w:val="right"/>
      <w:pPr>
        <w:ind w:left="6480" w:hanging="180"/>
      </w:pPr>
    </w:lvl>
  </w:abstractNum>
  <w:abstractNum w:abstractNumId="5" w15:restartNumberingAfterBreak="0">
    <w:nsid w:val="03337D4C"/>
    <w:multiLevelType w:val="hybridMultilevel"/>
    <w:tmpl w:val="47421CA2"/>
    <w:lvl w:ilvl="0" w:tplc="2050E13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3591EC2"/>
    <w:multiLevelType w:val="hybridMultilevel"/>
    <w:tmpl w:val="6F12958A"/>
    <w:lvl w:ilvl="0" w:tplc="59126A60">
      <w:start w:val="5"/>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211"/>
        </w:tabs>
        <w:ind w:left="1211"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592A7F"/>
    <w:multiLevelType w:val="hybridMultilevel"/>
    <w:tmpl w:val="2EE20292"/>
    <w:lvl w:ilvl="0" w:tplc="2050E132">
      <w:start w:val="1"/>
      <w:numFmt w:val="bullet"/>
      <w:lvlText w:val="­"/>
      <w:lvlJc w:val="left"/>
      <w:pPr>
        <w:ind w:left="720" w:hanging="360"/>
      </w:pPr>
      <w:rPr>
        <w:rFonts w:ascii="Arial" w:hAnsi="Aria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8" w15:restartNumberingAfterBreak="0">
    <w:nsid w:val="044D344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554192A"/>
    <w:multiLevelType w:val="hybridMultilevel"/>
    <w:tmpl w:val="17580D4E"/>
    <w:lvl w:ilvl="0" w:tplc="2A22E8E0">
      <w:numFmt w:val="bullet"/>
      <w:lvlText w:val="•"/>
      <w:lvlJc w:val="left"/>
      <w:pPr>
        <w:ind w:left="285"/>
      </w:pPr>
      <w:rPr>
        <w:rFonts w:ascii="Arial" w:eastAsiaTheme="minorHAnsi" w:hAnsi="Arial" w:cs="Aria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59E2331"/>
    <w:multiLevelType w:val="hybridMultilevel"/>
    <w:tmpl w:val="C6D2DDAE"/>
    <w:lvl w:ilvl="0" w:tplc="04100001">
      <w:start w:val="1"/>
      <w:numFmt w:val="bullet"/>
      <w:lvlText w:val=""/>
      <w:lvlJc w:val="left"/>
      <w:pPr>
        <w:ind w:left="720" w:hanging="360"/>
      </w:pPr>
      <w:rPr>
        <w:rFonts w:ascii="Symbol" w:hAnsi="Symbol" w:hint="default"/>
      </w:rPr>
    </w:lvl>
    <w:lvl w:ilvl="1" w:tplc="2050E132">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6435CE7"/>
    <w:multiLevelType w:val="multilevel"/>
    <w:tmpl w:val="AE7C6EA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 w15:restartNumberingAfterBreak="0">
    <w:nsid w:val="07CE1987"/>
    <w:multiLevelType w:val="hybridMultilevel"/>
    <w:tmpl w:val="7756B71A"/>
    <w:lvl w:ilvl="0" w:tplc="041D0001">
      <w:start w:val="1"/>
      <w:numFmt w:val="bullet"/>
      <w:lvlText w:val=""/>
      <w:lvlJc w:val="left"/>
      <w:pPr>
        <w:ind w:left="1778" w:hanging="360"/>
      </w:pPr>
      <w:rPr>
        <w:rFonts w:ascii="Symbol" w:hAnsi="Symbol" w:hint="default"/>
      </w:rPr>
    </w:lvl>
    <w:lvl w:ilvl="1" w:tplc="FFFFFFFF">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13" w15:restartNumberingAfterBreak="0">
    <w:nsid w:val="08F14408"/>
    <w:multiLevelType w:val="hybridMultilevel"/>
    <w:tmpl w:val="55D8A4EC"/>
    <w:lvl w:ilvl="0" w:tplc="DAC43012">
      <w:start w:val="1"/>
      <w:numFmt w:val="bullet"/>
      <w:lvlText w:val="-"/>
      <w:lvlJc w:val="left"/>
      <w:pPr>
        <w:ind w:left="14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9356802"/>
    <w:multiLevelType w:val="hybridMultilevel"/>
    <w:tmpl w:val="CBE45E86"/>
    <w:lvl w:ilvl="0" w:tplc="0816000F">
      <w:start w:val="1"/>
      <w:numFmt w:val="decimal"/>
      <w:lvlText w:val="%1."/>
      <w:lvlJc w:val="left"/>
      <w:pPr>
        <w:ind w:left="778" w:hanging="360"/>
      </w:pPr>
    </w:lvl>
    <w:lvl w:ilvl="1" w:tplc="08160019" w:tentative="1">
      <w:start w:val="1"/>
      <w:numFmt w:val="lowerLetter"/>
      <w:lvlText w:val="%2."/>
      <w:lvlJc w:val="left"/>
      <w:pPr>
        <w:ind w:left="1498" w:hanging="360"/>
      </w:pPr>
    </w:lvl>
    <w:lvl w:ilvl="2" w:tplc="0816001B" w:tentative="1">
      <w:start w:val="1"/>
      <w:numFmt w:val="lowerRoman"/>
      <w:lvlText w:val="%3."/>
      <w:lvlJc w:val="right"/>
      <w:pPr>
        <w:ind w:left="2218" w:hanging="180"/>
      </w:pPr>
    </w:lvl>
    <w:lvl w:ilvl="3" w:tplc="0816000F" w:tentative="1">
      <w:start w:val="1"/>
      <w:numFmt w:val="decimal"/>
      <w:lvlText w:val="%4."/>
      <w:lvlJc w:val="left"/>
      <w:pPr>
        <w:ind w:left="2938" w:hanging="360"/>
      </w:pPr>
    </w:lvl>
    <w:lvl w:ilvl="4" w:tplc="08160019" w:tentative="1">
      <w:start w:val="1"/>
      <w:numFmt w:val="lowerLetter"/>
      <w:lvlText w:val="%5."/>
      <w:lvlJc w:val="left"/>
      <w:pPr>
        <w:ind w:left="3658" w:hanging="360"/>
      </w:pPr>
    </w:lvl>
    <w:lvl w:ilvl="5" w:tplc="0816001B" w:tentative="1">
      <w:start w:val="1"/>
      <w:numFmt w:val="lowerRoman"/>
      <w:lvlText w:val="%6."/>
      <w:lvlJc w:val="right"/>
      <w:pPr>
        <w:ind w:left="4378" w:hanging="180"/>
      </w:pPr>
    </w:lvl>
    <w:lvl w:ilvl="6" w:tplc="0816000F" w:tentative="1">
      <w:start w:val="1"/>
      <w:numFmt w:val="decimal"/>
      <w:lvlText w:val="%7."/>
      <w:lvlJc w:val="left"/>
      <w:pPr>
        <w:ind w:left="5098" w:hanging="360"/>
      </w:pPr>
    </w:lvl>
    <w:lvl w:ilvl="7" w:tplc="08160019" w:tentative="1">
      <w:start w:val="1"/>
      <w:numFmt w:val="lowerLetter"/>
      <w:lvlText w:val="%8."/>
      <w:lvlJc w:val="left"/>
      <w:pPr>
        <w:ind w:left="5818" w:hanging="360"/>
      </w:pPr>
    </w:lvl>
    <w:lvl w:ilvl="8" w:tplc="0816001B" w:tentative="1">
      <w:start w:val="1"/>
      <w:numFmt w:val="lowerRoman"/>
      <w:lvlText w:val="%9."/>
      <w:lvlJc w:val="right"/>
      <w:pPr>
        <w:ind w:left="6538" w:hanging="180"/>
      </w:pPr>
    </w:lvl>
  </w:abstractNum>
  <w:abstractNum w:abstractNumId="15" w15:restartNumberingAfterBreak="0">
    <w:nsid w:val="098C68D6"/>
    <w:multiLevelType w:val="hybridMultilevel"/>
    <w:tmpl w:val="BDBE9DA0"/>
    <w:lvl w:ilvl="0" w:tplc="4E62823C">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AFD4E99"/>
    <w:multiLevelType w:val="multilevel"/>
    <w:tmpl w:val="FDE83B80"/>
    <w:lvl w:ilvl="0">
      <w:start w:val="1"/>
      <w:numFmt w:val="decimal"/>
      <w:pStyle w:val="App2"/>
      <w:lvlText w:val="A%1."/>
      <w:lvlJc w:val="left"/>
      <w:pPr>
        <w:ind w:left="644" w:hanging="360"/>
      </w:pPr>
      <w:rPr>
        <w:rFonts w:hint="default"/>
      </w:rPr>
    </w:lvl>
    <w:lvl w:ilvl="1">
      <w:start w:val="1"/>
      <w:numFmt w:val="decimal"/>
      <w:pStyle w:val="App3"/>
      <w:lvlText w:val="A%1.%2."/>
      <w:lvlJc w:val="left"/>
      <w:pPr>
        <w:ind w:left="858" w:hanging="432"/>
      </w:pPr>
      <w:rPr>
        <w:rFonts w:hint="default"/>
      </w:rPr>
    </w:lvl>
    <w:lvl w:ilvl="2">
      <w:start w:val="1"/>
      <w:numFmt w:val="decimal"/>
      <w:pStyle w:val="App4"/>
      <w:lvlText w:val="A%1.%2.%3."/>
      <w:lvlJc w:val="left"/>
      <w:pPr>
        <w:ind w:left="1224" w:hanging="504"/>
      </w:pPr>
      <w:rPr>
        <w:rFonts w:hint="default"/>
      </w:rPr>
    </w:lvl>
    <w:lvl w:ilvl="3">
      <w:start w:val="1"/>
      <w:numFmt w:val="decimal"/>
      <w:lvlText w:val="A%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893B5E"/>
    <w:multiLevelType w:val="multilevel"/>
    <w:tmpl w:val="716C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E57B9E"/>
    <w:multiLevelType w:val="hybridMultilevel"/>
    <w:tmpl w:val="712AD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C054511"/>
    <w:multiLevelType w:val="hybridMultilevel"/>
    <w:tmpl w:val="D382CCAA"/>
    <w:lvl w:ilvl="0" w:tplc="87983F22">
      <w:numFmt w:val="bullet"/>
      <w:lvlText w:val="-"/>
      <w:lvlJc w:val="left"/>
      <w:pPr>
        <w:ind w:left="720" w:hanging="360"/>
      </w:pPr>
      <w:rPr>
        <w:rFonts w:ascii="Arial" w:eastAsia="Calibr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0C5956FC"/>
    <w:multiLevelType w:val="hybridMultilevel"/>
    <w:tmpl w:val="7CA09C46"/>
    <w:lvl w:ilvl="0" w:tplc="A79C968A">
      <w:start w:val="1"/>
      <w:numFmt w:val="bullet"/>
      <w:lvlText w:val="-"/>
      <w:lvlJc w:val="left"/>
      <w:pPr>
        <w:ind w:left="720" w:hanging="360"/>
      </w:pPr>
      <w:rPr>
        <w:rFonts w:ascii="Aptos" w:hAnsi="Aptos" w:hint="default"/>
      </w:rPr>
    </w:lvl>
    <w:lvl w:ilvl="1" w:tplc="9F761628">
      <w:start w:val="1"/>
      <w:numFmt w:val="bullet"/>
      <w:lvlText w:val="o"/>
      <w:lvlJc w:val="left"/>
      <w:pPr>
        <w:ind w:left="1440" w:hanging="360"/>
      </w:pPr>
      <w:rPr>
        <w:rFonts w:ascii="Courier New" w:hAnsi="Courier New" w:hint="default"/>
      </w:rPr>
    </w:lvl>
    <w:lvl w:ilvl="2" w:tplc="50146CAE">
      <w:start w:val="1"/>
      <w:numFmt w:val="bullet"/>
      <w:lvlText w:val=""/>
      <w:lvlJc w:val="left"/>
      <w:pPr>
        <w:ind w:left="2160" w:hanging="360"/>
      </w:pPr>
      <w:rPr>
        <w:rFonts w:ascii="Wingdings" w:hAnsi="Wingdings" w:hint="default"/>
      </w:rPr>
    </w:lvl>
    <w:lvl w:ilvl="3" w:tplc="D7F0ABAE">
      <w:start w:val="1"/>
      <w:numFmt w:val="bullet"/>
      <w:lvlText w:val=""/>
      <w:lvlJc w:val="left"/>
      <w:pPr>
        <w:ind w:left="2880" w:hanging="360"/>
      </w:pPr>
      <w:rPr>
        <w:rFonts w:ascii="Symbol" w:hAnsi="Symbol" w:hint="default"/>
      </w:rPr>
    </w:lvl>
    <w:lvl w:ilvl="4" w:tplc="E5020F8C">
      <w:start w:val="1"/>
      <w:numFmt w:val="bullet"/>
      <w:lvlText w:val="o"/>
      <w:lvlJc w:val="left"/>
      <w:pPr>
        <w:ind w:left="3600" w:hanging="360"/>
      </w:pPr>
      <w:rPr>
        <w:rFonts w:ascii="Courier New" w:hAnsi="Courier New" w:hint="default"/>
      </w:rPr>
    </w:lvl>
    <w:lvl w:ilvl="5" w:tplc="EBF0FA50">
      <w:start w:val="1"/>
      <w:numFmt w:val="bullet"/>
      <w:lvlText w:val=""/>
      <w:lvlJc w:val="left"/>
      <w:pPr>
        <w:ind w:left="4320" w:hanging="360"/>
      </w:pPr>
      <w:rPr>
        <w:rFonts w:ascii="Wingdings" w:hAnsi="Wingdings" w:hint="default"/>
      </w:rPr>
    </w:lvl>
    <w:lvl w:ilvl="6" w:tplc="552CE85A">
      <w:start w:val="1"/>
      <w:numFmt w:val="bullet"/>
      <w:lvlText w:val=""/>
      <w:lvlJc w:val="left"/>
      <w:pPr>
        <w:ind w:left="5040" w:hanging="360"/>
      </w:pPr>
      <w:rPr>
        <w:rFonts w:ascii="Symbol" w:hAnsi="Symbol" w:hint="default"/>
      </w:rPr>
    </w:lvl>
    <w:lvl w:ilvl="7" w:tplc="66B82E5A">
      <w:start w:val="1"/>
      <w:numFmt w:val="bullet"/>
      <w:lvlText w:val="o"/>
      <w:lvlJc w:val="left"/>
      <w:pPr>
        <w:ind w:left="5760" w:hanging="360"/>
      </w:pPr>
      <w:rPr>
        <w:rFonts w:ascii="Courier New" w:hAnsi="Courier New" w:hint="default"/>
      </w:rPr>
    </w:lvl>
    <w:lvl w:ilvl="8" w:tplc="ABC09B0A">
      <w:start w:val="1"/>
      <w:numFmt w:val="bullet"/>
      <w:lvlText w:val=""/>
      <w:lvlJc w:val="left"/>
      <w:pPr>
        <w:ind w:left="6480" w:hanging="360"/>
      </w:pPr>
      <w:rPr>
        <w:rFonts w:ascii="Wingdings" w:hAnsi="Wingdings" w:hint="default"/>
      </w:rPr>
    </w:lvl>
  </w:abstractNum>
  <w:abstractNum w:abstractNumId="21" w15:restartNumberingAfterBreak="0">
    <w:nsid w:val="0D0F2C95"/>
    <w:multiLevelType w:val="hybridMultilevel"/>
    <w:tmpl w:val="6C7401A4"/>
    <w:lvl w:ilvl="0" w:tplc="87983F22">
      <w:numFmt w:val="bullet"/>
      <w:lvlText w:val="-"/>
      <w:lvlJc w:val="left"/>
      <w:pPr>
        <w:ind w:left="720" w:hanging="360"/>
      </w:pPr>
      <w:rPr>
        <w:rFonts w:ascii="Arial" w:eastAsia="Calibri"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0D3011E9"/>
    <w:multiLevelType w:val="hybridMultilevel"/>
    <w:tmpl w:val="8338769E"/>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0D9D6CBB"/>
    <w:multiLevelType w:val="multilevel"/>
    <w:tmpl w:val="1E18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BF1C26"/>
    <w:multiLevelType w:val="hybridMultilevel"/>
    <w:tmpl w:val="1D5CB34E"/>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0DC501C6"/>
    <w:multiLevelType w:val="hybridMultilevel"/>
    <w:tmpl w:val="A022BBB4"/>
    <w:lvl w:ilvl="0" w:tplc="8EB88EE0">
      <w:numFmt w:val="bullet"/>
      <w:lvlText w:val="-"/>
      <w:lvlJc w:val="left"/>
      <w:pPr>
        <w:ind w:left="720" w:hanging="360"/>
      </w:pPr>
      <w:rPr>
        <w:rFonts w:ascii="Arial" w:eastAsia="Calibri" w:hAnsi="Arial" w:cs="Arial" w:hint="default"/>
        <w:sz w:val="1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0DE36060"/>
    <w:multiLevelType w:val="hybridMultilevel"/>
    <w:tmpl w:val="1584AA0A"/>
    <w:lvl w:ilvl="0" w:tplc="9F02A4B6">
      <w:start w:val="1"/>
      <w:numFmt w:val="bullet"/>
      <w:lvlText w:val="­"/>
      <w:lvlJc w:val="left"/>
      <w:pPr>
        <w:ind w:left="1637" w:hanging="360"/>
      </w:pPr>
      <w:rPr>
        <w:rFonts w:ascii="Arial" w:hAnsi="Arial" w:hint="default"/>
      </w:rPr>
    </w:lvl>
    <w:lvl w:ilvl="1" w:tplc="041D0003">
      <w:start w:val="1"/>
      <w:numFmt w:val="bullet"/>
      <w:lvlText w:val="o"/>
      <w:lvlJc w:val="left"/>
      <w:pPr>
        <w:ind w:left="1440" w:hanging="360"/>
      </w:pPr>
      <w:rPr>
        <w:rFonts w:ascii="Courier New" w:hAnsi="Courier New" w:cs="Courier New" w:hint="default"/>
      </w:rPr>
    </w:lvl>
    <w:lvl w:ilvl="2" w:tplc="2050E132">
      <w:start w:val="1"/>
      <w:numFmt w:val="bullet"/>
      <w:lvlText w:val="­"/>
      <w:lvlJc w:val="left"/>
      <w:pPr>
        <w:ind w:left="2160" w:hanging="360"/>
      </w:pPr>
      <w:rPr>
        <w:rFonts w:ascii="Arial" w:hAnsi="Aria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0E6038F0"/>
    <w:multiLevelType w:val="hybridMultilevel"/>
    <w:tmpl w:val="09BA7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0EF911A5"/>
    <w:multiLevelType w:val="hybridMultilevel"/>
    <w:tmpl w:val="F12CD3B2"/>
    <w:lvl w:ilvl="0" w:tplc="2050E132">
      <w:start w:val="1"/>
      <w:numFmt w:val="bullet"/>
      <w:lvlText w:val="­"/>
      <w:lvlJc w:val="left"/>
      <w:pPr>
        <w:ind w:left="720" w:hanging="360"/>
      </w:pPr>
      <w:rPr>
        <w:rFonts w:ascii="Arial" w:hAnsi="Arial" w:hint="default"/>
      </w:rPr>
    </w:lvl>
    <w:lvl w:ilvl="1" w:tplc="2050E132">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0FC06781"/>
    <w:multiLevelType w:val="hybridMultilevel"/>
    <w:tmpl w:val="363E5C48"/>
    <w:lvl w:ilvl="0" w:tplc="04100003">
      <w:start w:val="1"/>
      <w:numFmt w:val="bullet"/>
      <w:lvlText w:val="o"/>
      <w:lvlJc w:val="left"/>
      <w:pPr>
        <w:ind w:left="144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105B254D"/>
    <w:multiLevelType w:val="multilevel"/>
    <w:tmpl w:val="8AFA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966C4F"/>
    <w:multiLevelType w:val="hybridMultilevel"/>
    <w:tmpl w:val="CCCE91FC"/>
    <w:lvl w:ilvl="0" w:tplc="088886B8">
      <w:start w:val="1"/>
      <w:numFmt w:val="lowerRoman"/>
      <w:lvlText w:val="(%1)"/>
      <w:lvlJc w:val="left"/>
      <w:pPr>
        <w:ind w:left="1287" w:hanging="360"/>
      </w:pPr>
      <w:rPr>
        <w:rFonts w:hint="default"/>
      </w:rPr>
    </w:lvl>
    <w:lvl w:ilvl="1" w:tplc="0410001B">
      <w:start w:val="1"/>
      <w:numFmt w:val="lowerRoman"/>
      <w:lvlText w:val="%2."/>
      <w:lvlJc w:val="righ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2" w15:restartNumberingAfterBreak="0">
    <w:nsid w:val="10AB132C"/>
    <w:multiLevelType w:val="hybridMultilevel"/>
    <w:tmpl w:val="81A888C4"/>
    <w:lvl w:ilvl="0" w:tplc="DF8C8400">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10AC4FE7"/>
    <w:multiLevelType w:val="hybridMultilevel"/>
    <w:tmpl w:val="2162F1E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11435D81"/>
    <w:multiLevelType w:val="hybridMultilevel"/>
    <w:tmpl w:val="C1E4F2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12364F0B"/>
    <w:multiLevelType w:val="hybridMultilevel"/>
    <w:tmpl w:val="4B183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3677B3F"/>
    <w:multiLevelType w:val="hybridMultilevel"/>
    <w:tmpl w:val="E5BE61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138A448F"/>
    <w:multiLevelType w:val="hybridMultilevel"/>
    <w:tmpl w:val="A3AEBA82"/>
    <w:lvl w:ilvl="0" w:tplc="2050E132">
      <w:start w:val="1"/>
      <w:numFmt w:val="bullet"/>
      <w:lvlText w:val="­"/>
      <w:lvlJc w:val="left"/>
      <w:pPr>
        <w:ind w:left="720" w:hanging="360"/>
      </w:pPr>
      <w:rPr>
        <w:rFonts w:ascii="Arial" w:hAnsi="Arial" w:hint="default"/>
      </w:rPr>
    </w:lvl>
    <w:lvl w:ilvl="1" w:tplc="FFFFFFFF">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13C06A54"/>
    <w:multiLevelType w:val="hybridMultilevel"/>
    <w:tmpl w:val="D7DCBC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14175947"/>
    <w:multiLevelType w:val="hybridMultilevel"/>
    <w:tmpl w:val="3AB0F53C"/>
    <w:lvl w:ilvl="0" w:tplc="0807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14EF369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4FD6AE7"/>
    <w:multiLevelType w:val="hybridMultilevel"/>
    <w:tmpl w:val="F1167BF8"/>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155A4D39"/>
    <w:multiLevelType w:val="hybridMultilevel"/>
    <w:tmpl w:val="6D70C004"/>
    <w:lvl w:ilvl="0" w:tplc="14206A9A">
      <w:start w:val="1"/>
      <w:numFmt w:val="decimal"/>
      <w:pStyle w:val="AppT2"/>
      <w:lvlText w:val="A%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3" w15:restartNumberingAfterBreak="0">
    <w:nsid w:val="15A63BF3"/>
    <w:multiLevelType w:val="hybridMultilevel"/>
    <w:tmpl w:val="2B920D04"/>
    <w:lvl w:ilvl="0" w:tplc="088886B8">
      <w:start w:val="1"/>
      <w:numFmt w:val="lowerRoman"/>
      <w:lvlText w:val="(%1)"/>
      <w:lvlJc w:val="left"/>
      <w:pPr>
        <w:ind w:left="1287" w:hanging="360"/>
      </w:pPr>
      <w:rPr>
        <w:rFonts w:hint="default"/>
      </w:r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4" w15:restartNumberingAfterBreak="0">
    <w:nsid w:val="16492FFA"/>
    <w:multiLevelType w:val="multilevel"/>
    <w:tmpl w:val="C8E0EAA4"/>
    <w:lvl w:ilvl="0">
      <w:start w:val="1"/>
      <w:numFmt w:val="decimal"/>
      <w:pStyle w:val="Numreradrubrik1"/>
      <w:lvlText w:val="%1."/>
      <w:lvlJc w:val="left"/>
      <w:pPr>
        <w:ind w:left="567" w:hanging="567"/>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1134" w:hanging="1134"/>
      </w:pPr>
      <w:rPr>
        <w:rFonts w:hint="default"/>
      </w:rPr>
    </w:lvl>
    <w:lvl w:ilvl="3">
      <w:start w:val="1"/>
      <w:numFmt w:val="decimal"/>
      <w:pStyle w:val="Numreradrubrik4"/>
      <w:lvlText w:val="%1.%2.%3.%4."/>
      <w:lvlJc w:val="left"/>
      <w:pPr>
        <w:ind w:left="1418" w:hanging="1418"/>
      </w:pPr>
      <w:rPr>
        <w:rFonts w:hint="default"/>
      </w:rPr>
    </w:lvl>
    <w:lvl w:ilvl="4">
      <w:start w:val="1"/>
      <w:numFmt w:val="decimal"/>
      <w:pStyle w:val="Numreradrubrik5"/>
      <w:lvlText w:val="%1.%2.%3.%4.%5."/>
      <w:lvlJc w:val="left"/>
      <w:pPr>
        <w:ind w:left="1701" w:hanging="1701"/>
      </w:pPr>
      <w:rPr>
        <w:rFonts w:hint="default"/>
      </w:rPr>
    </w:lvl>
    <w:lvl w:ilvl="5">
      <w:start w:val="1"/>
      <w:numFmt w:val="decimal"/>
      <w:pStyle w:val="Numreradrubrik6"/>
      <w:lvlText w:val="%1.%2.%3.%4.%5.%6."/>
      <w:lvlJc w:val="left"/>
      <w:pPr>
        <w:ind w:left="1985" w:hanging="1985"/>
      </w:pPr>
      <w:rPr>
        <w:rFonts w:hint="default"/>
      </w:rPr>
    </w:lvl>
    <w:lvl w:ilvl="6">
      <w:start w:val="1"/>
      <w:numFmt w:val="decimal"/>
      <w:pStyle w:val="Numreradrubrik7"/>
      <w:lvlText w:val="%1.%2.%3.%4.%5.%6.%7."/>
      <w:lvlJc w:val="left"/>
      <w:pPr>
        <w:ind w:left="2268" w:hanging="2268"/>
      </w:pPr>
      <w:rPr>
        <w:rFonts w:hint="default"/>
      </w:rPr>
    </w:lvl>
    <w:lvl w:ilvl="7">
      <w:start w:val="1"/>
      <w:numFmt w:val="decimal"/>
      <w:pStyle w:val="Numreradrubrik8"/>
      <w:lvlText w:val="%1.%2.%3.%4.%5.%6.%7.%8."/>
      <w:lvlJc w:val="left"/>
      <w:pPr>
        <w:ind w:left="2552" w:hanging="2552"/>
      </w:pPr>
      <w:rPr>
        <w:rFonts w:hint="default"/>
      </w:rPr>
    </w:lvl>
    <w:lvl w:ilvl="8">
      <w:start w:val="1"/>
      <w:numFmt w:val="decimal"/>
      <w:pStyle w:val="Numreradrubrik9"/>
      <w:lvlText w:val="%1.%2.%3.%4.%5.%6.%7.%8.%9."/>
      <w:lvlJc w:val="left"/>
      <w:pPr>
        <w:ind w:left="2835" w:hanging="2835"/>
      </w:pPr>
      <w:rPr>
        <w:rFonts w:hint="default"/>
      </w:rPr>
    </w:lvl>
  </w:abstractNum>
  <w:abstractNum w:abstractNumId="45" w15:restartNumberingAfterBreak="0">
    <w:nsid w:val="17820316"/>
    <w:multiLevelType w:val="hybridMultilevel"/>
    <w:tmpl w:val="0ECE4804"/>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46" w15:restartNumberingAfterBreak="0">
    <w:nsid w:val="17874D0A"/>
    <w:multiLevelType w:val="hybridMultilevel"/>
    <w:tmpl w:val="98FC97C8"/>
    <w:lvl w:ilvl="0" w:tplc="FFFFFFFF">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7" w15:restartNumberingAfterBreak="0">
    <w:nsid w:val="17B375A0"/>
    <w:multiLevelType w:val="hybridMultilevel"/>
    <w:tmpl w:val="BAF49E1E"/>
    <w:lvl w:ilvl="0" w:tplc="2050E132">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17C92BEE"/>
    <w:multiLevelType w:val="hybridMultilevel"/>
    <w:tmpl w:val="13DA1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18151B7A"/>
    <w:multiLevelType w:val="hybridMultilevel"/>
    <w:tmpl w:val="888CF07E"/>
    <w:lvl w:ilvl="0" w:tplc="088886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183E2FF7"/>
    <w:multiLevelType w:val="hybridMultilevel"/>
    <w:tmpl w:val="94E6B616"/>
    <w:lvl w:ilvl="0" w:tplc="E6223628">
      <w:start w:val="1"/>
      <w:numFmt w:val="bullet"/>
      <w:lvlText w:val=""/>
      <w:lvlJc w:val="left"/>
      <w:pPr>
        <w:ind w:left="1080" w:hanging="360"/>
      </w:pPr>
      <w:rPr>
        <w:rFonts w:ascii="Symbol" w:hAnsi="Symbol"/>
      </w:rPr>
    </w:lvl>
    <w:lvl w:ilvl="1" w:tplc="E968C50E">
      <w:start w:val="1"/>
      <w:numFmt w:val="bullet"/>
      <w:lvlText w:val=""/>
      <w:lvlJc w:val="left"/>
      <w:pPr>
        <w:ind w:left="1080" w:hanging="360"/>
      </w:pPr>
      <w:rPr>
        <w:rFonts w:ascii="Symbol" w:hAnsi="Symbol"/>
      </w:rPr>
    </w:lvl>
    <w:lvl w:ilvl="2" w:tplc="4EE2AD4E">
      <w:start w:val="1"/>
      <w:numFmt w:val="bullet"/>
      <w:lvlText w:val=""/>
      <w:lvlJc w:val="left"/>
      <w:pPr>
        <w:ind w:left="1080" w:hanging="360"/>
      </w:pPr>
      <w:rPr>
        <w:rFonts w:ascii="Symbol" w:hAnsi="Symbol"/>
      </w:rPr>
    </w:lvl>
    <w:lvl w:ilvl="3" w:tplc="0A4A13D4">
      <w:start w:val="1"/>
      <w:numFmt w:val="bullet"/>
      <w:lvlText w:val=""/>
      <w:lvlJc w:val="left"/>
      <w:pPr>
        <w:ind w:left="1080" w:hanging="360"/>
      </w:pPr>
      <w:rPr>
        <w:rFonts w:ascii="Symbol" w:hAnsi="Symbol"/>
      </w:rPr>
    </w:lvl>
    <w:lvl w:ilvl="4" w:tplc="F70C1B4A">
      <w:start w:val="1"/>
      <w:numFmt w:val="bullet"/>
      <w:lvlText w:val=""/>
      <w:lvlJc w:val="left"/>
      <w:pPr>
        <w:ind w:left="1080" w:hanging="360"/>
      </w:pPr>
      <w:rPr>
        <w:rFonts w:ascii="Symbol" w:hAnsi="Symbol"/>
      </w:rPr>
    </w:lvl>
    <w:lvl w:ilvl="5" w:tplc="46FE063E">
      <w:start w:val="1"/>
      <w:numFmt w:val="bullet"/>
      <w:lvlText w:val=""/>
      <w:lvlJc w:val="left"/>
      <w:pPr>
        <w:ind w:left="1080" w:hanging="360"/>
      </w:pPr>
      <w:rPr>
        <w:rFonts w:ascii="Symbol" w:hAnsi="Symbol"/>
      </w:rPr>
    </w:lvl>
    <w:lvl w:ilvl="6" w:tplc="E1C87C24">
      <w:start w:val="1"/>
      <w:numFmt w:val="bullet"/>
      <w:lvlText w:val=""/>
      <w:lvlJc w:val="left"/>
      <w:pPr>
        <w:ind w:left="1080" w:hanging="360"/>
      </w:pPr>
      <w:rPr>
        <w:rFonts w:ascii="Symbol" w:hAnsi="Symbol"/>
      </w:rPr>
    </w:lvl>
    <w:lvl w:ilvl="7" w:tplc="E45C268C">
      <w:start w:val="1"/>
      <w:numFmt w:val="bullet"/>
      <w:lvlText w:val=""/>
      <w:lvlJc w:val="left"/>
      <w:pPr>
        <w:ind w:left="1080" w:hanging="360"/>
      </w:pPr>
      <w:rPr>
        <w:rFonts w:ascii="Symbol" w:hAnsi="Symbol"/>
      </w:rPr>
    </w:lvl>
    <w:lvl w:ilvl="8" w:tplc="49D2789A">
      <w:start w:val="1"/>
      <w:numFmt w:val="bullet"/>
      <w:lvlText w:val=""/>
      <w:lvlJc w:val="left"/>
      <w:pPr>
        <w:ind w:left="1080" w:hanging="360"/>
      </w:pPr>
      <w:rPr>
        <w:rFonts w:ascii="Symbol" w:hAnsi="Symbol"/>
      </w:rPr>
    </w:lvl>
  </w:abstractNum>
  <w:abstractNum w:abstractNumId="51" w15:restartNumberingAfterBreak="0">
    <w:nsid w:val="18ED6999"/>
    <w:multiLevelType w:val="multilevel"/>
    <w:tmpl w:val="DFA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95B7B7B"/>
    <w:multiLevelType w:val="hybridMultilevel"/>
    <w:tmpl w:val="04FE02BA"/>
    <w:lvl w:ilvl="0" w:tplc="99CA7A76">
      <w:start w:val="5"/>
      <w:numFmt w:val="bullet"/>
      <w:lvlText w:val="-"/>
      <w:lvlJc w:val="left"/>
      <w:pPr>
        <w:tabs>
          <w:tab w:val="num" w:pos="720"/>
        </w:tabs>
        <w:ind w:left="720" w:hanging="360"/>
      </w:pPr>
      <w:rPr>
        <w:rFonts w:ascii="Times New Roman" w:eastAsia="Times New Roman" w:hAnsi="Times New Roman" w:hint="default"/>
      </w:rPr>
    </w:lvl>
    <w:lvl w:ilvl="1" w:tplc="99CA7A76">
      <w:start w:val="5"/>
      <w:numFmt w:val="bullet"/>
      <w:lvlText w:val="-"/>
      <w:lvlJc w:val="left"/>
      <w:pPr>
        <w:tabs>
          <w:tab w:val="num" w:pos="1440"/>
        </w:tabs>
        <w:ind w:left="1440" w:hanging="360"/>
      </w:pPr>
      <w:rPr>
        <w:rFonts w:ascii="Times New Roman" w:eastAsia="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1255C9"/>
    <w:multiLevelType w:val="hybridMultilevel"/>
    <w:tmpl w:val="0BB45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1AFB35E1"/>
    <w:multiLevelType w:val="hybridMultilevel"/>
    <w:tmpl w:val="F762F5B4"/>
    <w:lvl w:ilvl="0" w:tplc="08070001">
      <w:start w:val="1"/>
      <w:numFmt w:val="bullet"/>
      <w:lvlText w:val=""/>
      <w:lvlJc w:val="left"/>
      <w:pPr>
        <w:ind w:left="720" w:hanging="360"/>
      </w:pPr>
      <w:rPr>
        <w:rFonts w:ascii="Symbol" w:hAnsi="Symbol" w:hint="default"/>
      </w:rPr>
    </w:lvl>
    <w:lvl w:ilvl="1" w:tplc="2050E132">
      <w:start w:val="1"/>
      <w:numFmt w:val="bullet"/>
      <w:lvlText w:val="­"/>
      <w:lvlJc w:val="left"/>
      <w:pPr>
        <w:ind w:left="1440" w:hanging="360"/>
      </w:pPr>
      <w:rPr>
        <w:rFonts w:ascii="Arial" w:hAnsi="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5" w15:restartNumberingAfterBreak="0">
    <w:nsid w:val="1B14146B"/>
    <w:multiLevelType w:val="hybridMultilevel"/>
    <w:tmpl w:val="24227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B640676"/>
    <w:multiLevelType w:val="hybridMultilevel"/>
    <w:tmpl w:val="39722F1C"/>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1BED77B7"/>
    <w:multiLevelType w:val="hybridMultilevel"/>
    <w:tmpl w:val="F04052D0"/>
    <w:lvl w:ilvl="0" w:tplc="2050E132">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8" w15:restartNumberingAfterBreak="0">
    <w:nsid w:val="1BEF1FD9"/>
    <w:multiLevelType w:val="hybridMultilevel"/>
    <w:tmpl w:val="E4A62FE2"/>
    <w:lvl w:ilvl="0" w:tplc="4CBE70E4">
      <w:start w:val="1"/>
      <w:numFmt w:val="bullet"/>
      <w:lvlText w:val=""/>
      <w:lvlJc w:val="left"/>
      <w:pPr>
        <w:ind w:left="720" w:hanging="360"/>
      </w:pPr>
      <w:rPr>
        <w:rFonts w:ascii="Symbol" w:hAnsi="Symbol" w:hint="default"/>
      </w:rPr>
    </w:lvl>
    <w:lvl w:ilvl="1" w:tplc="52946B36">
      <w:start w:val="1"/>
      <w:numFmt w:val="bullet"/>
      <w:lvlText w:val="o"/>
      <w:lvlJc w:val="left"/>
      <w:pPr>
        <w:ind w:left="1440" w:hanging="360"/>
      </w:pPr>
      <w:rPr>
        <w:rFonts w:ascii="Courier New" w:hAnsi="Courier New" w:hint="default"/>
      </w:rPr>
    </w:lvl>
    <w:lvl w:ilvl="2" w:tplc="7526CFF2">
      <w:start w:val="1"/>
      <w:numFmt w:val="bullet"/>
      <w:lvlText w:val=""/>
      <w:lvlJc w:val="left"/>
      <w:pPr>
        <w:ind w:left="2160" w:hanging="360"/>
      </w:pPr>
      <w:rPr>
        <w:rFonts w:ascii="Wingdings" w:hAnsi="Wingdings" w:hint="default"/>
      </w:rPr>
    </w:lvl>
    <w:lvl w:ilvl="3" w:tplc="272C12FE">
      <w:start w:val="1"/>
      <w:numFmt w:val="bullet"/>
      <w:lvlText w:val=""/>
      <w:lvlJc w:val="left"/>
      <w:pPr>
        <w:ind w:left="2880" w:hanging="360"/>
      </w:pPr>
      <w:rPr>
        <w:rFonts w:ascii="Symbol" w:hAnsi="Symbol" w:hint="default"/>
      </w:rPr>
    </w:lvl>
    <w:lvl w:ilvl="4" w:tplc="D95E8B80">
      <w:start w:val="1"/>
      <w:numFmt w:val="bullet"/>
      <w:lvlText w:val="o"/>
      <w:lvlJc w:val="left"/>
      <w:pPr>
        <w:ind w:left="3600" w:hanging="360"/>
      </w:pPr>
      <w:rPr>
        <w:rFonts w:ascii="Courier New" w:hAnsi="Courier New" w:hint="default"/>
      </w:rPr>
    </w:lvl>
    <w:lvl w:ilvl="5" w:tplc="382656F0">
      <w:start w:val="1"/>
      <w:numFmt w:val="bullet"/>
      <w:lvlText w:val=""/>
      <w:lvlJc w:val="left"/>
      <w:pPr>
        <w:ind w:left="4320" w:hanging="360"/>
      </w:pPr>
      <w:rPr>
        <w:rFonts w:ascii="Wingdings" w:hAnsi="Wingdings" w:hint="default"/>
      </w:rPr>
    </w:lvl>
    <w:lvl w:ilvl="6" w:tplc="87EE53D8">
      <w:start w:val="1"/>
      <w:numFmt w:val="bullet"/>
      <w:lvlText w:val=""/>
      <w:lvlJc w:val="left"/>
      <w:pPr>
        <w:ind w:left="5040" w:hanging="360"/>
      </w:pPr>
      <w:rPr>
        <w:rFonts w:ascii="Symbol" w:hAnsi="Symbol" w:hint="default"/>
      </w:rPr>
    </w:lvl>
    <w:lvl w:ilvl="7" w:tplc="E3501DE0">
      <w:start w:val="1"/>
      <w:numFmt w:val="bullet"/>
      <w:lvlText w:val="o"/>
      <w:lvlJc w:val="left"/>
      <w:pPr>
        <w:ind w:left="5760" w:hanging="360"/>
      </w:pPr>
      <w:rPr>
        <w:rFonts w:ascii="Courier New" w:hAnsi="Courier New" w:hint="default"/>
      </w:rPr>
    </w:lvl>
    <w:lvl w:ilvl="8" w:tplc="6CFC9F8C">
      <w:start w:val="1"/>
      <w:numFmt w:val="bullet"/>
      <w:lvlText w:val=""/>
      <w:lvlJc w:val="left"/>
      <w:pPr>
        <w:ind w:left="6480" w:hanging="360"/>
      </w:pPr>
      <w:rPr>
        <w:rFonts w:ascii="Wingdings" w:hAnsi="Wingdings" w:hint="default"/>
      </w:rPr>
    </w:lvl>
  </w:abstractNum>
  <w:abstractNum w:abstractNumId="59" w15:restartNumberingAfterBreak="0">
    <w:nsid w:val="1BF4285D"/>
    <w:multiLevelType w:val="hybridMultilevel"/>
    <w:tmpl w:val="7BC6DAF4"/>
    <w:lvl w:ilvl="0" w:tplc="A5E6090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1CC56C85"/>
    <w:multiLevelType w:val="hybridMultilevel"/>
    <w:tmpl w:val="F8EE8CA2"/>
    <w:lvl w:ilvl="0" w:tplc="43AC6B9C">
      <w:start w:val="1"/>
      <w:numFmt w:val="bullet"/>
      <w:lvlText w:val=""/>
      <w:lvlJc w:val="left"/>
      <w:pPr>
        <w:ind w:left="360" w:hanging="360"/>
      </w:pPr>
      <w:rPr>
        <w:rFonts w:ascii="Symbol" w:hAnsi="Symbol" w:hint="default"/>
      </w:rPr>
    </w:lvl>
    <w:lvl w:ilvl="1" w:tplc="5BC88FA4">
      <w:numFmt w:val="bullet"/>
      <w:lvlText w:val="•"/>
      <w:lvlJc w:val="left"/>
      <w:pPr>
        <w:ind w:left="1080" w:hanging="360"/>
      </w:pPr>
      <w:rPr>
        <w:rFonts w:ascii="SymbolMT" w:eastAsia="Calibri" w:hAnsi="SymbolMT" w:cs="SymbolMT"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1" w15:restartNumberingAfterBreak="0">
    <w:nsid w:val="1D0A42D6"/>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D54586E"/>
    <w:multiLevelType w:val="hybridMultilevel"/>
    <w:tmpl w:val="9B7A15C6"/>
    <w:lvl w:ilvl="0" w:tplc="08070001">
      <w:start w:val="1"/>
      <w:numFmt w:val="bullet"/>
      <w:lvlText w:val=""/>
      <w:lvlJc w:val="left"/>
      <w:pPr>
        <w:ind w:left="360" w:hanging="360"/>
      </w:pPr>
      <w:rPr>
        <w:rFonts w:ascii="Symbol" w:hAnsi="Symbol" w:hint="default"/>
      </w:rPr>
    </w:lvl>
    <w:lvl w:ilvl="1" w:tplc="5BC88FA4">
      <w:numFmt w:val="bullet"/>
      <w:lvlText w:val="•"/>
      <w:lvlJc w:val="left"/>
      <w:pPr>
        <w:ind w:left="1080" w:hanging="360"/>
      </w:pPr>
      <w:rPr>
        <w:rFonts w:ascii="SymbolMT" w:eastAsia="Calibri" w:hAnsi="SymbolMT" w:cs="SymbolMT"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3" w15:restartNumberingAfterBreak="0">
    <w:nsid w:val="1DFC0A7A"/>
    <w:multiLevelType w:val="hybridMultilevel"/>
    <w:tmpl w:val="243A4810"/>
    <w:lvl w:ilvl="0" w:tplc="1EEEE8A8">
      <w:start w:val="1"/>
      <w:numFmt w:val="bullet"/>
      <w:lvlText w:val="•"/>
      <w:lvlJc w:val="left"/>
      <w:pPr>
        <w:tabs>
          <w:tab w:val="num" w:pos="720"/>
        </w:tabs>
        <w:ind w:left="720" w:hanging="360"/>
      </w:pPr>
      <w:rPr>
        <w:rFonts w:ascii="Arial" w:hAnsi="Arial" w:hint="default"/>
      </w:rPr>
    </w:lvl>
    <w:lvl w:ilvl="1" w:tplc="0B10A188" w:tentative="1">
      <w:start w:val="1"/>
      <w:numFmt w:val="bullet"/>
      <w:lvlText w:val="•"/>
      <w:lvlJc w:val="left"/>
      <w:pPr>
        <w:tabs>
          <w:tab w:val="num" w:pos="1440"/>
        </w:tabs>
        <w:ind w:left="1440" w:hanging="360"/>
      </w:pPr>
      <w:rPr>
        <w:rFonts w:ascii="Arial" w:hAnsi="Arial" w:hint="default"/>
      </w:rPr>
    </w:lvl>
    <w:lvl w:ilvl="2" w:tplc="5EC04A1A" w:tentative="1">
      <w:start w:val="1"/>
      <w:numFmt w:val="bullet"/>
      <w:lvlText w:val="•"/>
      <w:lvlJc w:val="left"/>
      <w:pPr>
        <w:tabs>
          <w:tab w:val="num" w:pos="2160"/>
        </w:tabs>
        <w:ind w:left="2160" w:hanging="360"/>
      </w:pPr>
      <w:rPr>
        <w:rFonts w:ascii="Arial" w:hAnsi="Arial" w:hint="default"/>
      </w:rPr>
    </w:lvl>
    <w:lvl w:ilvl="3" w:tplc="332A2196" w:tentative="1">
      <w:start w:val="1"/>
      <w:numFmt w:val="bullet"/>
      <w:lvlText w:val="•"/>
      <w:lvlJc w:val="left"/>
      <w:pPr>
        <w:tabs>
          <w:tab w:val="num" w:pos="2880"/>
        </w:tabs>
        <w:ind w:left="2880" w:hanging="360"/>
      </w:pPr>
      <w:rPr>
        <w:rFonts w:ascii="Arial" w:hAnsi="Arial" w:hint="default"/>
      </w:rPr>
    </w:lvl>
    <w:lvl w:ilvl="4" w:tplc="CD62DDF4" w:tentative="1">
      <w:start w:val="1"/>
      <w:numFmt w:val="bullet"/>
      <w:lvlText w:val="•"/>
      <w:lvlJc w:val="left"/>
      <w:pPr>
        <w:tabs>
          <w:tab w:val="num" w:pos="3600"/>
        </w:tabs>
        <w:ind w:left="3600" w:hanging="360"/>
      </w:pPr>
      <w:rPr>
        <w:rFonts w:ascii="Arial" w:hAnsi="Arial" w:hint="default"/>
      </w:rPr>
    </w:lvl>
    <w:lvl w:ilvl="5" w:tplc="737E33D0" w:tentative="1">
      <w:start w:val="1"/>
      <w:numFmt w:val="bullet"/>
      <w:lvlText w:val="•"/>
      <w:lvlJc w:val="left"/>
      <w:pPr>
        <w:tabs>
          <w:tab w:val="num" w:pos="4320"/>
        </w:tabs>
        <w:ind w:left="4320" w:hanging="360"/>
      </w:pPr>
      <w:rPr>
        <w:rFonts w:ascii="Arial" w:hAnsi="Arial" w:hint="default"/>
      </w:rPr>
    </w:lvl>
    <w:lvl w:ilvl="6" w:tplc="14507F96" w:tentative="1">
      <w:start w:val="1"/>
      <w:numFmt w:val="bullet"/>
      <w:lvlText w:val="•"/>
      <w:lvlJc w:val="left"/>
      <w:pPr>
        <w:tabs>
          <w:tab w:val="num" w:pos="5040"/>
        </w:tabs>
        <w:ind w:left="5040" w:hanging="360"/>
      </w:pPr>
      <w:rPr>
        <w:rFonts w:ascii="Arial" w:hAnsi="Arial" w:hint="default"/>
      </w:rPr>
    </w:lvl>
    <w:lvl w:ilvl="7" w:tplc="3FF4E748" w:tentative="1">
      <w:start w:val="1"/>
      <w:numFmt w:val="bullet"/>
      <w:lvlText w:val="•"/>
      <w:lvlJc w:val="left"/>
      <w:pPr>
        <w:tabs>
          <w:tab w:val="num" w:pos="5760"/>
        </w:tabs>
        <w:ind w:left="5760" w:hanging="360"/>
      </w:pPr>
      <w:rPr>
        <w:rFonts w:ascii="Arial" w:hAnsi="Arial" w:hint="default"/>
      </w:rPr>
    </w:lvl>
    <w:lvl w:ilvl="8" w:tplc="620AB198"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1F261B20"/>
    <w:multiLevelType w:val="hybridMultilevel"/>
    <w:tmpl w:val="58FE828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5" w15:restartNumberingAfterBreak="0">
    <w:nsid w:val="1F5C343B"/>
    <w:multiLevelType w:val="hybridMultilevel"/>
    <w:tmpl w:val="F2763486"/>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66" w15:restartNumberingAfterBreak="0">
    <w:nsid w:val="1FE30FD0"/>
    <w:multiLevelType w:val="hybridMultilevel"/>
    <w:tmpl w:val="C3460AAE"/>
    <w:lvl w:ilvl="0" w:tplc="02DE748E">
      <w:start w:val="1"/>
      <w:numFmt w:val="bullet"/>
      <w:lvlText w:val=""/>
      <w:lvlJc w:val="left"/>
      <w:pPr>
        <w:ind w:left="1080" w:hanging="360"/>
      </w:pPr>
      <w:rPr>
        <w:rFonts w:ascii="Symbol" w:hAnsi="Symbol"/>
      </w:rPr>
    </w:lvl>
    <w:lvl w:ilvl="1" w:tplc="FBF212C8">
      <w:start w:val="1"/>
      <w:numFmt w:val="bullet"/>
      <w:lvlText w:val=""/>
      <w:lvlJc w:val="left"/>
      <w:pPr>
        <w:ind w:left="1080" w:hanging="360"/>
      </w:pPr>
      <w:rPr>
        <w:rFonts w:ascii="Symbol" w:hAnsi="Symbol"/>
      </w:rPr>
    </w:lvl>
    <w:lvl w:ilvl="2" w:tplc="DD8A713C">
      <w:start w:val="1"/>
      <w:numFmt w:val="bullet"/>
      <w:lvlText w:val=""/>
      <w:lvlJc w:val="left"/>
      <w:pPr>
        <w:ind w:left="1080" w:hanging="360"/>
      </w:pPr>
      <w:rPr>
        <w:rFonts w:ascii="Symbol" w:hAnsi="Symbol"/>
      </w:rPr>
    </w:lvl>
    <w:lvl w:ilvl="3" w:tplc="6EB6A3AA">
      <w:start w:val="1"/>
      <w:numFmt w:val="bullet"/>
      <w:lvlText w:val=""/>
      <w:lvlJc w:val="left"/>
      <w:pPr>
        <w:ind w:left="1080" w:hanging="360"/>
      </w:pPr>
      <w:rPr>
        <w:rFonts w:ascii="Symbol" w:hAnsi="Symbol"/>
      </w:rPr>
    </w:lvl>
    <w:lvl w:ilvl="4" w:tplc="47D2D7EC">
      <w:start w:val="1"/>
      <w:numFmt w:val="bullet"/>
      <w:lvlText w:val=""/>
      <w:lvlJc w:val="left"/>
      <w:pPr>
        <w:ind w:left="1080" w:hanging="360"/>
      </w:pPr>
      <w:rPr>
        <w:rFonts w:ascii="Symbol" w:hAnsi="Symbol"/>
      </w:rPr>
    </w:lvl>
    <w:lvl w:ilvl="5" w:tplc="F484320C">
      <w:start w:val="1"/>
      <w:numFmt w:val="bullet"/>
      <w:lvlText w:val=""/>
      <w:lvlJc w:val="left"/>
      <w:pPr>
        <w:ind w:left="1080" w:hanging="360"/>
      </w:pPr>
      <w:rPr>
        <w:rFonts w:ascii="Symbol" w:hAnsi="Symbol"/>
      </w:rPr>
    </w:lvl>
    <w:lvl w:ilvl="6" w:tplc="63D41C26">
      <w:start w:val="1"/>
      <w:numFmt w:val="bullet"/>
      <w:lvlText w:val=""/>
      <w:lvlJc w:val="left"/>
      <w:pPr>
        <w:ind w:left="1080" w:hanging="360"/>
      </w:pPr>
      <w:rPr>
        <w:rFonts w:ascii="Symbol" w:hAnsi="Symbol"/>
      </w:rPr>
    </w:lvl>
    <w:lvl w:ilvl="7" w:tplc="639261D4">
      <w:start w:val="1"/>
      <w:numFmt w:val="bullet"/>
      <w:lvlText w:val=""/>
      <w:lvlJc w:val="left"/>
      <w:pPr>
        <w:ind w:left="1080" w:hanging="360"/>
      </w:pPr>
      <w:rPr>
        <w:rFonts w:ascii="Symbol" w:hAnsi="Symbol"/>
      </w:rPr>
    </w:lvl>
    <w:lvl w:ilvl="8" w:tplc="854AE240">
      <w:start w:val="1"/>
      <w:numFmt w:val="bullet"/>
      <w:lvlText w:val=""/>
      <w:lvlJc w:val="left"/>
      <w:pPr>
        <w:ind w:left="1080" w:hanging="360"/>
      </w:pPr>
      <w:rPr>
        <w:rFonts w:ascii="Symbol" w:hAnsi="Symbol"/>
      </w:rPr>
    </w:lvl>
  </w:abstractNum>
  <w:abstractNum w:abstractNumId="67" w15:restartNumberingAfterBreak="0">
    <w:nsid w:val="215B519C"/>
    <w:multiLevelType w:val="hybridMultilevel"/>
    <w:tmpl w:val="42701C4E"/>
    <w:lvl w:ilvl="0" w:tplc="2A22E8E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215D2E80"/>
    <w:multiLevelType w:val="hybridMultilevel"/>
    <w:tmpl w:val="740A3372"/>
    <w:lvl w:ilvl="0" w:tplc="041D0001">
      <w:start w:val="1"/>
      <w:numFmt w:val="bullet"/>
      <w:lvlText w:val=""/>
      <w:lvlJc w:val="left"/>
      <w:pPr>
        <w:ind w:left="1069" w:hanging="360"/>
      </w:pPr>
      <w:rPr>
        <w:rFonts w:ascii="Symbol" w:hAnsi="Symbol" w:hint="default"/>
      </w:rPr>
    </w:lvl>
    <w:lvl w:ilvl="1" w:tplc="041D0003">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69" w15:restartNumberingAfterBreak="0">
    <w:nsid w:val="22204F22"/>
    <w:multiLevelType w:val="multilevel"/>
    <w:tmpl w:val="29D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271744D"/>
    <w:multiLevelType w:val="hybridMultilevel"/>
    <w:tmpl w:val="32F89B62"/>
    <w:lvl w:ilvl="0" w:tplc="006A610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22BC3638"/>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2BF3C8F"/>
    <w:multiLevelType w:val="multilevel"/>
    <w:tmpl w:val="F006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3AE7FA0"/>
    <w:multiLevelType w:val="hybridMultilevel"/>
    <w:tmpl w:val="F24CF2BA"/>
    <w:lvl w:ilvl="0" w:tplc="041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50F3E92"/>
    <w:multiLevelType w:val="hybridMultilevel"/>
    <w:tmpl w:val="813C796C"/>
    <w:lvl w:ilvl="0" w:tplc="9DE4C9F4">
      <w:start w:val="1"/>
      <w:numFmt w:val="bullet"/>
      <w:lvlText w:val=""/>
      <w:lvlJc w:val="left"/>
      <w:pPr>
        <w:ind w:left="720" w:hanging="360"/>
      </w:pPr>
      <w:rPr>
        <w:rFonts w:ascii="Symbol" w:hAnsi="Symbol" w:hint="default"/>
      </w:rPr>
    </w:lvl>
    <w:lvl w:ilvl="1" w:tplc="4A08763C">
      <w:start w:val="1"/>
      <w:numFmt w:val="bullet"/>
      <w:lvlText w:val="o"/>
      <w:lvlJc w:val="left"/>
      <w:pPr>
        <w:ind w:left="1440" w:hanging="360"/>
      </w:pPr>
      <w:rPr>
        <w:rFonts w:ascii="Courier New" w:hAnsi="Courier New" w:hint="default"/>
      </w:rPr>
    </w:lvl>
    <w:lvl w:ilvl="2" w:tplc="3C2E0B9C">
      <w:start w:val="1"/>
      <w:numFmt w:val="bullet"/>
      <w:lvlText w:val=""/>
      <w:lvlJc w:val="left"/>
      <w:pPr>
        <w:ind w:left="2160" w:hanging="360"/>
      </w:pPr>
      <w:rPr>
        <w:rFonts w:ascii="Wingdings" w:hAnsi="Wingdings" w:hint="default"/>
      </w:rPr>
    </w:lvl>
    <w:lvl w:ilvl="3" w:tplc="9B6644F0">
      <w:start w:val="1"/>
      <w:numFmt w:val="bullet"/>
      <w:lvlText w:val=""/>
      <w:lvlJc w:val="left"/>
      <w:pPr>
        <w:ind w:left="2880" w:hanging="360"/>
      </w:pPr>
      <w:rPr>
        <w:rFonts w:ascii="Symbol" w:hAnsi="Symbol" w:hint="default"/>
      </w:rPr>
    </w:lvl>
    <w:lvl w:ilvl="4" w:tplc="FC12D2CE">
      <w:start w:val="1"/>
      <w:numFmt w:val="bullet"/>
      <w:lvlText w:val="o"/>
      <w:lvlJc w:val="left"/>
      <w:pPr>
        <w:ind w:left="3600" w:hanging="360"/>
      </w:pPr>
      <w:rPr>
        <w:rFonts w:ascii="Courier New" w:hAnsi="Courier New" w:hint="default"/>
      </w:rPr>
    </w:lvl>
    <w:lvl w:ilvl="5" w:tplc="DE18DAEE">
      <w:start w:val="1"/>
      <w:numFmt w:val="bullet"/>
      <w:lvlText w:val=""/>
      <w:lvlJc w:val="left"/>
      <w:pPr>
        <w:ind w:left="4320" w:hanging="360"/>
      </w:pPr>
      <w:rPr>
        <w:rFonts w:ascii="Wingdings" w:hAnsi="Wingdings" w:hint="default"/>
      </w:rPr>
    </w:lvl>
    <w:lvl w:ilvl="6" w:tplc="86DC449E">
      <w:start w:val="1"/>
      <w:numFmt w:val="bullet"/>
      <w:lvlText w:val=""/>
      <w:lvlJc w:val="left"/>
      <w:pPr>
        <w:ind w:left="5040" w:hanging="360"/>
      </w:pPr>
      <w:rPr>
        <w:rFonts w:ascii="Symbol" w:hAnsi="Symbol" w:hint="default"/>
      </w:rPr>
    </w:lvl>
    <w:lvl w:ilvl="7" w:tplc="EB6AF256">
      <w:start w:val="1"/>
      <w:numFmt w:val="bullet"/>
      <w:lvlText w:val="o"/>
      <w:lvlJc w:val="left"/>
      <w:pPr>
        <w:ind w:left="5760" w:hanging="360"/>
      </w:pPr>
      <w:rPr>
        <w:rFonts w:ascii="Courier New" w:hAnsi="Courier New" w:hint="default"/>
      </w:rPr>
    </w:lvl>
    <w:lvl w:ilvl="8" w:tplc="54C435C6">
      <w:start w:val="1"/>
      <w:numFmt w:val="bullet"/>
      <w:lvlText w:val=""/>
      <w:lvlJc w:val="left"/>
      <w:pPr>
        <w:ind w:left="6480" w:hanging="360"/>
      </w:pPr>
      <w:rPr>
        <w:rFonts w:ascii="Wingdings" w:hAnsi="Wingdings" w:hint="default"/>
      </w:rPr>
    </w:lvl>
  </w:abstractNum>
  <w:abstractNum w:abstractNumId="75" w15:restartNumberingAfterBreak="0">
    <w:nsid w:val="250F7843"/>
    <w:multiLevelType w:val="hybridMultilevel"/>
    <w:tmpl w:val="02F02A00"/>
    <w:lvl w:ilvl="0" w:tplc="A5E6090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261D6D47"/>
    <w:multiLevelType w:val="hybridMultilevel"/>
    <w:tmpl w:val="286E6180"/>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26304181"/>
    <w:multiLevelType w:val="hybridMultilevel"/>
    <w:tmpl w:val="68749814"/>
    <w:lvl w:ilvl="0" w:tplc="C8A4F79E">
      <w:start w:val="1"/>
      <w:numFmt w:val="bullet"/>
      <w:lvlText w:val=""/>
      <w:lvlJc w:val="left"/>
      <w:pPr>
        <w:ind w:left="1080" w:hanging="360"/>
      </w:pPr>
      <w:rPr>
        <w:rFonts w:ascii="Symbol" w:hAnsi="Symbol"/>
      </w:rPr>
    </w:lvl>
    <w:lvl w:ilvl="1" w:tplc="28523B94">
      <w:start w:val="1"/>
      <w:numFmt w:val="bullet"/>
      <w:lvlText w:val=""/>
      <w:lvlJc w:val="left"/>
      <w:pPr>
        <w:ind w:left="1080" w:hanging="360"/>
      </w:pPr>
      <w:rPr>
        <w:rFonts w:ascii="Symbol" w:hAnsi="Symbol"/>
      </w:rPr>
    </w:lvl>
    <w:lvl w:ilvl="2" w:tplc="1936B6C0">
      <w:start w:val="1"/>
      <w:numFmt w:val="bullet"/>
      <w:lvlText w:val=""/>
      <w:lvlJc w:val="left"/>
      <w:pPr>
        <w:ind w:left="1080" w:hanging="360"/>
      </w:pPr>
      <w:rPr>
        <w:rFonts w:ascii="Symbol" w:hAnsi="Symbol"/>
      </w:rPr>
    </w:lvl>
    <w:lvl w:ilvl="3" w:tplc="524A403A">
      <w:start w:val="1"/>
      <w:numFmt w:val="bullet"/>
      <w:lvlText w:val=""/>
      <w:lvlJc w:val="left"/>
      <w:pPr>
        <w:ind w:left="1080" w:hanging="360"/>
      </w:pPr>
      <w:rPr>
        <w:rFonts w:ascii="Symbol" w:hAnsi="Symbol"/>
      </w:rPr>
    </w:lvl>
    <w:lvl w:ilvl="4" w:tplc="5E66D282">
      <w:start w:val="1"/>
      <w:numFmt w:val="bullet"/>
      <w:lvlText w:val=""/>
      <w:lvlJc w:val="left"/>
      <w:pPr>
        <w:ind w:left="1080" w:hanging="360"/>
      </w:pPr>
      <w:rPr>
        <w:rFonts w:ascii="Symbol" w:hAnsi="Symbol"/>
      </w:rPr>
    </w:lvl>
    <w:lvl w:ilvl="5" w:tplc="40E2AC10">
      <w:start w:val="1"/>
      <w:numFmt w:val="bullet"/>
      <w:lvlText w:val=""/>
      <w:lvlJc w:val="left"/>
      <w:pPr>
        <w:ind w:left="1080" w:hanging="360"/>
      </w:pPr>
      <w:rPr>
        <w:rFonts w:ascii="Symbol" w:hAnsi="Symbol"/>
      </w:rPr>
    </w:lvl>
    <w:lvl w:ilvl="6" w:tplc="75E43E68">
      <w:start w:val="1"/>
      <w:numFmt w:val="bullet"/>
      <w:lvlText w:val=""/>
      <w:lvlJc w:val="left"/>
      <w:pPr>
        <w:ind w:left="1080" w:hanging="360"/>
      </w:pPr>
      <w:rPr>
        <w:rFonts w:ascii="Symbol" w:hAnsi="Symbol"/>
      </w:rPr>
    </w:lvl>
    <w:lvl w:ilvl="7" w:tplc="7152F08A">
      <w:start w:val="1"/>
      <w:numFmt w:val="bullet"/>
      <w:lvlText w:val=""/>
      <w:lvlJc w:val="left"/>
      <w:pPr>
        <w:ind w:left="1080" w:hanging="360"/>
      </w:pPr>
      <w:rPr>
        <w:rFonts w:ascii="Symbol" w:hAnsi="Symbol"/>
      </w:rPr>
    </w:lvl>
    <w:lvl w:ilvl="8" w:tplc="8E480CF0">
      <w:start w:val="1"/>
      <w:numFmt w:val="bullet"/>
      <w:lvlText w:val=""/>
      <w:lvlJc w:val="left"/>
      <w:pPr>
        <w:ind w:left="1080" w:hanging="360"/>
      </w:pPr>
      <w:rPr>
        <w:rFonts w:ascii="Symbol" w:hAnsi="Symbol"/>
      </w:rPr>
    </w:lvl>
  </w:abstractNum>
  <w:abstractNum w:abstractNumId="78" w15:restartNumberingAfterBreak="0">
    <w:nsid w:val="268564DD"/>
    <w:multiLevelType w:val="hybridMultilevel"/>
    <w:tmpl w:val="82FC99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275A59BF"/>
    <w:multiLevelType w:val="hybridMultilevel"/>
    <w:tmpl w:val="88C675C4"/>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1EEEE8A8">
      <w:start w:val="1"/>
      <w:numFmt w:val="bullet"/>
      <w:lvlText w:val="•"/>
      <w:lvlJc w:val="left"/>
      <w:pPr>
        <w:ind w:left="2160" w:hanging="360"/>
      </w:pPr>
      <w:rPr>
        <w:rFonts w:ascii="Arial" w:hAnsi="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27854E06"/>
    <w:multiLevelType w:val="multilevel"/>
    <w:tmpl w:val="1A94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78B36F1"/>
    <w:multiLevelType w:val="hybridMultilevel"/>
    <w:tmpl w:val="16B8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8893FEA"/>
    <w:multiLevelType w:val="hybridMultilevel"/>
    <w:tmpl w:val="4D5A0F92"/>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3" w15:restartNumberingAfterBreak="0">
    <w:nsid w:val="29671F3E"/>
    <w:multiLevelType w:val="hybridMultilevel"/>
    <w:tmpl w:val="ADA64E18"/>
    <w:lvl w:ilvl="0" w:tplc="04100001">
      <w:start w:val="1"/>
      <w:numFmt w:val="bullet"/>
      <w:lvlText w:val=""/>
      <w:lvlJc w:val="left"/>
      <w:pPr>
        <w:ind w:left="1146" w:hanging="360"/>
      </w:pPr>
      <w:rPr>
        <w:rFonts w:ascii="Symbol" w:hAnsi="Symbol" w:hint="default"/>
      </w:rPr>
    </w:lvl>
    <w:lvl w:ilvl="1" w:tplc="8F7AE442">
      <w:start w:val="1"/>
      <w:numFmt w:val="lowerLetter"/>
      <w:lvlText w:val="%2."/>
      <w:lvlJc w:val="left"/>
      <w:pPr>
        <w:ind w:left="1866" w:hanging="360"/>
      </w:pPr>
    </w:lvl>
    <w:lvl w:ilvl="2" w:tplc="3EFEE082">
      <w:start w:val="1"/>
      <w:numFmt w:val="lowerRoman"/>
      <w:lvlText w:val="%3."/>
      <w:lvlJc w:val="right"/>
      <w:pPr>
        <w:ind w:left="2586" w:hanging="180"/>
      </w:pPr>
    </w:lvl>
    <w:lvl w:ilvl="3" w:tplc="6018D16A">
      <w:start w:val="1"/>
      <w:numFmt w:val="decimal"/>
      <w:lvlText w:val="%4."/>
      <w:lvlJc w:val="left"/>
      <w:pPr>
        <w:ind w:left="3306" w:hanging="360"/>
      </w:pPr>
    </w:lvl>
    <w:lvl w:ilvl="4" w:tplc="76CAC1C6">
      <w:start w:val="1"/>
      <w:numFmt w:val="lowerLetter"/>
      <w:lvlText w:val="%5."/>
      <w:lvlJc w:val="left"/>
      <w:pPr>
        <w:ind w:left="4026" w:hanging="360"/>
      </w:pPr>
    </w:lvl>
    <w:lvl w:ilvl="5" w:tplc="6A408066">
      <w:start w:val="1"/>
      <w:numFmt w:val="lowerRoman"/>
      <w:lvlText w:val="%6."/>
      <w:lvlJc w:val="right"/>
      <w:pPr>
        <w:ind w:left="4746" w:hanging="180"/>
      </w:pPr>
    </w:lvl>
    <w:lvl w:ilvl="6" w:tplc="64C8D1A0">
      <w:start w:val="1"/>
      <w:numFmt w:val="decimal"/>
      <w:lvlText w:val="%7."/>
      <w:lvlJc w:val="left"/>
      <w:pPr>
        <w:ind w:left="5466" w:hanging="360"/>
      </w:pPr>
    </w:lvl>
    <w:lvl w:ilvl="7" w:tplc="7A8E102E">
      <w:start w:val="1"/>
      <w:numFmt w:val="lowerLetter"/>
      <w:lvlText w:val="%8."/>
      <w:lvlJc w:val="left"/>
      <w:pPr>
        <w:ind w:left="6186" w:hanging="360"/>
      </w:pPr>
    </w:lvl>
    <w:lvl w:ilvl="8" w:tplc="019AA7B8">
      <w:start w:val="1"/>
      <w:numFmt w:val="lowerRoman"/>
      <w:lvlText w:val="%9."/>
      <w:lvlJc w:val="right"/>
      <w:pPr>
        <w:ind w:left="6906" w:hanging="180"/>
      </w:pPr>
    </w:lvl>
  </w:abstractNum>
  <w:abstractNum w:abstractNumId="84" w15:restartNumberingAfterBreak="0">
    <w:nsid w:val="296D6881"/>
    <w:multiLevelType w:val="hybridMultilevel"/>
    <w:tmpl w:val="02F034B4"/>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85" w15:restartNumberingAfterBreak="0">
    <w:nsid w:val="29A25ADC"/>
    <w:multiLevelType w:val="hybridMultilevel"/>
    <w:tmpl w:val="EE049B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29AC7600"/>
    <w:multiLevelType w:val="multilevel"/>
    <w:tmpl w:val="3B4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2A3B2C"/>
    <w:multiLevelType w:val="hybridMultilevel"/>
    <w:tmpl w:val="95764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2A6B0AE8"/>
    <w:multiLevelType w:val="multilevel"/>
    <w:tmpl w:val="4206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A775B8A"/>
    <w:multiLevelType w:val="hybridMultilevel"/>
    <w:tmpl w:val="F3800310"/>
    <w:lvl w:ilvl="0" w:tplc="FFFFFFFF">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2AAA7D8F"/>
    <w:multiLevelType w:val="hybridMultilevel"/>
    <w:tmpl w:val="5C08118C"/>
    <w:lvl w:ilvl="0" w:tplc="2050E132">
      <w:start w:val="1"/>
      <w:numFmt w:val="bullet"/>
      <w:lvlText w:val="­"/>
      <w:lvlJc w:val="left"/>
      <w:pPr>
        <w:ind w:left="720" w:hanging="360"/>
      </w:pPr>
      <w:rPr>
        <w:rFonts w:ascii="Arial" w:hAnsi="Aria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1" w15:restartNumberingAfterBreak="0">
    <w:nsid w:val="2B5D4012"/>
    <w:multiLevelType w:val="hybridMultilevel"/>
    <w:tmpl w:val="60483BC8"/>
    <w:lvl w:ilvl="0" w:tplc="FFFFFFFF">
      <w:start w:val="1"/>
      <w:numFmt w:val="bullet"/>
      <w:lvlText w:val="-"/>
      <w:lvlJc w:val="left"/>
      <w:pPr>
        <w:ind w:left="720" w:hanging="360"/>
      </w:pPr>
      <w:rPr>
        <w:rFonts w:ascii="Arial" w:hAnsi="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2B797B3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2B8E0F5F"/>
    <w:multiLevelType w:val="hybridMultilevel"/>
    <w:tmpl w:val="6B7E36FA"/>
    <w:lvl w:ilvl="0" w:tplc="2C92396A">
      <w:start w:val="1"/>
      <w:numFmt w:val="decimal"/>
      <w:lvlText w:val="%1."/>
      <w:lvlJc w:val="left"/>
      <w:pPr>
        <w:ind w:left="720" w:hanging="360"/>
      </w:pPr>
      <w:rPr>
        <w:rFonts w:hint="default"/>
      </w:rPr>
    </w:lvl>
    <w:lvl w:ilvl="1" w:tplc="A5042216">
      <w:start w:val="71"/>
      <w:numFmt w:val="bullet"/>
      <w:lvlText w:val="•"/>
      <w:lvlJc w:val="left"/>
      <w:pPr>
        <w:ind w:left="1440" w:hanging="360"/>
      </w:pPr>
      <w:rPr>
        <w:rFonts w:ascii="Calibri" w:eastAsia="Calibri" w:hAnsi="Calibri" w:cs="Calibri" w:hint="default"/>
        <w:color w:val="000000"/>
      </w:rPr>
    </w:lvl>
    <w:lvl w:ilvl="2" w:tplc="10641AE0">
      <w:start w:val="1"/>
      <w:numFmt w:val="bullet"/>
      <w:lvlText w:val="-"/>
      <w:lvlJc w:val="left"/>
      <w:pPr>
        <w:ind w:left="2340" w:hanging="360"/>
      </w:pPr>
      <w:rPr>
        <w:rFonts w:ascii="Calibri" w:eastAsia="Calibri" w:hAnsi="Calibri" w:cs="Calibri" w:hint="default"/>
        <w:color w:val="4472C4"/>
      </w:rPr>
    </w:lvl>
    <w:lvl w:ilvl="3" w:tplc="6758FBC8">
      <w:start w:val="1"/>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2B907494"/>
    <w:multiLevelType w:val="hybridMultilevel"/>
    <w:tmpl w:val="4EAA1E40"/>
    <w:lvl w:ilvl="0" w:tplc="A5E60904">
      <w:numFmt w:val="bullet"/>
      <w:lvlText w:val="-"/>
      <w:lvlJc w:val="left"/>
      <w:pPr>
        <w:ind w:left="1778" w:hanging="360"/>
      </w:pPr>
      <w:rPr>
        <w:rFonts w:ascii="Arial" w:eastAsia="Calibri" w:hAnsi="Arial" w:cs="Arial" w:hint="default"/>
      </w:rPr>
    </w:lvl>
    <w:lvl w:ilvl="1" w:tplc="0C0A0003">
      <w:start w:val="1"/>
      <w:numFmt w:val="bullet"/>
      <w:lvlText w:val="o"/>
      <w:lvlJc w:val="left"/>
      <w:pPr>
        <w:ind w:left="2498" w:hanging="360"/>
      </w:pPr>
      <w:rPr>
        <w:rFonts w:ascii="Courier New" w:hAnsi="Courier New" w:cs="Courier New" w:hint="default"/>
      </w:rPr>
    </w:lvl>
    <w:lvl w:ilvl="2" w:tplc="0C0A0005">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95" w15:restartNumberingAfterBreak="0">
    <w:nsid w:val="2C4172A3"/>
    <w:multiLevelType w:val="hybridMultilevel"/>
    <w:tmpl w:val="595C8A92"/>
    <w:lvl w:ilvl="0" w:tplc="2C040B7A">
      <w:start w:val="1"/>
      <w:numFmt w:val="bullet"/>
      <w:pStyle w:val="Sansinterligne"/>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6" w15:restartNumberingAfterBreak="0">
    <w:nsid w:val="2C5F7C67"/>
    <w:multiLevelType w:val="hybridMultilevel"/>
    <w:tmpl w:val="B5AC012A"/>
    <w:lvl w:ilvl="0" w:tplc="0410000F">
      <w:start w:val="1"/>
      <w:numFmt w:val="decimal"/>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7" w15:restartNumberingAfterBreak="0">
    <w:nsid w:val="2C7B2FA7"/>
    <w:multiLevelType w:val="multilevel"/>
    <w:tmpl w:val="C82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CFB554B"/>
    <w:multiLevelType w:val="hybridMultilevel"/>
    <w:tmpl w:val="801C1664"/>
    <w:lvl w:ilvl="0" w:tplc="ACFCAD8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2DC06313"/>
    <w:multiLevelType w:val="hybridMultilevel"/>
    <w:tmpl w:val="15C8DDE6"/>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2E0D75A3"/>
    <w:multiLevelType w:val="hybridMultilevel"/>
    <w:tmpl w:val="9C921D76"/>
    <w:lvl w:ilvl="0" w:tplc="DAC43012">
      <w:start w:val="1"/>
      <w:numFmt w:val="bullet"/>
      <w:lvlText w:val="-"/>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2E506AD6"/>
    <w:multiLevelType w:val="hybridMultilevel"/>
    <w:tmpl w:val="925A113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3" w15:restartNumberingAfterBreak="0">
    <w:nsid w:val="2EF47191"/>
    <w:multiLevelType w:val="hybridMultilevel"/>
    <w:tmpl w:val="22600284"/>
    <w:lvl w:ilvl="0" w:tplc="2050E13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4" w15:restartNumberingAfterBreak="0">
    <w:nsid w:val="2EFA5A00"/>
    <w:multiLevelType w:val="hybridMultilevel"/>
    <w:tmpl w:val="EDDEEAC0"/>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2FC5524E"/>
    <w:multiLevelType w:val="hybridMultilevel"/>
    <w:tmpl w:val="9A3A47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30AF632C"/>
    <w:multiLevelType w:val="hybridMultilevel"/>
    <w:tmpl w:val="64687F0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7" w15:restartNumberingAfterBreak="0">
    <w:nsid w:val="30D21D9B"/>
    <w:multiLevelType w:val="hybridMultilevel"/>
    <w:tmpl w:val="D1146A46"/>
    <w:lvl w:ilvl="0" w:tplc="2C040B7A">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8" w15:restartNumberingAfterBreak="0">
    <w:nsid w:val="30F614E6"/>
    <w:multiLevelType w:val="hybridMultilevel"/>
    <w:tmpl w:val="3F8096CE"/>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313E66EB"/>
    <w:multiLevelType w:val="hybridMultilevel"/>
    <w:tmpl w:val="0824AD1E"/>
    <w:lvl w:ilvl="0" w:tplc="DAC4301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32D54C66"/>
    <w:multiLevelType w:val="multilevel"/>
    <w:tmpl w:val="3B4C1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3AC18A7"/>
    <w:multiLevelType w:val="multilevel"/>
    <w:tmpl w:val="019C2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12" w15:restartNumberingAfterBreak="0">
    <w:nsid w:val="33BD268D"/>
    <w:multiLevelType w:val="hybridMultilevel"/>
    <w:tmpl w:val="76DA1004"/>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362579BC"/>
    <w:multiLevelType w:val="multilevel"/>
    <w:tmpl w:val="24007A38"/>
    <w:lvl w:ilvl="0">
      <w:start w:val="1"/>
      <w:numFmt w:val="decimal"/>
      <w:lvlText w:val="A%1."/>
      <w:lvlJc w:val="left"/>
      <w:pPr>
        <w:ind w:left="644" w:hanging="360"/>
      </w:pPr>
      <w:rPr>
        <w:rFonts w:hint="default"/>
      </w:rPr>
    </w:lvl>
    <w:lvl w:ilvl="1">
      <w:start w:val="1"/>
      <w:numFmt w:val="decimal"/>
      <w:lvlText w:val="A%1.%2."/>
      <w:lvlJc w:val="left"/>
      <w:pPr>
        <w:ind w:left="432" w:hanging="432"/>
      </w:pPr>
      <w:rPr>
        <w:rFonts w:hint="default"/>
      </w:rPr>
    </w:lvl>
    <w:lvl w:ilvl="2">
      <w:start w:val="1"/>
      <w:numFmt w:val="decimal"/>
      <w:lvlText w:val="A%1.%2.%3."/>
      <w:lvlJc w:val="left"/>
      <w:pPr>
        <w:ind w:left="1224" w:hanging="504"/>
      </w:pPr>
      <w:rPr>
        <w:rFonts w:hint="default"/>
      </w:rPr>
    </w:lvl>
    <w:lvl w:ilvl="3">
      <w:start w:val="1"/>
      <w:numFmt w:val="decimal"/>
      <w:lvlText w:val="A%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3630183F"/>
    <w:multiLevelType w:val="hybridMultilevel"/>
    <w:tmpl w:val="A608144C"/>
    <w:lvl w:ilvl="0" w:tplc="2050E132">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365B00F4"/>
    <w:multiLevelType w:val="hybridMultilevel"/>
    <w:tmpl w:val="E05A95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6" w15:restartNumberingAfterBreak="0">
    <w:nsid w:val="36BB7397"/>
    <w:multiLevelType w:val="hybridMultilevel"/>
    <w:tmpl w:val="B608E54A"/>
    <w:lvl w:ilvl="0" w:tplc="04100001">
      <w:start w:val="1"/>
      <w:numFmt w:val="bullet"/>
      <w:lvlText w:val=""/>
      <w:lvlJc w:val="left"/>
      <w:pPr>
        <w:ind w:left="1080" w:hanging="360"/>
      </w:pPr>
      <w:rPr>
        <w:rFonts w:ascii="Symbol" w:hAnsi="Symbol" w:hint="default"/>
      </w:rPr>
    </w:lvl>
    <w:lvl w:ilvl="1" w:tplc="43AC6B9C">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7" w15:restartNumberingAfterBreak="0">
    <w:nsid w:val="37C83A77"/>
    <w:multiLevelType w:val="hybridMultilevel"/>
    <w:tmpl w:val="4CF849A2"/>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380B2A4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89C7F16"/>
    <w:multiLevelType w:val="hybridMultilevel"/>
    <w:tmpl w:val="6F2091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38F1478B"/>
    <w:multiLevelType w:val="hybridMultilevel"/>
    <w:tmpl w:val="DAA0EE96"/>
    <w:lvl w:ilvl="0" w:tplc="2A22E8E0">
      <w:numFmt w:val="bullet"/>
      <w:lvlText w:val="•"/>
      <w:lvlJc w:val="left"/>
      <w:pPr>
        <w:ind w:left="1440" w:hanging="360"/>
      </w:pPr>
      <w:rPr>
        <w:rFonts w:ascii="Arial" w:eastAsiaTheme="minorHAnsi" w:hAnsi="Arial" w:cs="Arial" w:hint="default"/>
      </w:rPr>
    </w:lvl>
    <w:lvl w:ilvl="1" w:tplc="041D0003">
      <w:start w:val="1"/>
      <w:numFmt w:val="bullet"/>
      <w:lvlText w:val="o"/>
      <w:lvlJc w:val="left"/>
      <w:pPr>
        <w:ind w:left="2160" w:hanging="360"/>
      </w:pPr>
      <w:rPr>
        <w:rFonts w:ascii="Courier New" w:hAnsi="Courier New" w:cs="Courier New" w:hint="default"/>
      </w:rPr>
    </w:lvl>
    <w:lvl w:ilvl="2" w:tplc="2050E132">
      <w:start w:val="1"/>
      <w:numFmt w:val="bullet"/>
      <w:lvlText w:val="­"/>
      <w:lvlJc w:val="left"/>
      <w:pPr>
        <w:ind w:left="2880" w:hanging="360"/>
      </w:pPr>
      <w:rPr>
        <w:rFonts w:ascii="Arial" w:hAnsi="Arial" w:hint="default"/>
      </w:rPr>
    </w:lvl>
    <w:lvl w:ilvl="3" w:tplc="041D000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1" w15:restartNumberingAfterBreak="0">
    <w:nsid w:val="391768D7"/>
    <w:multiLevelType w:val="multilevel"/>
    <w:tmpl w:val="3CAE6A70"/>
    <w:lvl w:ilvl="0">
      <w:start w:val="1"/>
      <w:numFmt w:val="decimal"/>
      <w:pStyle w:val="Titre1"/>
      <w:lvlText w:val="%1."/>
      <w:lvlJc w:val="left"/>
      <w:pPr>
        <w:ind w:left="644" w:hanging="360"/>
      </w:pPr>
      <w:rPr>
        <w:color w:val="auto"/>
      </w:rPr>
    </w:lvl>
    <w:lvl w:ilvl="1">
      <w:start w:val="1"/>
      <w:numFmt w:val="decimal"/>
      <w:pStyle w:val="Titre2"/>
      <w:lvlText w:val="%1.%2."/>
      <w:lvlJc w:val="left"/>
      <w:pPr>
        <w:ind w:left="1850" w:hanging="432"/>
      </w:pPr>
    </w:lvl>
    <w:lvl w:ilvl="2">
      <w:start w:val="1"/>
      <w:numFmt w:val="decimal"/>
      <w:pStyle w:val="Titre3"/>
      <w:lvlText w:val="%1.%2.%3."/>
      <w:lvlJc w:val="left"/>
      <w:pPr>
        <w:ind w:left="2773" w:hanging="504"/>
      </w:pPr>
    </w:lvl>
    <w:lvl w:ilvl="3">
      <w:start w:val="1"/>
      <w:numFmt w:val="decimal"/>
      <w:lvlText w:val="%1.%2.%3.%4."/>
      <w:lvlJc w:val="left"/>
      <w:pPr>
        <w:ind w:left="7257" w:hanging="648"/>
      </w:pPr>
    </w:lvl>
    <w:lvl w:ilvl="4">
      <w:start w:val="1"/>
      <w:numFmt w:val="bullet"/>
      <w:lvlText w:val=""/>
      <w:lvlJc w:val="left"/>
      <w:pPr>
        <w:ind w:left="7761" w:hanging="792"/>
      </w:pPr>
      <w:rPr>
        <w:rFonts w:ascii="Symbol" w:hAnsi="Symbol" w:hint="default"/>
      </w:rPr>
    </w:lvl>
    <w:lvl w:ilvl="5">
      <w:start w:val="1"/>
      <w:numFmt w:val="decimal"/>
      <w:lvlText w:val="%1.%2.%3.%4.%5.%6."/>
      <w:lvlJc w:val="left"/>
      <w:pPr>
        <w:ind w:left="8265" w:hanging="936"/>
      </w:pPr>
    </w:lvl>
    <w:lvl w:ilvl="6">
      <w:start w:val="1"/>
      <w:numFmt w:val="decimal"/>
      <w:lvlText w:val="%1.%2.%3.%4.%5.%6.%7."/>
      <w:lvlJc w:val="left"/>
      <w:pPr>
        <w:ind w:left="8769" w:hanging="1080"/>
      </w:pPr>
    </w:lvl>
    <w:lvl w:ilvl="7">
      <w:start w:val="1"/>
      <w:numFmt w:val="decimal"/>
      <w:lvlText w:val="%1.%2.%3.%4.%5.%6.%7.%8."/>
      <w:lvlJc w:val="left"/>
      <w:pPr>
        <w:ind w:left="9273" w:hanging="1224"/>
      </w:pPr>
    </w:lvl>
    <w:lvl w:ilvl="8">
      <w:start w:val="1"/>
      <w:numFmt w:val="decimal"/>
      <w:lvlText w:val="%1.%2.%3.%4.%5.%6.%7.%8.%9."/>
      <w:lvlJc w:val="left"/>
      <w:pPr>
        <w:ind w:left="9849" w:hanging="1440"/>
      </w:pPr>
    </w:lvl>
  </w:abstractNum>
  <w:abstractNum w:abstractNumId="122" w15:restartNumberingAfterBreak="0">
    <w:nsid w:val="3AC73237"/>
    <w:multiLevelType w:val="hybridMultilevel"/>
    <w:tmpl w:val="548875FA"/>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3BB370FA"/>
    <w:multiLevelType w:val="hybridMultilevel"/>
    <w:tmpl w:val="DA442486"/>
    <w:lvl w:ilvl="0" w:tplc="8AA8CC28">
      <w:start w:val="1"/>
      <w:numFmt w:val="bullet"/>
      <w:lvlText w:val=""/>
      <w:lvlJc w:val="left"/>
      <w:pPr>
        <w:ind w:left="1440" w:hanging="360"/>
      </w:pPr>
      <w:rPr>
        <w:rFonts w:ascii="Symbol" w:hAnsi="Symbol"/>
      </w:rPr>
    </w:lvl>
    <w:lvl w:ilvl="1" w:tplc="B64E71EC">
      <w:start w:val="1"/>
      <w:numFmt w:val="bullet"/>
      <w:lvlText w:val=""/>
      <w:lvlJc w:val="left"/>
      <w:pPr>
        <w:ind w:left="1440" w:hanging="360"/>
      </w:pPr>
      <w:rPr>
        <w:rFonts w:ascii="Symbol" w:hAnsi="Symbol"/>
      </w:rPr>
    </w:lvl>
    <w:lvl w:ilvl="2" w:tplc="04544C3A">
      <w:start w:val="1"/>
      <w:numFmt w:val="bullet"/>
      <w:lvlText w:val=""/>
      <w:lvlJc w:val="left"/>
      <w:pPr>
        <w:ind w:left="1440" w:hanging="360"/>
      </w:pPr>
      <w:rPr>
        <w:rFonts w:ascii="Symbol" w:hAnsi="Symbol"/>
      </w:rPr>
    </w:lvl>
    <w:lvl w:ilvl="3" w:tplc="C0A4D862">
      <w:start w:val="1"/>
      <w:numFmt w:val="bullet"/>
      <w:lvlText w:val=""/>
      <w:lvlJc w:val="left"/>
      <w:pPr>
        <w:ind w:left="1440" w:hanging="360"/>
      </w:pPr>
      <w:rPr>
        <w:rFonts w:ascii="Symbol" w:hAnsi="Symbol"/>
      </w:rPr>
    </w:lvl>
    <w:lvl w:ilvl="4" w:tplc="D4B0FAA6">
      <w:start w:val="1"/>
      <w:numFmt w:val="bullet"/>
      <w:lvlText w:val=""/>
      <w:lvlJc w:val="left"/>
      <w:pPr>
        <w:ind w:left="1440" w:hanging="360"/>
      </w:pPr>
      <w:rPr>
        <w:rFonts w:ascii="Symbol" w:hAnsi="Symbol"/>
      </w:rPr>
    </w:lvl>
    <w:lvl w:ilvl="5" w:tplc="4120C1EE">
      <w:start w:val="1"/>
      <w:numFmt w:val="bullet"/>
      <w:lvlText w:val=""/>
      <w:lvlJc w:val="left"/>
      <w:pPr>
        <w:ind w:left="1440" w:hanging="360"/>
      </w:pPr>
      <w:rPr>
        <w:rFonts w:ascii="Symbol" w:hAnsi="Symbol"/>
      </w:rPr>
    </w:lvl>
    <w:lvl w:ilvl="6" w:tplc="73FCEFBE">
      <w:start w:val="1"/>
      <w:numFmt w:val="bullet"/>
      <w:lvlText w:val=""/>
      <w:lvlJc w:val="left"/>
      <w:pPr>
        <w:ind w:left="1440" w:hanging="360"/>
      </w:pPr>
      <w:rPr>
        <w:rFonts w:ascii="Symbol" w:hAnsi="Symbol"/>
      </w:rPr>
    </w:lvl>
    <w:lvl w:ilvl="7" w:tplc="F85ECFE2">
      <w:start w:val="1"/>
      <w:numFmt w:val="bullet"/>
      <w:lvlText w:val=""/>
      <w:lvlJc w:val="left"/>
      <w:pPr>
        <w:ind w:left="1440" w:hanging="360"/>
      </w:pPr>
      <w:rPr>
        <w:rFonts w:ascii="Symbol" w:hAnsi="Symbol"/>
      </w:rPr>
    </w:lvl>
    <w:lvl w:ilvl="8" w:tplc="C40C97AC">
      <w:start w:val="1"/>
      <w:numFmt w:val="bullet"/>
      <w:lvlText w:val=""/>
      <w:lvlJc w:val="left"/>
      <w:pPr>
        <w:ind w:left="1440" w:hanging="360"/>
      </w:pPr>
      <w:rPr>
        <w:rFonts w:ascii="Symbol" w:hAnsi="Symbol"/>
      </w:rPr>
    </w:lvl>
  </w:abstractNum>
  <w:abstractNum w:abstractNumId="124" w15:restartNumberingAfterBreak="0">
    <w:nsid w:val="3BE45297"/>
    <w:multiLevelType w:val="hybridMultilevel"/>
    <w:tmpl w:val="6640176C"/>
    <w:lvl w:ilvl="0" w:tplc="A4340336">
      <w:numFmt w:val="bullet"/>
      <w:lvlText w:val="-"/>
      <w:lvlJc w:val="left"/>
      <w:pPr>
        <w:ind w:left="720" w:hanging="360"/>
      </w:pPr>
      <w:rPr>
        <w:rFonts w:ascii="Segoe UI" w:eastAsia="Times New Roman"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3C252808"/>
    <w:multiLevelType w:val="hybridMultilevel"/>
    <w:tmpl w:val="076E5E9C"/>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3C7E5F86"/>
    <w:multiLevelType w:val="hybridMultilevel"/>
    <w:tmpl w:val="CC822664"/>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7" w15:restartNumberingAfterBreak="0">
    <w:nsid w:val="3CD61123"/>
    <w:multiLevelType w:val="hybridMultilevel"/>
    <w:tmpl w:val="EF3A1252"/>
    <w:lvl w:ilvl="0" w:tplc="04090001">
      <w:start w:val="1"/>
      <w:numFmt w:val="bullet"/>
      <w:lvlText w:val=""/>
      <w:lvlJc w:val="left"/>
      <w:pPr>
        <w:ind w:left="720" w:hanging="360"/>
      </w:pPr>
      <w:rPr>
        <w:rFonts w:ascii="Symbol" w:hAnsi="Symbol" w:hint="default"/>
      </w:rPr>
    </w:lvl>
    <w:lvl w:ilvl="1" w:tplc="DAC43012">
      <w:start w:val="1"/>
      <w:numFmt w:val="bullet"/>
      <w:lvlText w:val="-"/>
      <w:lvlJc w:val="left"/>
      <w:pPr>
        <w:ind w:left="14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8886B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DE3742B"/>
    <w:multiLevelType w:val="hybridMultilevel"/>
    <w:tmpl w:val="BBBEF1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3E349E6B"/>
    <w:multiLevelType w:val="hybridMultilevel"/>
    <w:tmpl w:val="E36663C6"/>
    <w:lvl w:ilvl="0" w:tplc="36ACF5FE">
      <w:start w:val="1"/>
      <w:numFmt w:val="bullet"/>
      <w:lvlText w:val=""/>
      <w:lvlJc w:val="left"/>
      <w:pPr>
        <w:ind w:left="1069" w:hanging="360"/>
      </w:pPr>
      <w:rPr>
        <w:rFonts w:ascii="Symbol" w:hAnsi="Symbol" w:hint="default"/>
      </w:rPr>
    </w:lvl>
    <w:lvl w:ilvl="1" w:tplc="CFAC7E56">
      <w:start w:val="1"/>
      <w:numFmt w:val="bullet"/>
      <w:lvlText w:val="o"/>
      <w:lvlJc w:val="left"/>
      <w:pPr>
        <w:ind w:left="1789" w:hanging="360"/>
      </w:pPr>
      <w:rPr>
        <w:rFonts w:ascii="Courier New" w:hAnsi="Courier New" w:hint="default"/>
      </w:rPr>
    </w:lvl>
    <w:lvl w:ilvl="2" w:tplc="22A688A4">
      <w:start w:val="1"/>
      <w:numFmt w:val="bullet"/>
      <w:lvlText w:val=""/>
      <w:lvlJc w:val="left"/>
      <w:pPr>
        <w:ind w:left="2509" w:hanging="360"/>
      </w:pPr>
      <w:rPr>
        <w:rFonts w:ascii="Wingdings" w:hAnsi="Wingdings" w:hint="default"/>
      </w:rPr>
    </w:lvl>
    <w:lvl w:ilvl="3" w:tplc="A4362E5A">
      <w:start w:val="1"/>
      <w:numFmt w:val="bullet"/>
      <w:lvlText w:val=""/>
      <w:lvlJc w:val="left"/>
      <w:pPr>
        <w:ind w:left="3229" w:hanging="360"/>
      </w:pPr>
      <w:rPr>
        <w:rFonts w:ascii="Symbol" w:hAnsi="Symbol" w:hint="default"/>
      </w:rPr>
    </w:lvl>
    <w:lvl w:ilvl="4" w:tplc="893679F2">
      <w:start w:val="1"/>
      <w:numFmt w:val="bullet"/>
      <w:lvlText w:val="o"/>
      <w:lvlJc w:val="left"/>
      <w:pPr>
        <w:ind w:left="3949" w:hanging="360"/>
      </w:pPr>
      <w:rPr>
        <w:rFonts w:ascii="Courier New" w:hAnsi="Courier New" w:hint="default"/>
      </w:rPr>
    </w:lvl>
    <w:lvl w:ilvl="5" w:tplc="963A9764">
      <w:start w:val="1"/>
      <w:numFmt w:val="bullet"/>
      <w:lvlText w:val=""/>
      <w:lvlJc w:val="left"/>
      <w:pPr>
        <w:ind w:left="4669" w:hanging="360"/>
      </w:pPr>
      <w:rPr>
        <w:rFonts w:ascii="Wingdings" w:hAnsi="Wingdings" w:hint="default"/>
      </w:rPr>
    </w:lvl>
    <w:lvl w:ilvl="6" w:tplc="4DB0C63A">
      <w:start w:val="1"/>
      <w:numFmt w:val="bullet"/>
      <w:lvlText w:val=""/>
      <w:lvlJc w:val="left"/>
      <w:pPr>
        <w:ind w:left="5389" w:hanging="360"/>
      </w:pPr>
      <w:rPr>
        <w:rFonts w:ascii="Symbol" w:hAnsi="Symbol" w:hint="default"/>
      </w:rPr>
    </w:lvl>
    <w:lvl w:ilvl="7" w:tplc="1CE4B88A">
      <w:start w:val="1"/>
      <w:numFmt w:val="bullet"/>
      <w:lvlText w:val="o"/>
      <w:lvlJc w:val="left"/>
      <w:pPr>
        <w:ind w:left="6109" w:hanging="360"/>
      </w:pPr>
      <w:rPr>
        <w:rFonts w:ascii="Courier New" w:hAnsi="Courier New" w:hint="default"/>
      </w:rPr>
    </w:lvl>
    <w:lvl w:ilvl="8" w:tplc="387EC152">
      <w:start w:val="1"/>
      <w:numFmt w:val="bullet"/>
      <w:lvlText w:val=""/>
      <w:lvlJc w:val="left"/>
      <w:pPr>
        <w:ind w:left="6829" w:hanging="360"/>
      </w:pPr>
      <w:rPr>
        <w:rFonts w:ascii="Wingdings" w:hAnsi="Wingdings" w:hint="default"/>
      </w:rPr>
    </w:lvl>
  </w:abstractNum>
  <w:abstractNum w:abstractNumId="130" w15:restartNumberingAfterBreak="0">
    <w:nsid w:val="3E383C2E"/>
    <w:multiLevelType w:val="hybridMultilevel"/>
    <w:tmpl w:val="C31A2FC8"/>
    <w:lvl w:ilvl="0" w:tplc="2050E132">
      <w:start w:val="1"/>
      <w:numFmt w:val="bullet"/>
      <w:lvlText w:val="­"/>
      <w:lvlJc w:val="left"/>
      <w:pPr>
        <w:ind w:left="1004" w:hanging="360"/>
      </w:pPr>
      <w:rPr>
        <w:rFonts w:ascii="Arial" w:hAnsi="Aria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31" w15:restartNumberingAfterBreak="0">
    <w:nsid w:val="3E864E18"/>
    <w:multiLevelType w:val="hybridMultilevel"/>
    <w:tmpl w:val="5374F082"/>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2" w15:restartNumberingAfterBreak="0">
    <w:nsid w:val="3F392356"/>
    <w:multiLevelType w:val="hybridMultilevel"/>
    <w:tmpl w:val="D91234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3" w15:restartNumberingAfterBreak="0">
    <w:nsid w:val="3F710AC3"/>
    <w:multiLevelType w:val="multilevel"/>
    <w:tmpl w:val="24F4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F8D3581"/>
    <w:multiLevelType w:val="hybridMultilevel"/>
    <w:tmpl w:val="B734CC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5" w15:restartNumberingAfterBreak="0">
    <w:nsid w:val="3FBE21A5"/>
    <w:multiLevelType w:val="hybridMultilevel"/>
    <w:tmpl w:val="89C25D8C"/>
    <w:lvl w:ilvl="0" w:tplc="DAC43012">
      <w:start w:val="1"/>
      <w:numFmt w:val="bullet"/>
      <w:lvlText w:val="-"/>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C8384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4A525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2217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CEE50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BE2FD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06B63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3AB5C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2E3DB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400A7C6F"/>
    <w:multiLevelType w:val="hybridMultilevel"/>
    <w:tmpl w:val="1C66DE4E"/>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37" w15:restartNumberingAfterBreak="0">
    <w:nsid w:val="40A94F5E"/>
    <w:multiLevelType w:val="hybridMultilevel"/>
    <w:tmpl w:val="02EEA79E"/>
    <w:lvl w:ilvl="0" w:tplc="99CA7A76">
      <w:start w:val="5"/>
      <w:numFmt w:val="bullet"/>
      <w:lvlText w:val="-"/>
      <w:lvlJc w:val="left"/>
      <w:pPr>
        <w:ind w:left="720" w:hanging="360"/>
      </w:pPr>
      <w:rPr>
        <w:rFonts w:ascii="Times New Roman" w:eastAsia="Times New Roman" w:hAnsi="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8" w15:restartNumberingAfterBreak="0">
    <w:nsid w:val="40C16A83"/>
    <w:multiLevelType w:val="hybridMultilevel"/>
    <w:tmpl w:val="C5BEA5DC"/>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9" w15:restartNumberingAfterBreak="0">
    <w:nsid w:val="4109259B"/>
    <w:multiLevelType w:val="hybridMultilevel"/>
    <w:tmpl w:val="AE5A24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0" w15:restartNumberingAfterBreak="0">
    <w:nsid w:val="410E6E83"/>
    <w:multiLevelType w:val="hybridMultilevel"/>
    <w:tmpl w:val="BE4ACFB2"/>
    <w:lvl w:ilvl="0" w:tplc="95C0504A">
      <w:start w:val="1"/>
      <w:numFmt w:val="bullet"/>
      <w:lvlText w:val=""/>
      <w:lvlJc w:val="left"/>
      <w:pPr>
        <w:ind w:left="720" w:hanging="360"/>
      </w:pPr>
      <w:rPr>
        <w:rFonts w:ascii="Symbol" w:hAnsi="Symbol"/>
      </w:rPr>
    </w:lvl>
    <w:lvl w:ilvl="1" w:tplc="9C4EDE04">
      <w:start w:val="1"/>
      <w:numFmt w:val="bullet"/>
      <w:lvlText w:val=""/>
      <w:lvlJc w:val="left"/>
      <w:pPr>
        <w:ind w:left="720" w:hanging="360"/>
      </w:pPr>
      <w:rPr>
        <w:rFonts w:ascii="Symbol" w:hAnsi="Symbol"/>
      </w:rPr>
    </w:lvl>
    <w:lvl w:ilvl="2" w:tplc="C99A976C">
      <w:start w:val="1"/>
      <w:numFmt w:val="bullet"/>
      <w:lvlText w:val=""/>
      <w:lvlJc w:val="left"/>
      <w:pPr>
        <w:ind w:left="720" w:hanging="360"/>
      </w:pPr>
      <w:rPr>
        <w:rFonts w:ascii="Symbol" w:hAnsi="Symbol"/>
      </w:rPr>
    </w:lvl>
    <w:lvl w:ilvl="3" w:tplc="81C000CC">
      <w:start w:val="1"/>
      <w:numFmt w:val="bullet"/>
      <w:lvlText w:val=""/>
      <w:lvlJc w:val="left"/>
      <w:pPr>
        <w:ind w:left="720" w:hanging="360"/>
      </w:pPr>
      <w:rPr>
        <w:rFonts w:ascii="Symbol" w:hAnsi="Symbol"/>
      </w:rPr>
    </w:lvl>
    <w:lvl w:ilvl="4" w:tplc="F4BC6DBE">
      <w:start w:val="1"/>
      <w:numFmt w:val="bullet"/>
      <w:lvlText w:val=""/>
      <w:lvlJc w:val="left"/>
      <w:pPr>
        <w:ind w:left="720" w:hanging="360"/>
      </w:pPr>
      <w:rPr>
        <w:rFonts w:ascii="Symbol" w:hAnsi="Symbol"/>
      </w:rPr>
    </w:lvl>
    <w:lvl w:ilvl="5" w:tplc="A56251DC">
      <w:start w:val="1"/>
      <w:numFmt w:val="bullet"/>
      <w:lvlText w:val=""/>
      <w:lvlJc w:val="left"/>
      <w:pPr>
        <w:ind w:left="720" w:hanging="360"/>
      </w:pPr>
      <w:rPr>
        <w:rFonts w:ascii="Symbol" w:hAnsi="Symbol"/>
      </w:rPr>
    </w:lvl>
    <w:lvl w:ilvl="6" w:tplc="CBD43102">
      <w:start w:val="1"/>
      <w:numFmt w:val="bullet"/>
      <w:lvlText w:val=""/>
      <w:lvlJc w:val="left"/>
      <w:pPr>
        <w:ind w:left="720" w:hanging="360"/>
      </w:pPr>
      <w:rPr>
        <w:rFonts w:ascii="Symbol" w:hAnsi="Symbol"/>
      </w:rPr>
    </w:lvl>
    <w:lvl w:ilvl="7" w:tplc="6E2C1920">
      <w:start w:val="1"/>
      <w:numFmt w:val="bullet"/>
      <w:lvlText w:val=""/>
      <w:lvlJc w:val="left"/>
      <w:pPr>
        <w:ind w:left="720" w:hanging="360"/>
      </w:pPr>
      <w:rPr>
        <w:rFonts w:ascii="Symbol" w:hAnsi="Symbol"/>
      </w:rPr>
    </w:lvl>
    <w:lvl w:ilvl="8" w:tplc="38069CEC">
      <w:start w:val="1"/>
      <w:numFmt w:val="bullet"/>
      <w:lvlText w:val=""/>
      <w:lvlJc w:val="left"/>
      <w:pPr>
        <w:ind w:left="720" w:hanging="360"/>
      </w:pPr>
      <w:rPr>
        <w:rFonts w:ascii="Symbol" w:hAnsi="Symbol"/>
      </w:rPr>
    </w:lvl>
  </w:abstractNum>
  <w:abstractNum w:abstractNumId="141" w15:restartNumberingAfterBreak="0">
    <w:nsid w:val="41953D9E"/>
    <w:multiLevelType w:val="hybridMultilevel"/>
    <w:tmpl w:val="0D4693D2"/>
    <w:lvl w:ilvl="0" w:tplc="12A0DAC2">
      <w:start w:val="1"/>
      <w:numFmt w:val="lowerLetter"/>
      <w:lvlText w:val="%1."/>
      <w:lvlJc w:val="right"/>
      <w:pPr>
        <w:ind w:left="720" w:hanging="360"/>
      </w:pPr>
      <w:rPr>
        <w:rFonts w:hint="default"/>
      </w:rPr>
    </w:lvl>
    <w:lvl w:ilvl="1" w:tplc="5E3A2F3A">
      <w:start w:val="1"/>
      <w:numFmt w:val="lowerRoman"/>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2" w15:restartNumberingAfterBreak="0">
    <w:nsid w:val="41AC149C"/>
    <w:multiLevelType w:val="hybridMultilevel"/>
    <w:tmpl w:val="BD444928"/>
    <w:lvl w:ilvl="0" w:tplc="2050E13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3" w15:restartNumberingAfterBreak="0">
    <w:nsid w:val="427D6A6F"/>
    <w:multiLevelType w:val="hybridMultilevel"/>
    <w:tmpl w:val="1D76A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4" w15:restartNumberingAfterBreak="0">
    <w:nsid w:val="42D1117D"/>
    <w:multiLevelType w:val="hybridMultilevel"/>
    <w:tmpl w:val="44784362"/>
    <w:lvl w:ilvl="0" w:tplc="AC221780">
      <w:start w:val="1"/>
      <w:numFmt w:val="bullet"/>
      <w:lvlText w:val="•"/>
      <w:lvlJc w:val="left"/>
      <w:pPr>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5" w15:restartNumberingAfterBreak="0">
    <w:nsid w:val="43862D9A"/>
    <w:multiLevelType w:val="hybridMultilevel"/>
    <w:tmpl w:val="5AF6029C"/>
    <w:lvl w:ilvl="0" w:tplc="2C040B7A">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6" w15:restartNumberingAfterBreak="0">
    <w:nsid w:val="43A72DB3"/>
    <w:multiLevelType w:val="hybridMultilevel"/>
    <w:tmpl w:val="C6A68454"/>
    <w:lvl w:ilvl="0" w:tplc="F564B804">
      <w:start w:val="1"/>
      <w:numFmt w:val="bullet"/>
      <w:lvlText w:val=""/>
      <w:lvlJc w:val="left"/>
      <w:pPr>
        <w:ind w:left="720" w:hanging="360"/>
      </w:pPr>
      <w:rPr>
        <w:rFonts w:ascii="Symbol" w:hAnsi="Symbol"/>
      </w:rPr>
    </w:lvl>
    <w:lvl w:ilvl="1" w:tplc="ED1E4F04">
      <w:start w:val="1"/>
      <w:numFmt w:val="bullet"/>
      <w:lvlText w:val=""/>
      <w:lvlJc w:val="left"/>
      <w:pPr>
        <w:ind w:left="720" w:hanging="360"/>
      </w:pPr>
      <w:rPr>
        <w:rFonts w:ascii="Symbol" w:hAnsi="Symbol"/>
      </w:rPr>
    </w:lvl>
    <w:lvl w:ilvl="2" w:tplc="A4F02B06">
      <w:start w:val="1"/>
      <w:numFmt w:val="bullet"/>
      <w:lvlText w:val=""/>
      <w:lvlJc w:val="left"/>
      <w:pPr>
        <w:ind w:left="720" w:hanging="360"/>
      </w:pPr>
      <w:rPr>
        <w:rFonts w:ascii="Symbol" w:hAnsi="Symbol"/>
      </w:rPr>
    </w:lvl>
    <w:lvl w:ilvl="3" w:tplc="EB86F8F2">
      <w:start w:val="1"/>
      <w:numFmt w:val="bullet"/>
      <w:lvlText w:val=""/>
      <w:lvlJc w:val="left"/>
      <w:pPr>
        <w:ind w:left="720" w:hanging="360"/>
      </w:pPr>
      <w:rPr>
        <w:rFonts w:ascii="Symbol" w:hAnsi="Symbol"/>
      </w:rPr>
    </w:lvl>
    <w:lvl w:ilvl="4" w:tplc="E3664E1C">
      <w:start w:val="1"/>
      <w:numFmt w:val="bullet"/>
      <w:lvlText w:val=""/>
      <w:lvlJc w:val="left"/>
      <w:pPr>
        <w:ind w:left="720" w:hanging="360"/>
      </w:pPr>
      <w:rPr>
        <w:rFonts w:ascii="Symbol" w:hAnsi="Symbol"/>
      </w:rPr>
    </w:lvl>
    <w:lvl w:ilvl="5" w:tplc="067E57C4">
      <w:start w:val="1"/>
      <w:numFmt w:val="bullet"/>
      <w:lvlText w:val=""/>
      <w:lvlJc w:val="left"/>
      <w:pPr>
        <w:ind w:left="720" w:hanging="360"/>
      </w:pPr>
      <w:rPr>
        <w:rFonts w:ascii="Symbol" w:hAnsi="Symbol"/>
      </w:rPr>
    </w:lvl>
    <w:lvl w:ilvl="6" w:tplc="856E3FF2">
      <w:start w:val="1"/>
      <w:numFmt w:val="bullet"/>
      <w:lvlText w:val=""/>
      <w:lvlJc w:val="left"/>
      <w:pPr>
        <w:ind w:left="720" w:hanging="360"/>
      </w:pPr>
      <w:rPr>
        <w:rFonts w:ascii="Symbol" w:hAnsi="Symbol"/>
      </w:rPr>
    </w:lvl>
    <w:lvl w:ilvl="7" w:tplc="8DF8D8DE">
      <w:start w:val="1"/>
      <w:numFmt w:val="bullet"/>
      <w:lvlText w:val=""/>
      <w:lvlJc w:val="left"/>
      <w:pPr>
        <w:ind w:left="720" w:hanging="360"/>
      </w:pPr>
      <w:rPr>
        <w:rFonts w:ascii="Symbol" w:hAnsi="Symbol"/>
      </w:rPr>
    </w:lvl>
    <w:lvl w:ilvl="8" w:tplc="769C9DCC">
      <w:start w:val="1"/>
      <w:numFmt w:val="bullet"/>
      <w:lvlText w:val=""/>
      <w:lvlJc w:val="left"/>
      <w:pPr>
        <w:ind w:left="720" w:hanging="360"/>
      </w:pPr>
      <w:rPr>
        <w:rFonts w:ascii="Symbol" w:hAnsi="Symbol"/>
      </w:rPr>
    </w:lvl>
  </w:abstractNum>
  <w:abstractNum w:abstractNumId="147" w15:restartNumberingAfterBreak="0">
    <w:nsid w:val="43D342B5"/>
    <w:multiLevelType w:val="hybridMultilevel"/>
    <w:tmpl w:val="00786D50"/>
    <w:lvl w:ilvl="0" w:tplc="5A70E5EA">
      <w:start w:val="1"/>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8" w15:restartNumberingAfterBreak="0">
    <w:nsid w:val="43D61A54"/>
    <w:multiLevelType w:val="hybridMultilevel"/>
    <w:tmpl w:val="8A36AFEA"/>
    <w:lvl w:ilvl="0" w:tplc="04090019">
      <w:start w:val="1"/>
      <w:numFmt w:val="lowerLetter"/>
      <w:lvlText w:val="%1."/>
      <w:lvlJc w:val="left"/>
      <w:pPr>
        <w:ind w:left="144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441053A5"/>
    <w:multiLevelType w:val="hybridMultilevel"/>
    <w:tmpl w:val="5B927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0" w15:restartNumberingAfterBreak="0">
    <w:nsid w:val="4435587D"/>
    <w:multiLevelType w:val="hybridMultilevel"/>
    <w:tmpl w:val="EA4CFA76"/>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1" w15:restartNumberingAfterBreak="0">
    <w:nsid w:val="444C4D62"/>
    <w:multiLevelType w:val="hybridMultilevel"/>
    <w:tmpl w:val="E214CEDA"/>
    <w:lvl w:ilvl="0" w:tplc="DFCAEB88">
      <w:numFmt w:val="bullet"/>
      <w:lvlText w:val="-"/>
      <w:lvlJc w:val="left"/>
      <w:pPr>
        <w:ind w:left="72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2" w15:restartNumberingAfterBreak="0">
    <w:nsid w:val="446104EA"/>
    <w:multiLevelType w:val="hybridMultilevel"/>
    <w:tmpl w:val="DAC2F5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3" w15:restartNumberingAfterBreak="0">
    <w:nsid w:val="44B356AC"/>
    <w:multiLevelType w:val="hybridMultilevel"/>
    <w:tmpl w:val="5BBCB8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4" w15:restartNumberingAfterBreak="0">
    <w:nsid w:val="44ED738E"/>
    <w:multiLevelType w:val="hybridMultilevel"/>
    <w:tmpl w:val="BF7CB048"/>
    <w:lvl w:ilvl="0" w:tplc="1EEEE8A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5" w15:restartNumberingAfterBreak="0">
    <w:nsid w:val="45156A97"/>
    <w:multiLevelType w:val="hybridMultilevel"/>
    <w:tmpl w:val="CB365B2A"/>
    <w:lvl w:ilvl="0" w:tplc="5A70E5EA">
      <w:start w:val="1"/>
      <w:numFmt w:val="bullet"/>
      <w:lvlText w:val="-"/>
      <w:lvlJc w:val="left"/>
      <w:pPr>
        <w:ind w:left="360" w:hanging="360"/>
      </w:pPr>
      <w:rPr>
        <w:rFonts w:ascii="Arial" w:eastAsia="Calibri"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6" w15:restartNumberingAfterBreak="0">
    <w:nsid w:val="460562CD"/>
    <w:multiLevelType w:val="hybridMultilevel"/>
    <w:tmpl w:val="A7F269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468F1542"/>
    <w:multiLevelType w:val="hybridMultilevel"/>
    <w:tmpl w:val="72A006D0"/>
    <w:lvl w:ilvl="0" w:tplc="2050E132">
      <w:start w:val="1"/>
      <w:numFmt w:val="bullet"/>
      <w:lvlText w:val="­"/>
      <w:lvlJc w:val="left"/>
      <w:pPr>
        <w:ind w:left="720" w:hanging="36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8" w15:restartNumberingAfterBreak="0">
    <w:nsid w:val="46961E3E"/>
    <w:multiLevelType w:val="hybridMultilevel"/>
    <w:tmpl w:val="DA56AEF2"/>
    <w:lvl w:ilvl="0" w:tplc="9F02A4B6">
      <w:start w:val="1"/>
      <w:numFmt w:val="bullet"/>
      <w:lvlText w:val="­"/>
      <w:lvlJc w:val="left"/>
      <w:pPr>
        <w:ind w:left="1637" w:hanging="360"/>
      </w:pPr>
      <w:rPr>
        <w:rFonts w:ascii="Arial" w:hAnsi="Arial" w:hint="default"/>
      </w:rPr>
    </w:lvl>
    <w:lvl w:ilvl="1" w:tplc="041D0003">
      <w:start w:val="1"/>
      <w:numFmt w:val="bullet"/>
      <w:lvlText w:val="o"/>
      <w:lvlJc w:val="left"/>
      <w:pPr>
        <w:ind w:left="1440" w:hanging="360"/>
      </w:pPr>
      <w:rPr>
        <w:rFonts w:ascii="Courier New" w:hAnsi="Courier New" w:cs="Courier New" w:hint="default"/>
      </w:rPr>
    </w:lvl>
    <w:lvl w:ilvl="2" w:tplc="1EEEE8A8">
      <w:start w:val="1"/>
      <w:numFmt w:val="bullet"/>
      <w:lvlText w:val="•"/>
      <w:lvlJc w:val="left"/>
      <w:pPr>
        <w:ind w:left="2160" w:hanging="360"/>
      </w:pPr>
      <w:rPr>
        <w:rFonts w:ascii="Arial" w:hAnsi="Aria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9" w15:restartNumberingAfterBreak="0">
    <w:nsid w:val="46DB04A0"/>
    <w:multiLevelType w:val="hybridMultilevel"/>
    <w:tmpl w:val="1B90BD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0" w15:restartNumberingAfterBreak="0">
    <w:nsid w:val="47013C90"/>
    <w:multiLevelType w:val="hybridMultilevel"/>
    <w:tmpl w:val="231E7EDE"/>
    <w:lvl w:ilvl="0" w:tplc="1EEEE8A8">
      <w:start w:val="1"/>
      <w:numFmt w:val="bullet"/>
      <w:lvlText w:val="•"/>
      <w:lvlJc w:val="left"/>
      <w:pPr>
        <w:ind w:left="2160" w:hanging="360"/>
      </w:pPr>
      <w:rPr>
        <w:rFonts w:ascii="Arial" w:hAnsi="Arial" w:hint="default"/>
      </w:rPr>
    </w:lvl>
    <w:lvl w:ilvl="1" w:tplc="04100003">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61" w15:restartNumberingAfterBreak="0">
    <w:nsid w:val="4744454A"/>
    <w:multiLevelType w:val="hybridMultilevel"/>
    <w:tmpl w:val="EA14BAC4"/>
    <w:lvl w:ilvl="0" w:tplc="9F02A4B6">
      <w:start w:val="1"/>
      <w:numFmt w:val="bullet"/>
      <w:pStyle w:val="List23"/>
      <w:lvlText w:val="­"/>
      <w:lvlJc w:val="left"/>
      <w:pPr>
        <w:ind w:left="1637" w:hanging="360"/>
      </w:pPr>
      <w:rPr>
        <w:rFonts w:ascii="Arial" w:hAnsi="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2" w15:restartNumberingAfterBreak="0">
    <w:nsid w:val="47B70306"/>
    <w:multiLevelType w:val="hybridMultilevel"/>
    <w:tmpl w:val="896C66CE"/>
    <w:lvl w:ilvl="0" w:tplc="5D2E09C8">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3" w15:restartNumberingAfterBreak="0">
    <w:nsid w:val="47B82C34"/>
    <w:multiLevelType w:val="hybridMultilevel"/>
    <w:tmpl w:val="FEC8C8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4" w15:restartNumberingAfterBreak="0">
    <w:nsid w:val="47ED04E4"/>
    <w:multiLevelType w:val="hybridMultilevel"/>
    <w:tmpl w:val="06BCD3AA"/>
    <w:lvl w:ilvl="0" w:tplc="5A70E5EA">
      <w:start w:val="1"/>
      <w:numFmt w:val="bullet"/>
      <w:lvlText w:val="-"/>
      <w:lvlJc w:val="left"/>
      <w:pPr>
        <w:ind w:left="720" w:hanging="360"/>
      </w:pPr>
      <w:rPr>
        <w:rFonts w:ascii="Arial" w:eastAsia="Calibri" w:hAnsi="Arial" w:cs="Arial" w:hint="default"/>
      </w:rPr>
    </w:lvl>
    <w:lvl w:ilvl="1" w:tplc="DC82ECDA">
      <w:numFmt w:val="bullet"/>
      <w:lvlText w:val="•"/>
      <w:lvlJc w:val="left"/>
      <w:pPr>
        <w:ind w:left="1440" w:hanging="360"/>
      </w:pPr>
      <w:rPr>
        <w:rFonts w:ascii="Arial" w:eastAsia="Calibr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5" w15:restartNumberingAfterBreak="0">
    <w:nsid w:val="47FB2A35"/>
    <w:multiLevelType w:val="hybridMultilevel"/>
    <w:tmpl w:val="C74A0330"/>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481C27DF"/>
    <w:multiLevelType w:val="hybridMultilevel"/>
    <w:tmpl w:val="93E43A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7" w15:restartNumberingAfterBreak="0">
    <w:nsid w:val="482A46D1"/>
    <w:multiLevelType w:val="hybridMultilevel"/>
    <w:tmpl w:val="F38AB9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8" w15:restartNumberingAfterBreak="0">
    <w:nsid w:val="48EE0DDE"/>
    <w:multiLevelType w:val="hybridMultilevel"/>
    <w:tmpl w:val="6A5EF772"/>
    <w:lvl w:ilvl="0" w:tplc="9F02A4B6">
      <w:start w:val="1"/>
      <w:numFmt w:val="bullet"/>
      <w:lvlText w:val="­"/>
      <w:lvlJc w:val="left"/>
      <w:pPr>
        <w:ind w:left="1637" w:hanging="360"/>
      </w:pPr>
      <w:rPr>
        <w:rFonts w:ascii="Arial" w:hAnsi="Arial" w:hint="default"/>
      </w:rPr>
    </w:lvl>
    <w:lvl w:ilvl="1" w:tplc="041D0003">
      <w:start w:val="1"/>
      <w:numFmt w:val="bullet"/>
      <w:lvlText w:val="o"/>
      <w:lvlJc w:val="left"/>
      <w:pPr>
        <w:ind w:left="1440" w:hanging="360"/>
      </w:pPr>
      <w:rPr>
        <w:rFonts w:ascii="Courier New" w:hAnsi="Courier New" w:cs="Courier New" w:hint="default"/>
      </w:rPr>
    </w:lvl>
    <w:lvl w:ilvl="2" w:tplc="43AC6B9C">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9" w15:restartNumberingAfterBreak="0">
    <w:nsid w:val="49324031"/>
    <w:multiLevelType w:val="hybridMultilevel"/>
    <w:tmpl w:val="A33E2C52"/>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0" w15:restartNumberingAfterBreak="0">
    <w:nsid w:val="49516134"/>
    <w:multiLevelType w:val="multilevel"/>
    <w:tmpl w:val="B22A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A153CAF"/>
    <w:multiLevelType w:val="hybridMultilevel"/>
    <w:tmpl w:val="9B08E948"/>
    <w:lvl w:ilvl="0" w:tplc="F14A6412">
      <w:start w:val="1"/>
      <w:numFmt w:val="bullet"/>
      <w:lvlText w:val=""/>
      <w:lvlJc w:val="left"/>
      <w:pPr>
        <w:ind w:left="1440" w:hanging="360"/>
      </w:pPr>
      <w:rPr>
        <w:rFonts w:ascii="Symbol" w:hAnsi="Symbol"/>
      </w:rPr>
    </w:lvl>
    <w:lvl w:ilvl="1" w:tplc="629EE094">
      <w:start w:val="1"/>
      <w:numFmt w:val="bullet"/>
      <w:lvlText w:val=""/>
      <w:lvlJc w:val="left"/>
      <w:pPr>
        <w:ind w:left="1440" w:hanging="360"/>
      </w:pPr>
      <w:rPr>
        <w:rFonts w:ascii="Symbol" w:hAnsi="Symbol"/>
      </w:rPr>
    </w:lvl>
    <w:lvl w:ilvl="2" w:tplc="29309080">
      <w:start w:val="1"/>
      <w:numFmt w:val="bullet"/>
      <w:lvlText w:val=""/>
      <w:lvlJc w:val="left"/>
      <w:pPr>
        <w:ind w:left="1440" w:hanging="360"/>
      </w:pPr>
      <w:rPr>
        <w:rFonts w:ascii="Symbol" w:hAnsi="Symbol"/>
      </w:rPr>
    </w:lvl>
    <w:lvl w:ilvl="3" w:tplc="201422FE">
      <w:start w:val="1"/>
      <w:numFmt w:val="bullet"/>
      <w:lvlText w:val=""/>
      <w:lvlJc w:val="left"/>
      <w:pPr>
        <w:ind w:left="1440" w:hanging="360"/>
      </w:pPr>
      <w:rPr>
        <w:rFonts w:ascii="Symbol" w:hAnsi="Symbol"/>
      </w:rPr>
    </w:lvl>
    <w:lvl w:ilvl="4" w:tplc="B1904FEE">
      <w:start w:val="1"/>
      <w:numFmt w:val="bullet"/>
      <w:lvlText w:val=""/>
      <w:lvlJc w:val="left"/>
      <w:pPr>
        <w:ind w:left="1440" w:hanging="360"/>
      </w:pPr>
      <w:rPr>
        <w:rFonts w:ascii="Symbol" w:hAnsi="Symbol"/>
      </w:rPr>
    </w:lvl>
    <w:lvl w:ilvl="5" w:tplc="CF2674D6">
      <w:start w:val="1"/>
      <w:numFmt w:val="bullet"/>
      <w:lvlText w:val=""/>
      <w:lvlJc w:val="left"/>
      <w:pPr>
        <w:ind w:left="1440" w:hanging="360"/>
      </w:pPr>
      <w:rPr>
        <w:rFonts w:ascii="Symbol" w:hAnsi="Symbol"/>
      </w:rPr>
    </w:lvl>
    <w:lvl w:ilvl="6" w:tplc="A91ABE20">
      <w:start w:val="1"/>
      <w:numFmt w:val="bullet"/>
      <w:lvlText w:val=""/>
      <w:lvlJc w:val="left"/>
      <w:pPr>
        <w:ind w:left="1440" w:hanging="360"/>
      </w:pPr>
      <w:rPr>
        <w:rFonts w:ascii="Symbol" w:hAnsi="Symbol"/>
      </w:rPr>
    </w:lvl>
    <w:lvl w:ilvl="7" w:tplc="46E2DA30">
      <w:start w:val="1"/>
      <w:numFmt w:val="bullet"/>
      <w:lvlText w:val=""/>
      <w:lvlJc w:val="left"/>
      <w:pPr>
        <w:ind w:left="1440" w:hanging="360"/>
      </w:pPr>
      <w:rPr>
        <w:rFonts w:ascii="Symbol" w:hAnsi="Symbol"/>
      </w:rPr>
    </w:lvl>
    <w:lvl w:ilvl="8" w:tplc="1166E63E">
      <w:start w:val="1"/>
      <w:numFmt w:val="bullet"/>
      <w:lvlText w:val=""/>
      <w:lvlJc w:val="left"/>
      <w:pPr>
        <w:ind w:left="1440" w:hanging="360"/>
      </w:pPr>
      <w:rPr>
        <w:rFonts w:ascii="Symbol" w:hAnsi="Symbol"/>
      </w:rPr>
    </w:lvl>
  </w:abstractNum>
  <w:abstractNum w:abstractNumId="172" w15:restartNumberingAfterBreak="0">
    <w:nsid w:val="4A6D0496"/>
    <w:multiLevelType w:val="hybridMultilevel"/>
    <w:tmpl w:val="BB0AEB5C"/>
    <w:lvl w:ilvl="0" w:tplc="DBECA2E4">
      <w:start w:val="1"/>
      <w:numFmt w:val="lowerLetter"/>
      <w:lvlText w:val="%1)"/>
      <w:lvlJc w:val="left"/>
      <w:pPr>
        <w:ind w:left="720" w:hanging="360"/>
      </w:pPr>
      <w:rPr>
        <w:rFonts w:asciiTheme="minorHAnsi" w:eastAsia="Calibri" w:hAnsiTheme="minorHAnsi" w:cstheme="minorHAnsi"/>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3" w15:restartNumberingAfterBreak="0">
    <w:nsid w:val="4B7D3898"/>
    <w:multiLevelType w:val="hybridMultilevel"/>
    <w:tmpl w:val="0A828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4" w15:restartNumberingAfterBreak="0">
    <w:nsid w:val="4BC34B72"/>
    <w:multiLevelType w:val="hybridMultilevel"/>
    <w:tmpl w:val="8DA467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5" w15:restartNumberingAfterBreak="0">
    <w:nsid w:val="4C0115FC"/>
    <w:multiLevelType w:val="multilevel"/>
    <w:tmpl w:val="57921212"/>
    <w:lvl w:ilvl="0">
      <w:start w:val="1"/>
      <w:numFmt w:val="lowerLetter"/>
      <w:lvlText w:val="%1."/>
      <w:lvlJc w:val="right"/>
      <w:pPr>
        <w:ind w:left="360" w:hanging="360"/>
      </w:pPr>
      <w:rPr>
        <w:rFonts w:hint="default"/>
        <w:u w:val="none"/>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4CB04845"/>
    <w:multiLevelType w:val="multilevel"/>
    <w:tmpl w:val="9392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CB871B1"/>
    <w:multiLevelType w:val="hybridMultilevel"/>
    <w:tmpl w:val="8A9E7930"/>
    <w:lvl w:ilvl="0" w:tplc="2A22E8E0">
      <w:numFmt w:val="bullet"/>
      <w:lvlText w:val="•"/>
      <w:lvlJc w:val="left"/>
      <w:pPr>
        <w:ind w:left="1440" w:hanging="360"/>
      </w:pPr>
      <w:rPr>
        <w:rFonts w:ascii="Arial" w:eastAsiaTheme="minorHAnsi" w:hAnsi="Arial" w:cs="Aria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8" w15:restartNumberingAfterBreak="0">
    <w:nsid w:val="4D7670AF"/>
    <w:multiLevelType w:val="hybridMultilevel"/>
    <w:tmpl w:val="90E2AB34"/>
    <w:lvl w:ilvl="0" w:tplc="AC22178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9" w15:restartNumberingAfterBreak="0">
    <w:nsid w:val="4DBB533F"/>
    <w:multiLevelType w:val="hybridMultilevel"/>
    <w:tmpl w:val="C788630E"/>
    <w:lvl w:ilvl="0" w:tplc="FFFFFFFF">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0" w15:restartNumberingAfterBreak="0">
    <w:nsid w:val="4DFC0518"/>
    <w:multiLevelType w:val="hybridMultilevel"/>
    <w:tmpl w:val="FF24D040"/>
    <w:lvl w:ilvl="0" w:tplc="2050E13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1" w15:restartNumberingAfterBreak="0">
    <w:nsid w:val="4E5D0DBD"/>
    <w:multiLevelType w:val="hybridMultilevel"/>
    <w:tmpl w:val="727C756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2" w15:restartNumberingAfterBreak="0">
    <w:nsid w:val="4E916303"/>
    <w:multiLevelType w:val="hybridMultilevel"/>
    <w:tmpl w:val="720CB0E0"/>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3" w15:restartNumberingAfterBreak="0">
    <w:nsid w:val="4F471A08"/>
    <w:multiLevelType w:val="multilevel"/>
    <w:tmpl w:val="B2C0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4FD96FE0"/>
    <w:multiLevelType w:val="hybridMultilevel"/>
    <w:tmpl w:val="EFC057BA"/>
    <w:lvl w:ilvl="0" w:tplc="08070001">
      <w:start w:val="1"/>
      <w:numFmt w:val="bullet"/>
      <w:pStyle w:val="Listepuce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5" w15:restartNumberingAfterBreak="0">
    <w:nsid w:val="516E9055"/>
    <w:multiLevelType w:val="hybridMultilevel"/>
    <w:tmpl w:val="19A07384"/>
    <w:lvl w:ilvl="0" w:tplc="07802A70">
      <w:start w:val="1"/>
      <w:numFmt w:val="lowerLetter"/>
      <w:lvlText w:val="%1."/>
      <w:lvlJc w:val="left"/>
      <w:pPr>
        <w:ind w:left="1146" w:hanging="360"/>
      </w:pPr>
    </w:lvl>
    <w:lvl w:ilvl="1" w:tplc="8F7AE442">
      <w:start w:val="1"/>
      <w:numFmt w:val="lowerLetter"/>
      <w:lvlText w:val="%2."/>
      <w:lvlJc w:val="left"/>
      <w:pPr>
        <w:ind w:left="1866" w:hanging="360"/>
      </w:pPr>
    </w:lvl>
    <w:lvl w:ilvl="2" w:tplc="3EFEE082">
      <w:start w:val="1"/>
      <w:numFmt w:val="lowerRoman"/>
      <w:lvlText w:val="%3."/>
      <w:lvlJc w:val="right"/>
      <w:pPr>
        <w:ind w:left="2586" w:hanging="180"/>
      </w:pPr>
    </w:lvl>
    <w:lvl w:ilvl="3" w:tplc="6018D16A">
      <w:start w:val="1"/>
      <w:numFmt w:val="decimal"/>
      <w:lvlText w:val="%4."/>
      <w:lvlJc w:val="left"/>
      <w:pPr>
        <w:ind w:left="3306" w:hanging="360"/>
      </w:pPr>
    </w:lvl>
    <w:lvl w:ilvl="4" w:tplc="76CAC1C6">
      <w:start w:val="1"/>
      <w:numFmt w:val="lowerLetter"/>
      <w:lvlText w:val="%5."/>
      <w:lvlJc w:val="left"/>
      <w:pPr>
        <w:ind w:left="4026" w:hanging="360"/>
      </w:pPr>
    </w:lvl>
    <w:lvl w:ilvl="5" w:tplc="6A408066">
      <w:start w:val="1"/>
      <w:numFmt w:val="lowerRoman"/>
      <w:lvlText w:val="%6."/>
      <w:lvlJc w:val="right"/>
      <w:pPr>
        <w:ind w:left="4746" w:hanging="180"/>
      </w:pPr>
    </w:lvl>
    <w:lvl w:ilvl="6" w:tplc="64C8D1A0">
      <w:start w:val="1"/>
      <w:numFmt w:val="decimal"/>
      <w:lvlText w:val="%7."/>
      <w:lvlJc w:val="left"/>
      <w:pPr>
        <w:ind w:left="5466" w:hanging="360"/>
      </w:pPr>
    </w:lvl>
    <w:lvl w:ilvl="7" w:tplc="7A8E102E">
      <w:start w:val="1"/>
      <w:numFmt w:val="lowerLetter"/>
      <w:lvlText w:val="%8."/>
      <w:lvlJc w:val="left"/>
      <w:pPr>
        <w:ind w:left="6186" w:hanging="360"/>
      </w:pPr>
    </w:lvl>
    <w:lvl w:ilvl="8" w:tplc="019AA7B8">
      <w:start w:val="1"/>
      <w:numFmt w:val="lowerRoman"/>
      <w:lvlText w:val="%9."/>
      <w:lvlJc w:val="right"/>
      <w:pPr>
        <w:ind w:left="6906" w:hanging="180"/>
      </w:pPr>
    </w:lvl>
  </w:abstractNum>
  <w:abstractNum w:abstractNumId="186" w15:restartNumberingAfterBreak="0">
    <w:nsid w:val="51CD6959"/>
    <w:multiLevelType w:val="hybridMultilevel"/>
    <w:tmpl w:val="B2C243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7" w15:restartNumberingAfterBreak="0">
    <w:nsid w:val="52740467"/>
    <w:multiLevelType w:val="multilevel"/>
    <w:tmpl w:val="57921212"/>
    <w:lvl w:ilvl="0">
      <w:start w:val="1"/>
      <w:numFmt w:val="lowerLetter"/>
      <w:lvlText w:val="%1."/>
      <w:lvlJc w:val="right"/>
      <w:pPr>
        <w:ind w:left="360" w:hanging="360"/>
      </w:pPr>
      <w:rPr>
        <w:rFonts w:hint="default"/>
        <w:u w:val="none"/>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2901E6D"/>
    <w:multiLevelType w:val="hybridMultilevel"/>
    <w:tmpl w:val="6E308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9" w15:restartNumberingAfterBreak="0">
    <w:nsid w:val="533F52DC"/>
    <w:multiLevelType w:val="hybridMultilevel"/>
    <w:tmpl w:val="EF9E4240"/>
    <w:lvl w:ilvl="0" w:tplc="5A70E5EA">
      <w:start w:val="1"/>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53C57852"/>
    <w:multiLevelType w:val="hybridMultilevel"/>
    <w:tmpl w:val="7144D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1" w15:restartNumberingAfterBreak="0">
    <w:nsid w:val="53DD18F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54741E33"/>
    <w:multiLevelType w:val="hybridMultilevel"/>
    <w:tmpl w:val="9F0E840C"/>
    <w:lvl w:ilvl="0" w:tplc="2050E132">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3" w15:restartNumberingAfterBreak="0">
    <w:nsid w:val="547E4054"/>
    <w:multiLevelType w:val="hybridMultilevel"/>
    <w:tmpl w:val="4E72D6AA"/>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4" w15:restartNumberingAfterBreak="0">
    <w:nsid w:val="54910C77"/>
    <w:multiLevelType w:val="hybridMultilevel"/>
    <w:tmpl w:val="DB0AC466"/>
    <w:lvl w:ilvl="0" w:tplc="FFFFFFFF">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54A61B26"/>
    <w:multiLevelType w:val="hybridMultilevel"/>
    <w:tmpl w:val="67B89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6" w15:restartNumberingAfterBreak="0">
    <w:nsid w:val="55183BF0"/>
    <w:multiLevelType w:val="hybridMultilevel"/>
    <w:tmpl w:val="2E3E4F6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7" w15:restartNumberingAfterBreak="0">
    <w:nsid w:val="560B37F3"/>
    <w:multiLevelType w:val="hybridMultilevel"/>
    <w:tmpl w:val="4372E872"/>
    <w:lvl w:ilvl="0" w:tplc="E0AA8C00">
      <w:start w:val="1"/>
      <w:numFmt w:val="bullet"/>
      <w:lvlText w:val=""/>
      <w:lvlJc w:val="left"/>
      <w:pPr>
        <w:ind w:left="720" w:hanging="360"/>
      </w:pPr>
      <w:rPr>
        <w:rFonts w:ascii="Symbol" w:hAnsi="Symbol"/>
      </w:rPr>
    </w:lvl>
    <w:lvl w:ilvl="1" w:tplc="5498BED2">
      <w:start w:val="1"/>
      <w:numFmt w:val="bullet"/>
      <w:lvlText w:val=""/>
      <w:lvlJc w:val="left"/>
      <w:pPr>
        <w:ind w:left="720" w:hanging="360"/>
      </w:pPr>
      <w:rPr>
        <w:rFonts w:ascii="Symbol" w:hAnsi="Symbol"/>
      </w:rPr>
    </w:lvl>
    <w:lvl w:ilvl="2" w:tplc="2A0202BA">
      <w:start w:val="1"/>
      <w:numFmt w:val="bullet"/>
      <w:lvlText w:val=""/>
      <w:lvlJc w:val="left"/>
      <w:pPr>
        <w:ind w:left="720" w:hanging="360"/>
      </w:pPr>
      <w:rPr>
        <w:rFonts w:ascii="Symbol" w:hAnsi="Symbol"/>
      </w:rPr>
    </w:lvl>
    <w:lvl w:ilvl="3" w:tplc="EB5A8906">
      <w:start w:val="1"/>
      <w:numFmt w:val="bullet"/>
      <w:lvlText w:val=""/>
      <w:lvlJc w:val="left"/>
      <w:pPr>
        <w:ind w:left="720" w:hanging="360"/>
      </w:pPr>
      <w:rPr>
        <w:rFonts w:ascii="Symbol" w:hAnsi="Symbol"/>
      </w:rPr>
    </w:lvl>
    <w:lvl w:ilvl="4" w:tplc="52C4B10A">
      <w:start w:val="1"/>
      <w:numFmt w:val="bullet"/>
      <w:lvlText w:val=""/>
      <w:lvlJc w:val="left"/>
      <w:pPr>
        <w:ind w:left="720" w:hanging="360"/>
      </w:pPr>
      <w:rPr>
        <w:rFonts w:ascii="Symbol" w:hAnsi="Symbol"/>
      </w:rPr>
    </w:lvl>
    <w:lvl w:ilvl="5" w:tplc="600897B8">
      <w:start w:val="1"/>
      <w:numFmt w:val="bullet"/>
      <w:lvlText w:val=""/>
      <w:lvlJc w:val="left"/>
      <w:pPr>
        <w:ind w:left="720" w:hanging="360"/>
      </w:pPr>
      <w:rPr>
        <w:rFonts w:ascii="Symbol" w:hAnsi="Symbol"/>
      </w:rPr>
    </w:lvl>
    <w:lvl w:ilvl="6" w:tplc="F120E304">
      <w:start w:val="1"/>
      <w:numFmt w:val="bullet"/>
      <w:lvlText w:val=""/>
      <w:lvlJc w:val="left"/>
      <w:pPr>
        <w:ind w:left="720" w:hanging="360"/>
      </w:pPr>
      <w:rPr>
        <w:rFonts w:ascii="Symbol" w:hAnsi="Symbol"/>
      </w:rPr>
    </w:lvl>
    <w:lvl w:ilvl="7" w:tplc="AECE8E62">
      <w:start w:val="1"/>
      <w:numFmt w:val="bullet"/>
      <w:lvlText w:val=""/>
      <w:lvlJc w:val="left"/>
      <w:pPr>
        <w:ind w:left="720" w:hanging="360"/>
      </w:pPr>
      <w:rPr>
        <w:rFonts w:ascii="Symbol" w:hAnsi="Symbol"/>
      </w:rPr>
    </w:lvl>
    <w:lvl w:ilvl="8" w:tplc="C1D825FA">
      <w:start w:val="1"/>
      <w:numFmt w:val="bullet"/>
      <w:lvlText w:val=""/>
      <w:lvlJc w:val="left"/>
      <w:pPr>
        <w:ind w:left="720" w:hanging="360"/>
      </w:pPr>
      <w:rPr>
        <w:rFonts w:ascii="Symbol" w:hAnsi="Symbol"/>
      </w:rPr>
    </w:lvl>
  </w:abstractNum>
  <w:abstractNum w:abstractNumId="198" w15:restartNumberingAfterBreak="0">
    <w:nsid w:val="5619533D"/>
    <w:multiLevelType w:val="multilevel"/>
    <w:tmpl w:val="5619533D"/>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9" w15:restartNumberingAfterBreak="0">
    <w:nsid w:val="5636144D"/>
    <w:multiLevelType w:val="multilevel"/>
    <w:tmpl w:val="E2F4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68329BA"/>
    <w:multiLevelType w:val="hybridMultilevel"/>
    <w:tmpl w:val="E2A0B71A"/>
    <w:lvl w:ilvl="0" w:tplc="FFFFFFFF">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1" w15:restartNumberingAfterBreak="0">
    <w:nsid w:val="56CD4EE0"/>
    <w:multiLevelType w:val="multilevel"/>
    <w:tmpl w:val="4DA40EDA"/>
    <w:lvl w:ilvl="0">
      <w:start w:val="1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2" w15:restartNumberingAfterBreak="0">
    <w:nsid w:val="56E12ADA"/>
    <w:multiLevelType w:val="hybridMultilevel"/>
    <w:tmpl w:val="B606A1BA"/>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3" w15:restartNumberingAfterBreak="0">
    <w:nsid w:val="577614D5"/>
    <w:multiLevelType w:val="hybridMultilevel"/>
    <w:tmpl w:val="D8BC53B2"/>
    <w:lvl w:ilvl="0" w:tplc="241246E8">
      <w:start w:val="1"/>
      <w:numFmt w:val="lowerLetter"/>
      <w:lvlText w:val="%1."/>
      <w:lvlJc w:val="left"/>
      <w:pPr>
        <w:ind w:left="720" w:hanging="360"/>
      </w:pPr>
    </w:lvl>
    <w:lvl w:ilvl="1" w:tplc="A32413BC">
      <w:start w:val="1"/>
      <w:numFmt w:val="lowerLetter"/>
      <w:lvlText w:val="%2."/>
      <w:lvlJc w:val="left"/>
      <w:pPr>
        <w:ind w:left="1440" w:hanging="360"/>
      </w:pPr>
    </w:lvl>
    <w:lvl w:ilvl="2" w:tplc="908A726E">
      <w:start w:val="1"/>
      <w:numFmt w:val="lowerRoman"/>
      <w:lvlText w:val="%3."/>
      <w:lvlJc w:val="right"/>
      <w:pPr>
        <w:ind w:left="2160" w:hanging="180"/>
      </w:pPr>
    </w:lvl>
    <w:lvl w:ilvl="3" w:tplc="6CA42E12">
      <w:start w:val="1"/>
      <w:numFmt w:val="decimal"/>
      <w:lvlText w:val="%4."/>
      <w:lvlJc w:val="left"/>
      <w:pPr>
        <w:ind w:left="2880" w:hanging="360"/>
      </w:pPr>
    </w:lvl>
    <w:lvl w:ilvl="4" w:tplc="B4C686CA">
      <w:start w:val="1"/>
      <w:numFmt w:val="lowerLetter"/>
      <w:lvlText w:val="%5."/>
      <w:lvlJc w:val="left"/>
      <w:pPr>
        <w:ind w:left="3600" w:hanging="360"/>
      </w:pPr>
    </w:lvl>
    <w:lvl w:ilvl="5" w:tplc="5C383246">
      <w:start w:val="1"/>
      <w:numFmt w:val="lowerRoman"/>
      <w:lvlText w:val="%6."/>
      <w:lvlJc w:val="right"/>
      <w:pPr>
        <w:ind w:left="4320" w:hanging="180"/>
      </w:pPr>
    </w:lvl>
    <w:lvl w:ilvl="6" w:tplc="2B443816">
      <w:start w:val="1"/>
      <w:numFmt w:val="decimal"/>
      <w:lvlText w:val="%7."/>
      <w:lvlJc w:val="left"/>
      <w:pPr>
        <w:ind w:left="5040" w:hanging="360"/>
      </w:pPr>
    </w:lvl>
    <w:lvl w:ilvl="7" w:tplc="06763818">
      <w:start w:val="1"/>
      <w:numFmt w:val="lowerLetter"/>
      <w:lvlText w:val="%8."/>
      <w:lvlJc w:val="left"/>
      <w:pPr>
        <w:ind w:left="5760" w:hanging="360"/>
      </w:pPr>
    </w:lvl>
    <w:lvl w:ilvl="8" w:tplc="41B08F60">
      <w:start w:val="1"/>
      <w:numFmt w:val="lowerRoman"/>
      <w:lvlText w:val="%9."/>
      <w:lvlJc w:val="right"/>
      <w:pPr>
        <w:ind w:left="6480" w:hanging="180"/>
      </w:pPr>
    </w:lvl>
  </w:abstractNum>
  <w:abstractNum w:abstractNumId="204" w15:restartNumberingAfterBreak="0">
    <w:nsid w:val="577E3B5F"/>
    <w:multiLevelType w:val="hybridMultilevel"/>
    <w:tmpl w:val="D6062A1C"/>
    <w:lvl w:ilvl="0" w:tplc="2050E132">
      <w:start w:val="1"/>
      <w:numFmt w:val="bullet"/>
      <w:lvlText w:val="­"/>
      <w:lvlJc w:val="left"/>
      <w:pPr>
        <w:ind w:left="720" w:hanging="360"/>
      </w:pPr>
      <w:rPr>
        <w:rFonts w:ascii="Arial" w:hAnsi="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5" w15:restartNumberingAfterBreak="0">
    <w:nsid w:val="57CC7DB4"/>
    <w:multiLevelType w:val="hybridMultilevel"/>
    <w:tmpl w:val="54DAC4E4"/>
    <w:lvl w:ilvl="0" w:tplc="DA0463C0">
      <w:start w:val="1"/>
      <w:numFmt w:val="bullet"/>
      <w:lvlText w:val=""/>
      <w:lvlJc w:val="left"/>
      <w:pPr>
        <w:ind w:left="1440" w:hanging="360"/>
      </w:pPr>
      <w:rPr>
        <w:rFonts w:ascii="Symbol" w:hAnsi="Symbol"/>
      </w:rPr>
    </w:lvl>
    <w:lvl w:ilvl="1" w:tplc="1D386690">
      <w:start w:val="1"/>
      <w:numFmt w:val="bullet"/>
      <w:lvlText w:val=""/>
      <w:lvlJc w:val="left"/>
      <w:pPr>
        <w:ind w:left="1440" w:hanging="360"/>
      </w:pPr>
      <w:rPr>
        <w:rFonts w:ascii="Symbol" w:hAnsi="Symbol"/>
      </w:rPr>
    </w:lvl>
    <w:lvl w:ilvl="2" w:tplc="14487376">
      <w:start w:val="1"/>
      <w:numFmt w:val="bullet"/>
      <w:lvlText w:val=""/>
      <w:lvlJc w:val="left"/>
      <w:pPr>
        <w:ind w:left="1440" w:hanging="360"/>
      </w:pPr>
      <w:rPr>
        <w:rFonts w:ascii="Symbol" w:hAnsi="Symbol"/>
      </w:rPr>
    </w:lvl>
    <w:lvl w:ilvl="3" w:tplc="E56A94EE">
      <w:start w:val="1"/>
      <w:numFmt w:val="bullet"/>
      <w:lvlText w:val=""/>
      <w:lvlJc w:val="left"/>
      <w:pPr>
        <w:ind w:left="1440" w:hanging="360"/>
      </w:pPr>
      <w:rPr>
        <w:rFonts w:ascii="Symbol" w:hAnsi="Symbol"/>
      </w:rPr>
    </w:lvl>
    <w:lvl w:ilvl="4" w:tplc="EB8288D8">
      <w:start w:val="1"/>
      <w:numFmt w:val="bullet"/>
      <w:lvlText w:val=""/>
      <w:lvlJc w:val="left"/>
      <w:pPr>
        <w:ind w:left="1440" w:hanging="360"/>
      </w:pPr>
      <w:rPr>
        <w:rFonts w:ascii="Symbol" w:hAnsi="Symbol"/>
      </w:rPr>
    </w:lvl>
    <w:lvl w:ilvl="5" w:tplc="53E4DA08">
      <w:start w:val="1"/>
      <w:numFmt w:val="bullet"/>
      <w:lvlText w:val=""/>
      <w:lvlJc w:val="left"/>
      <w:pPr>
        <w:ind w:left="1440" w:hanging="360"/>
      </w:pPr>
      <w:rPr>
        <w:rFonts w:ascii="Symbol" w:hAnsi="Symbol"/>
      </w:rPr>
    </w:lvl>
    <w:lvl w:ilvl="6" w:tplc="26563D2C">
      <w:start w:val="1"/>
      <w:numFmt w:val="bullet"/>
      <w:lvlText w:val=""/>
      <w:lvlJc w:val="left"/>
      <w:pPr>
        <w:ind w:left="1440" w:hanging="360"/>
      </w:pPr>
      <w:rPr>
        <w:rFonts w:ascii="Symbol" w:hAnsi="Symbol"/>
      </w:rPr>
    </w:lvl>
    <w:lvl w:ilvl="7" w:tplc="1FE4D696">
      <w:start w:val="1"/>
      <w:numFmt w:val="bullet"/>
      <w:lvlText w:val=""/>
      <w:lvlJc w:val="left"/>
      <w:pPr>
        <w:ind w:left="1440" w:hanging="360"/>
      </w:pPr>
      <w:rPr>
        <w:rFonts w:ascii="Symbol" w:hAnsi="Symbol"/>
      </w:rPr>
    </w:lvl>
    <w:lvl w:ilvl="8" w:tplc="B95ED3E0">
      <w:start w:val="1"/>
      <w:numFmt w:val="bullet"/>
      <w:lvlText w:val=""/>
      <w:lvlJc w:val="left"/>
      <w:pPr>
        <w:ind w:left="1440" w:hanging="360"/>
      </w:pPr>
      <w:rPr>
        <w:rFonts w:ascii="Symbol" w:hAnsi="Symbol"/>
      </w:rPr>
    </w:lvl>
  </w:abstractNum>
  <w:abstractNum w:abstractNumId="206" w15:restartNumberingAfterBreak="0">
    <w:nsid w:val="57F9442D"/>
    <w:multiLevelType w:val="hybridMultilevel"/>
    <w:tmpl w:val="D2D2638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7" w15:restartNumberingAfterBreak="0">
    <w:nsid w:val="58226088"/>
    <w:multiLevelType w:val="hybridMultilevel"/>
    <w:tmpl w:val="2F50626A"/>
    <w:lvl w:ilvl="0" w:tplc="13E80F6A">
      <w:start w:val="1"/>
      <w:numFmt w:val="bullet"/>
      <w:lvlText w:val=""/>
      <w:lvlJc w:val="left"/>
      <w:pPr>
        <w:ind w:left="1080" w:hanging="360"/>
      </w:pPr>
      <w:rPr>
        <w:rFonts w:ascii="Symbol" w:hAnsi="Symbol"/>
      </w:rPr>
    </w:lvl>
    <w:lvl w:ilvl="1" w:tplc="B464F6C8">
      <w:start w:val="1"/>
      <w:numFmt w:val="bullet"/>
      <w:lvlText w:val=""/>
      <w:lvlJc w:val="left"/>
      <w:pPr>
        <w:ind w:left="1080" w:hanging="360"/>
      </w:pPr>
      <w:rPr>
        <w:rFonts w:ascii="Symbol" w:hAnsi="Symbol"/>
      </w:rPr>
    </w:lvl>
    <w:lvl w:ilvl="2" w:tplc="D974BEBA">
      <w:start w:val="1"/>
      <w:numFmt w:val="bullet"/>
      <w:lvlText w:val=""/>
      <w:lvlJc w:val="left"/>
      <w:pPr>
        <w:ind w:left="1080" w:hanging="360"/>
      </w:pPr>
      <w:rPr>
        <w:rFonts w:ascii="Symbol" w:hAnsi="Symbol"/>
      </w:rPr>
    </w:lvl>
    <w:lvl w:ilvl="3" w:tplc="9CDC2C8E">
      <w:start w:val="1"/>
      <w:numFmt w:val="bullet"/>
      <w:lvlText w:val=""/>
      <w:lvlJc w:val="left"/>
      <w:pPr>
        <w:ind w:left="1080" w:hanging="360"/>
      </w:pPr>
      <w:rPr>
        <w:rFonts w:ascii="Symbol" w:hAnsi="Symbol"/>
      </w:rPr>
    </w:lvl>
    <w:lvl w:ilvl="4" w:tplc="AF34103A">
      <w:start w:val="1"/>
      <w:numFmt w:val="bullet"/>
      <w:lvlText w:val=""/>
      <w:lvlJc w:val="left"/>
      <w:pPr>
        <w:ind w:left="1080" w:hanging="360"/>
      </w:pPr>
      <w:rPr>
        <w:rFonts w:ascii="Symbol" w:hAnsi="Symbol"/>
      </w:rPr>
    </w:lvl>
    <w:lvl w:ilvl="5" w:tplc="DD8A9494">
      <w:start w:val="1"/>
      <w:numFmt w:val="bullet"/>
      <w:lvlText w:val=""/>
      <w:lvlJc w:val="left"/>
      <w:pPr>
        <w:ind w:left="1080" w:hanging="360"/>
      </w:pPr>
      <w:rPr>
        <w:rFonts w:ascii="Symbol" w:hAnsi="Symbol"/>
      </w:rPr>
    </w:lvl>
    <w:lvl w:ilvl="6" w:tplc="9530C6EA">
      <w:start w:val="1"/>
      <w:numFmt w:val="bullet"/>
      <w:lvlText w:val=""/>
      <w:lvlJc w:val="left"/>
      <w:pPr>
        <w:ind w:left="1080" w:hanging="360"/>
      </w:pPr>
      <w:rPr>
        <w:rFonts w:ascii="Symbol" w:hAnsi="Symbol"/>
      </w:rPr>
    </w:lvl>
    <w:lvl w:ilvl="7" w:tplc="9D381A4A">
      <w:start w:val="1"/>
      <w:numFmt w:val="bullet"/>
      <w:lvlText w:val=""/>
      <w:lvlJc w:val="left"/>
      <w:pPr>
        <w:ind w:left="1080" w:hanging="360"/>
      </w:pPr>
      <w:rPr>
        <w:rFonts w:ascii="Symbol" w:hAnsi="Symbol"/>
      </w:rPr>
    </w:lvl>
    <w:lvl w:ilvl="8" w:tplc="11844156">
      <w:start w:val="1"/>
      <w:numFmt w:val="bullet"/>
      <w:lvlText w:val=""/>
      <w:lvlJc w:val="left"/>
      <w:pPr>
        <w:ind w:left="1080" w:hanging="360"/>
      </w:pPr>
      <w:rPr>
        <w:rFonts w:ascii="Symbol" w:hAnsi="Symbol"/>
      </w:rPr>
    </w:lvl>
  </w:abstractNum>
  <w:abstractNum w:abstractNumId="208" w15:restartNumberingAfterBreak="0">
    <w:nsid w:val="5A6F2886"/>
    <w:multiLevelType w:val="hybridMultilevel"/>
    <w:tmpl w:val="936C054A"/>
    <w:lvl w:ilvl="0" w:tplc="1EEEE8A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9" w15:restartNumberingAfterBreak="0">
    <w:nsid w:val="5AB223D8"/>
    <w:multiLevelType w:val="hybridMultilevel"/>
    <w:tmpl w:val="B61E302A"/>
    <w:lvl w:ilvl="0" w:tplc="2050E132">
      <w:start w:val="1"/>
      <w:numFmt w:val="bullet"/>
      <w:lvlText w:val="­"/>
      <w:lvlJc w:val="left"/>
      <w:pPr>
        <w:ind w:left="1080" w:hanging="360"/>
      </w:pPr>
      <w:rPr>
        <w:rFonts w:ascii="Arial" w:hAnsi="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0" w15:restartNumberingAfterBreak="0">
    <w:nsid w:val="5BBE6069"/>
    <w:multiLevelType w:val="hybridMultilevel"/>
    <w:tmpl w:val="28B05F16"/>
    <w:lvl w:ilvl="0" w:tplc="91DC29E2">
      <w:start w:val="1"/>
      <w:numFmt w:val="lowerRoman"/>
      <w:lvlText w:val="(%1)"/>
      <w:lvlJc w:val="left"/>
      <w:pPr>
        <w:ind w:left="780" w:hanging="72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211" w15:restartNumberingAfterBreak="0">
    <w:nsid w:val="5C2A7431"/>
    <w:multiLevelType w:val="hybridMultilevel"/>
    <w:tmpl w:val="6542FC72"/>
    <w:lvl w:ilvl="0" w:tplc="E6A024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2" w15:restartNumberingAfterBreak="0">
    <w:nsid w:val="5C2D6462"/>
    <w:multiLevelType w:val="hybridMultilevel"/>
    <w:tmpl w:val="E7D20B9E"/>
    <w:lvl w:ilvl="0" w:tplc="D4544E30">
      <w:start w:val="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3" w15:restartNumberingAfterBreak="0">
    <w:nsid w:val="5D083472"/>
    <w:multiLevelType w:val="hybridMultilevel"/>
    <w:tmpl w:val="7B780E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4" w15:restartNumberingAfterBreak="0">
    <w:nsid w:val="5D3C14C0"/>
    <w:multiLevelType w:val="multilevel"/>
    <w:tmpl w:val="6494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5D735B98"/>
    <w:multiLevelType w:val="hybridMultilevel"/>
    <w:tmpl w:val="34203636"/>
    <w:lvl w:ilvl="0" w:tplc="DAC43012">
      <w:start w:val="1"/>
      <w:numFmt w:val="bullet"/>
      <w:lvlText w:val="-"/>
      <w:lvlJc w:val="left"/>
      <w:pPr>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6" w15:restartNumberingAfterBreak="0">
    <w:nsid w:val="5E34320B"/>
    <w:multiLevelType w:val="hybridMultilevel"/>
    <w:tmpl w:val="08866B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7" w15:restartNumberingAfterBreak="0">
    <w:nsid w:val="5E8C6B38"/>
    <w:multiLevelType w:val="hybridMultilevel"/>
    <w:tmpl w:val="1316847E"/>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5E900E85"/>
    <w:multiLevelType w:val="hybridMultilevel"/>
    <w:tmpl w:val="FE5E1A3E"/>
    <w:lvl w:ilvl="0" w:tplc="1809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43AC6B9C">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9" w15:restartNumberingAfterBreak="0">
    <w:nsid w:val="5F115F04"/>
    <w:multiLevelType w:val="hybridMultilevel"/>
    <w:tmpl w:val="95CA08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5F307127"/>
    <w:multiLevelType w:val="hybridMultilevel"/>
    <w:tmpl w:val="8A02D49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5F32584B"/>
    <w:multiLevelType w:val="hybridMultilevel"/>
    <w:tmpl w:val="E754317E"/>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5F464962"/>
    <w:multiLevelType w:val="hybridMultilevel"/>
    <w:tmpl w:val="0A606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3" w15:restartNumberingAfterBreak="0">
    <w:nsid w:val="61012E74"/>
    <w:multiLevelType w:val="hybridMultilevel"/>
    <w:tmpl w:val="C8D66196"/>
    <w:lvl w:ilvl="0" w:tplc="FFFFFFFF">
      <w:start w:val="1"/>
      <w:numFmt w:val="bullet"/>
      <w:lvlText w:val="-"/>
      <w:lvlJc w:val="left"/>
      <w:pPr>
        <w:ind w:left="720" w:hanging="360"/>
      </w:pPr>
      <w:rPr>
        <w:rFonts w:ascii="Arial" w:hAnsi="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4" w15:restartNumberingAfterBreak="0">
    <w:nsid w:val="611E758F"/>
    <w:multiLevelType w:val="hybridMultilevel"/>
    <w:tmpl w:val="A3DCAFFE"/>
    <w:lvl w:ilvl="0" w:tplc="FFFFFFFF">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5" w15:restartNumberingAfterBreak="0">
    <w:nsid w:val="61610145"/>
    <w:multiLevelType w:val="hybridMultilevel"/>
    <w:tmpl w:val="C330C46C"/>
    <w:lvl w:ilvl="0" w:tplc="2050E13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6" w15:restartNumberingAfterBreak="0">
    <w:nsid w:val="618F7FDE"/>
    <w:multiLevelType w:val="multilevel"/>
    <w:tmpl w:val="8ABE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241333B"/>
    <w:multiLevelType w:val="hybridMultilevel"/>
    <w:tmpl w:val="1692457C"/>
    <w:lvl w:ilvl="0" w:tplc="2050E132">
      <w:start w:val="1"/>
      <w:numFmt w:val="bullet"/>
      <w:lvlText w:val="­"/>
      <w:lvlJc w:val="left"/>
      <w:pPr>
        <w:ind w:left="1637" w:hanging="360"/>
      </w:pPr>
      <w:rPr>
        <w:rFonts w:ascii="Arial" w:hAnsi="Arial" w:hint="default"/>
      </w:rPr>
    </w:lvl>
    <w:lvl w:ilvl="1" w:tplc="04100003" w:tentative="1">
      <w:start w:val="1"/>
      <w:numFmt w:val="bullet"/>
      <w:lvlText w:val="o"/>
      <w:lvlJc w:val="left"/>
      <w:pPr>
        <w:ind w:left="2357" w:hanging="360"/>
      </w:pPr>
      <w:rPr>
        <w:rFonts w:ascii="Courier New" w:hAnsi="Courier New" w:cs="Courier New" w:hint="default"/>
      </w:rPr>
    </w:lvl>
    <w:lvl w:ilvl="2" w:tplc="04100005" w:tentative="1">
      <w:start w:val="1"/>
      <w:numFmt w:val="bullet"/>
      <w:lvlText w:val=""/>
      <w:lvlJc w:val="left"/>
      <w:pPr>
        <w:ind w:left="3077" w:hanging="360"/>
      </w:pPr>
      <w:rPr>
        <w:rFonts w:ascii="Wingdings" w:hAnsi="Wingdings" w:hint="default"/>
      </w:rPr>
    </w:lvl>
    <w:lvl w:ilvl="3" w:tplc="04100001" w:tentative="1">
      <w:start w:val="1"/>
      <w:numFmt w:val="bullet"/>
      <w:lvlText w:val=""/>
      <w:lvlJc w:val="left"/>
      <w:pPr>
        <w:ind w:left="3797" w:hanging="360"/>
      </w:pPr>
      <w:rPr>
        <w:rFonts w:ascii="Symbol" w:hAnsi="Symbol" w:hint="default"/>
      </w:rPr>
    </w:lvl>
    <w:lvl w:ilvl="4" w:tplc="04100003" w:tentative="1">
      <w:start w:val="1"/>
      <w:numFmt w:val="bullet"/>
      <w:lvlText w:val="o"/>
      <w:lvlJc w:val="left"/>
      <w:pPr>
        <w:ind w:left="4517" w:hanging="360"/>
      </w:pPr>
      <w:rPr>
        <w:rFonts w:ascii="Courier New" w:hAnsi="Courier New" w:cs="Courier New" w:hint="default"/>
      </w:rPr>
    </w:lvl>
    <w:lvl w:ilvl="5" w:tplc="04100005" w:tentative="1">
      <w:start w:val="1"/>
      <w:numFmt w:val="bullet"/>
      <w:lvlText w:val=""/>
      <w:lvlJc w:val="left"/>
      <w:pPr>
        <w:ind w:left="5237" w:hanging="360"/>
      </w:pPr>
      <w:rPr>
        <w:rFonts w:ascii="Wingdings" w:hAnsi="Wingdings" w:hint="default"/>
      </w:rPr>
    </w:lvl>
    <w:lvl w:ilvl="6" w:tplc="04100001" w:tentative="1">
      <w:start w:val="1"/>
      <w:numFmt w:val="bullet"/>
      <w:lvlText w:val=""/>
      <w:lvlJc w:val="left"/>
      <w:pPr>
        <w:ind w:left="5957" w:hanging="360"/>
      </w:pPr>
      <w:rPr>
        <w:rFonts w:ascii="Symbol" w:hAnsi="Symbol" w:hint="default"/>
      </w:rPr>
    </w:lvl>
    <w:lvl w:ilvl="7" w:tplc="04100003" w:tentative="1">
      <w:start w:val="1"/>
      <w:numFmt w:val="bullet"/>
      <w:lvlText w:val="o"/>
      <w:lvlJc w:val="left"/>
      <w:pPr>
        <w:ind w:left="6677" w:hanging="360"/>
      </w:pPr>
      <w:rPr>
        <w:rFonts w:ascii="Courier New" w:hAnsi="Courier New" w:cs="Courier New" w:hint="default"/>
      </w:rPr>
    </w:lvl>
    <w:lvl w:ilvl="8" w:tplc="04100005" w:tentative="1">
      <w:start w:val="1"/>
      <w:numFmt w:val="bullet"/>
      <w:lvlText w:val=""/>
      <w:lvlJc w:val="left"/>
      <w:pPr>
        <w:ind w:left="7397" w:hanging="360"/>
      </w:pPr>
      <w:rPr>
        <w:rFonts w:ascii="Wingdings" w:hAnsi="Wingdings" w:hint="default"/>
      </w:rPr>
    </w:lvl>
  </w:abstractNum>
  <w:abstractNum w:abstractNumId="228" w15:restartNumberingAfterBreak="0">
    <w:nsid w:val="62D14AA8"/>
    <w:multiLevelType w:val="hybridMultilevel"/>
    <w:tmpl w:val="7A2ECBC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9" w15:restartNumberingAfterBreak="0">
    <w:nsid w:val="62D30F7E"/>
    <w:multiLevelType w:val="hybridMultilevel"/>
    <w:tmpl w:val="F114497E"/>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62DA1F34"/>
    <w:multiLevelType w:val="hybridMultilevel"/>
    <w:tmpl w:val="1B888188"/>
    <w:lvl w:ilvl="0" w:tplc="2434334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62DF590A"/>
    <w:multiLevelType w:val="hybridMultilevel"/>
    <w:tmpl w:val="C42EAF0E"/>
    <w:lvl w:ilvl="0" w:tplc="08070019">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2" w15:restartNumberingAfterBreak="0">
    <w:nsid w:val="63B14642"/>
    <w:multiLevelType w:val="hybridMultilevel"/>
    <w:tmpl w:val="4A306B8E"/>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3" w15:restartNumberingAfterBreak="0">
    <w:nsid w:val="63BF6AD7"/>
    <w:multiLevelType w:val="hybridMultilevel"/>
    <w:tmpl w:val="F9840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4" w15:restartNumberingAfterBreak="0">
    <w:nsid w:val="64085B90"/>
    <w:multiLevelType w:val="hybridMultilevel"/>
    <w:tmpl w:val="B4F6AEB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35" w15:restartNumberingAfterBreak="0">
    <w:nsid w:val="641966B8"/>
    <w:multiLevelType w:val="hybridMultilevel"/>
    <w:tmpl w:val="EE04AA0E"/>
    <w:lvl w:ilvl="0" w:tplc="2050E132">
      <w:start w:val="1"/>
      <w:numFmt w:val="bullet"/>
      <w:lvlText w:val="­"/>
      <w:lvlJc w:val="left"/>
      <w:pPr>
        <w:ind w:left="1068" w:hanging="360"/>
      </w:pPr>
      <w:rPr>
        <w:rFonts w:ascii="Arial" w:hAnsi="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36" w15:restartNumberingAfterBreak="0">
    <w:nsid w:val="64600835"/>
    <w:multiLevelType w:val="hybridMultilevel"/>
    <w:tmpl w:val="1E76023E"/>
    <w:lvl w:ilvl="0" w:tplc="5DD0700A">
      <w:start w:val="1"/>
      <w:numFmt w:val="bullet"/>
      <w:lvlText w:val=""/>
      <w:lvlJc w:val="left"/>
      <w:pPr>
        <w:ind w:left="1440" w:hanging="360"/>
      </w:pPr>
      <w:rPr>
        <w:rFonts w:ascii="Symbol" w:hAnsi="Symbol"/>
      </w:rPr>
    </w:lvl>
    <w:lvl w:ilvl="1" w:tplc="C9066166">
      <w:start w:val="1"/>
      <w:numFmt w:val="bullet"/>
      <w:lvlText w:val=""/>
      <w:lvlJc w:val="left"/>
      <w:pPr>
        <w:ind w:left="1440" w:hanging="360"/>
      </w:pPr>
      <w:rPr>
        <w:rFonts w:ascii="Symbol" w:hAnsi="Symbol"/>
      </w:rPr>
    </w:lvl>
    <w:lvl w:ilvl="2" w:tplc="F092D262">
      <w:start w:val="1"/>
      <w:numFmt w:val="bullet"/>
      <w:lvlText w:val=""/>
      <w:lvlJc w:val="left"/>
      <w:pPr>
        <w:ind w:left="1440" w:hanging="360"/>
      </w:pPr>
      <w:rPr>
        <w:rFonts w:ascii="Symbol" w:hAnsi="Symbol"/>
      </w:rPr>
    </w:lvl>
    <w:lvl w:ilvl="3" w:tplc="A4EA22F6">
      <w:start w:val="1"/>
      <w:numFmt w:val="bullet"/>
      <w:lvlText w:val=""/>
      <w:lvlJc w:val="left"/>
      <w:pPr>
        <w:ind w:left="1440" w:hanging="360"/>
      </w:pPr>
      <w:rPr>
        <w:rFonts w:ascii="Symbol" w:hAnsi="Symbol"/>
      </w:rPr>
    </w:lvl>
    <w:lvl w:ilvl="4" w:tplc="8B4A1F74">
      <w:start w:val="1"/>
      <w:numFmt w:val="bullet"/>
      <w:lvlText w:val=""/>
      <w:lvlJc w:val="left"/>
      <w:pPr>
        <w:ind w:left="1440" w:hanging="360"/>
      </w:pPr>
      <w:rPr>
        <w:rFonts w:ascii="Symbol" w:hAnsi="Symbol"/>
      </w:rPr>
    </w:lvl>
    <w:lvl w:ilvl="5" w:tplc="1D4C469C">
      <w:start w:val="1"/>
      <w:numFmt w:val="bullet"/>
      <w:lvlText w:val=""/>
      <w:lvlJc w:val="left"/>
      <w:pPr>
        <w:ind w:left="1440" w:hanging="360"/>
      </w:pPr>
      <w:rPr>
        <w:rFonts w:ascii="Symbol" w:hAnsi="Symbol"/>
      </w:rPr>
    </w:lvl>
    <w:lvl w:ilvl="6" w:tplc="2C46CE46">
      <w:start w:val="1"/>
      <w:numFmt w:val="bullet"/>
      <w:lvlText w:val=""/>
      <w:lvlJc w:val="left"/>
      <w:pPr>
        <w:ind w:left="1440" w:hanging="360"/>
      </w:pPr>
      <w:rPr>
        <w:rFonts w:ascii="Symbol" w:hAnsi="Symbol"/>
      </w:rPr>
    </w:lvl>
    <w:lvl w:ilvl="7" w:tplc="D93A27D6">
      <w:start w:val="1"/>
      <w:numFmt w:val="bullet"/>
      <w:lvlText w:val=""/>
      <w:lvlJc w:val="left"/>
      <w:pPr>
        <w:ind w:left="1440" w:hanging="360"/>
      </w:pPr>
      <w:rPr>
        <w:rFonts w:ascii="Symbol" w:hAnsi="Symbol"/>
      </w:rPr>
    </w:lvl>
    <w:lvl w:ilvl="8" w:tplc="B12ED2CC">
      <w:start w:val="1"/>
      <w:numFmt w:val="bullet"/>
      <w:lvlText w:val=""/>
      <w:lvlJc w:val="left"/>
      <w:pPr>
        <w:ind w:left="1440" w:hanging="360"/>
      </w:pPr>
      <w:rPr>
        <w:rFonts w:ascii="Symbol" w:hAnsi="Symbol"/>
      </w:rPr>
    </w:lvl>
  </w:abstractNum>
  <w:abstractNum w:abstractNumId="237" w15:restartNumberingAfterBreak="0">
    <w:nsid w:val="647C22DD"/>
    <w:multiLevelType w:val="hybridMultilevel"/>
    <w:tmpl w:val="42344BE0"/>
    <w:lvl w:ilvl="0" w:tplc="2050E132">
      <w:start w:val="1"/>
      <w:numFmt w:val="bullet"/>
      <w:lvlText w:val="­"/>
      <w:lvlJc w:val="left"/>
      <w:pPr>
        <w:ind w:left="1068" w:hanging="360"/>
      </w:pPr>
      <w:rPr>
        <w:rFonts w:ascii="Arial" w:hAnsi="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38" w15:restartNumberingAfterBreak="0">
    <w:nsid w:val="64B1300B"/>
    <w:multiLevelType w:val="multilevel"/>
    <w:tmpl w:val="B438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64DD3523"/>
    <w:multiLevelType w:val="hybridMultilevel"/>
    <w:tmpl w:val="E2349CE0"/>
    <w:lvl w:ilvl="0" w:tplc="2050E132">
      <w:start w:val="1"/>
      <w:numFmt w:val="bullet"/>
      <w:lvlText w:val="­"/>
      <w:lvlJc w:val="left"/>
      <w:pPr>
        <w:ind w:left="1069" w:hanging="360"/>
      </w:pPr>
      <w:rPr>
        <w:rFonts w:ascii="Arial" w:hAnsi="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0" w15:restartNumberingAfterBreak="0">
    <w:nsid w:val="65AA07A7"/>
    <w:multiLevelType w:val="hybridMultilevel"/>
    <w:tmpl w:val="6DA6E1BC"/>
    <w:lvl w:ilvl="0" w:tplc="2050E132">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1" w15:restartNumberingAfterBreak="0">
    <w:nsid w:val="65AD6D43"/>
    <w:multiLevelType w:val="hybridMultilevel"/>
    <w:tmpl w:val="DAAA4456"/>
    <w:lvl w:ilvl="0" w:tplc="F42E0BEA">
      <w:start w:val="21"/>
      <w:numFmt w:val="bullet"/>
      <w:lvlText w:val="-"/>
      <w:lvlJc w:val="left"/>
      <w:pPr>
        <w:ind w:left="720" w:hanging="360"/>
      </w:pPr>
      <w:rPr>
        <w:rFonts w:ascii="Segoe UI" w:eastAsia="Segoe UI" w:hAnsi="Segoe UI" w:cs="Segoe U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2" w15:restartNumberingAfterBreak="0">
    <w:nsid w:val="65DB499A"/>
    <w:multiLevelType w:val="hybridMultilevel"/>
    <w:tmpl w:val="C34842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3" w15:restartNumberingAfterBreak="0">
    <w:nsid w:val="66383F89"/>
    <w:multiLevelType w:val="hybridMultilevel"/>
    <w:tmpl w:val="CAA80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4" w15:restartNumberingAfterBreak="0">
    <w:nsid w:val="66396E81"/>
    <w:multiLevelType w:val="hybridMultilevel"/>
    <w:tmpl w:val="5896CB54"/>
    <w:lvl w:ilvl="0" w:tplc="FAC2812E">
      <w:start w:val="1"/>
      <w:numFmt w:val="bullet"/>
      <w:lvlText w:val="•"/>
      <w:lvlJc w:val="left"/>
      <w:pPr>
        <w:tabs>
          <w:tab w:val="num" w:pos="720"/>
        </w:tabs>
        <w:ind w:left="720" w:hanging="360"/>
      </w:pPr>
      <w:rPr>
        <w:rFonts w:ascii="Arial" w:hAnsi="Arial" w:hint="default"/>
      </w:rPr>
    </w:lvl>
    <w:lvl w:ilvl="1" w:tplc="3E6C00AE" w:tentative="1">
      <w:start w:val="1"/>
      <w:numFmt w:val="bullet"/>
      <w:lvlText w:val="•"/>
      <w:lvlJc w:val="left"/>
      <w:pPr>
        <w:tabs>
          <w:tab w:val="num" w:pos="1440"/>
        </w:tabs>
        <w:ind w:left="1440" w:hanging="360"/>
      </w:pPr>
      <w:rPr>
        <w:rFonts w:ascii="Arial" w:hAnsi="Arial" w:hint="default"/>
      </w:rPr>
    </w:lvl>
    <w:lvl w:ilvl="2" w:tplc="89863FAA" w:tentative="1">
      <w:start w:val="1"/>
      <w:numFmt w:val="bullet"/>
      <w:lvlText w:val="•"/>
      <w:lvlJc w:val="left"/>
      <w:pPr>
        <w:tabs>
          <w:tab w:val="num" w:pos="2160"/>
        </w:tabs>
        <w:ind w:left="2160" w:hanging="360"/>
      </w:pPr>
      <w:rPr>
        <w:rFonts w:ascii="Arial" w:hAnsi="Arial" w:hint="default"/>
      </w:rPr>
    </w:lvl>
    <w:lvl w:ilvl="3" w:tplc="BF5CE274" w:tentative="1">
      <w:start w:val="1"/>
      <w:numFmt w:val="bullet"/>
      <w:lvlText w:val="•"/>
      <w:lvlJc w:val="left"/>
      <w:pPr>
        <w:tabs>
          <w:tab w:val="num" w:pos="2880"/>
        </w:tabs>
        <w:ind w:left="2880" w:hanging="360"/>
      </w:pPr>
      <w:rPr>
        <w:rFonts w:ascii="Arial" w:hAnsi="Arial" w:hint="default"/>
      </w:rPr>
    </w:lvl>
    <w:lvl w:ilvl="4" w:tplc="0F800E94" w:tentative="1">
      <w:start w:val="1"/>
      <w:numFmt w:val="bullet"/>
      <w:lvlText w:val="•"/>
      <w:lvlJc w:val="left"/>
      <w:pPr>
        <w:tabs>
          <w:tab w:val="num" w:pos="3600"/>
        </w:tabs>
        <w:ind w:left="3600" w:hanging="360"/>
      </w:pPr>
      <w:rPr>
        <w:rFonts w:ascii="Arial" w:hAnsi="Arial" w:hint="default"/>
      </w:rPr>
    </w:lvl>
    <w:lvl w:ilvl="5" w:tplc="AD485616" w:tentative="1">
      <w:start w:val="1"/>
      <w:numFmt w:val="bullet"/>
      <w:lvlText w:val="•"/>
      <w:lvlJc w:val="left"/>
      <w:pPr>
        <w:tabs>
          <w:tab w:val="num" w:pos="4320"/>
        </w:tabs>
        <w:ind w:left="4320" w:hanging="360"/>
      </w:pPr>
      <w:rPr>
        <w:rFonts w:ascii="Arial" w:hAnsi="Arial" w:hint="default"/>
      </w:rPr>
    </w:lvl>
    <w:lvl w:ilvl="6" w:tplc="F24E32A4" w:tentative="1">
      <w:start w:val="1"/>
      <w:numFmt w:val="bullet"/>
      <w:lvlText w:val="•"/>
      <w:lvlJc w:val="left"/>
      <w:pPr>
        <w:tabs>
          <w:tab w:val="num" w:pos="5040"/>
        </w:tabs>
        <w:ind w:left="5040" w:hanging="360"/>
      </w:pPr>
      <w:rPr>
        <w:rFonts w:ascii="Arial" w:hAnsi="Arial" w:hint="default"/>
      </w:rPr>
    </w:lvl>
    <w:lvl w:ilvl="7" w:tplc="31922DC4" w:tentative="1">
      <w:start w:val="1"/>
      <w:numFmt w:val="bullet"/>
      <w:lvlText w:val="•"/>
      <w:lvlJc w:val="left"/>
      <w:pPr>
        <w:tabs>
          <w:tab w:val="num" w:pos="5760"/>
        </w:tabs>
        <w:ind w:left="5760" w:hanging="360"/>
      </w:pPr>
      <w:rPr>
        <w:rFonts w:ascii="Arial" w:hAnsi="Arial" w:hint="default"/>
      </w:rPr>
    </w:lvl>
    <w:lvl w:ilvl="8" w:tplc="1E0039A4" w:tentative="1">
      <w:start w:val="1"/>
      <w:numFmt w:val="bullet"/>
      <w:lvlText w:val="•"/>
      <w:lvlJc w:val="left"/>
      <w:pPr>
        <w:tabs>
          <w:tab w:val="num" w:pos="6480"/>
        </w:tabs>
        <w:ind w:left="6480" w:hanging="360"/>
      </w:pPr>
      <w:rPr>
        <w:rFonts w:ascii="Arial" w:hAnsi="Arial" w:hint="default"/>
      </w:rPr>
    </w:lvl>
  </w:abstractNum>
  <w:abstractNum w:abstractNumId="245" w15:restartNumberingAfterBreak="0">
    <w:nsid w:val="66731036"/>
    <w:multiLevelType w:val="hybridMultilevel"/>
    <w:tmpl w:val="5426941A"/>
    <w:lvl w:ilvl="0" w:tplc="04100001">
      <w:start w:val="1"/>
      <w:numFmt w:val="bullet"/>
      <w:lvlText w:val=""/>
      <w:lvlJc w:val="left"/>
      <w:pPr>
        <w:ind w:left="1288" w:hanging="360"/>
      </w:pPr>
      <w:rPr>
        <w:rFonts w:ascii="Symbol" w:hAnsi="Symbol" w:hint="default"/>
      </w:rPr>
    </w:lvl>
    <w:lvl w:ilvl="1" w:tplc="08160003" w:tentative="1">
      <w:start w:val="1"/>
      <w:numFmt w:val="bullet"/>
      <w:lvlText w:val="o"/>
      <w:lvlJc w:val="left"/>
      <w:pPr>
        <w:ind w:left="2008" w:hanging="360"/>
      </w:pPr>
      <w:rPr>
        <w:rFonts w:ascii="Courier New" w:hAnsi="Courier New" w:cs="Courier New" w:hint="default"/>
      </w:rPr>
    </w:lvl>
    <w:lvl w:ilvl="2" w:tplc="08160005" w:tentative="1">
      <w:start w:val="1"/>
      <w:numFmt w:val="bullet"/>
      <w:lvlText w:val=""/>
      <w:lvlJc w:val="left"/>
      <w:pPr>
        <w:ind w:left="2728" w:hanging="360"/>
      </w:pPr>
      <w:rPr>
        <w:rFonts w:ascii="Wingdings" w:hAnsi="Wingdings" w:hint="default"/>
      </w:rPr>
    </w:lvl>
    <w:lvl w:ilvl="3" w:tplc="08160001" w:tentative="1">
      <w:start w:val="1"/>
      <w:numFmt w:val="bullet"/>
      <w:lvlText w:val=""/>
      <w:lvlJc w:val="left"/>
      <w:pPr>
        <w:ind w:left="3448" w:hanging="360"/>
      </w:pPr>
      <w:rPr>
        <w:rFonts w:ascii="Symbol" w:hAnsi="Symbol" w:hint="default"/>
      </w:rPr>
    </w:lvl>
    <w:lvl w:ilvl="4" w:tplc="08160003" w:tentative="1">
      <w:start w:val="1"/>
      <w:numFmt w:val="bullet"/>
      <w:lvlText w:val="o"/>
      <w:lvlJc w:val="left"/>
      <w:pPr>
        <w:ind w:left="4168" w:hanging="360"/>
      </w:pPr>
      <w:rPr>
        <w:rFonts w:ascii="Courier New" w:hAnsi="Courier New" w:cs="Courier New" w:hint="default"/>
      </w:rPr>
    </w:lvl>
    <w:lvl w:ilvl="5" w:tplc="08160005" w:tentative="1">
      <w:start w:val="1"/>
      <w:numFmt w:val="bullet"/>
      <w:lvlText w:val=""/>
      <w:lvlJc w:val="left"/>
      <w:pPr>
        <w:ind w:left="4888" w:hanging="360"/>
      </w:pPr>
      <w:rPr>
        <w:rFonts w:ascii="Wingdings" w:hAnsi="Wingdings" w:hint="default"/>
      </w:rPr>
    </w:lvl>
    <w:lvl w:ilvl="6" w:tplc="08160001" w:tentative="1">
      <w:start w:val="1"/>
      <w:numFmt w:val="bullet"/>
      <w:lvlText w:val=""/>
      <w:lvlJc w:val="left"/>
      <w:pPr>
        <w:ind w:left="5608" w:hanging="360"/>
      </w:pPr>
      <w:rPr>
        <w:rFonts w:ascii="Symbol" w:hAnsi="Symbol" w:hint="default"/>
      </w:rPr>
    </w:lvl>
    <w:lvl w:ilvl="7" w:tplc="08160003" w:tentative="1">
      <w:start w:val="1"/>
      <w:numFmt w:val="bullet"/>
      <w:lvlText w:val="o"/>
      <w:lvlJc w:val="left"/>
      <w:pPr>
        <w:ind w:left="6328" w:hanging="360"/>
      </w:pPr>
      <w:rPr>
        <w:rFonts w:ascii="Courier New" w:hAnsi="Courier New" w:cs="Courier New" w:hint="default"/>
      </w:rPr>
    </w:lvl>
    <w:lvl w:ilvl="8" w:tplc="08160005" w:tentative="1">
      <w:start w:val="1"/>
      <w:numFmt w:val="bullet"/>
      <w:lvlText w:val=""/>
      <w:lvlJc w:val="left"/>
      <w:pPr>
        <w:ind w:left="7048" w:hanging="360"/>
      </w:pPr>
      <w:rPr>
        <w:rFonts w:ascii="Wingdings" w:hAnsi="Wingdings" w:hint="default"/>
      </w:rPr>
    </w:lvl>
  </w:abstractNum>
  <w:abstractNum w:abstractNumId="246" w15:restartNumberingAfterBreak="0">
    <w:nsid w:val="68137C72"/>
    <w:multiLevelType w:val="hybridMultilevel"/>
    <w:tmpl w:val="F0163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7" w15:restartNumberingAfterBreak="0">
    <w:nsid w:val="68816468"/>
    <w:multiLevelType w:val="hybridMultilevel"/>
    <w:tmpl w:val="7D0259A4"/>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8" w15:restartNumberingAfterBreak="0">
    <w:nsid w:val="68AA1230"/>
    <w:multiLevelType w:val="hybridMultilevel"/>
    <w:tmpl w:val="BE7637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9" w15:restartNumberingAfterBreak="0">
    <w:nsid w:val="68E31EEC"/>
    <w:multiLevelType w:val="hybridMultilevel"/>
    <w:tmpl w:val="7540AE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0" w15:restartNumberingAfterBreak="0">
    <w:nsid w:val="69511B91"/>
    <w:multiLevelType w:val="hybridMultilevel"/>
    <w:tmpl w:val="A41099FE"/>
    <w:lvl w:ilvl="0" w:tplc="DFCAEB88">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1" w15:restartNumberingAfterBreak="0">
    <w:nsid w:val="69577140"/>
    <w:multiLevelType w:val="hybridMultilevel"/>
    <w:tmpl w:val="40429F7E"/>
    <w:lvl w:ilvl="0" w:tplc="0410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2" w15:restartNumberingAfterBreak="0">
    <w:nsid w:val="69AC4148"/>
    <w:multiLevelType w:val="hybridMultilevel"/>
    <w:tmpl w:val="E2AA52CA"/>
    <w:lvl w:ilvl="0" w:tplc="AA5E7AB4">
      <w:numFmt w:val="bullet"/>
      <w:lvlText w:val="-"/>
      <w:lvlJc w:val="left"/>
      <w:pPr>
        <w:ind w:left="1069" w:hanging="360"/>
      </w:pPr>
      <w:rPr>
        <w:rFonts w:ascii="Arial" w:eastAsia="Calibri" w:hAnsi="Arial" w:cs="Aria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253" w15:restartNumberingAfterBreak="0">
    <w:nsid w:val="69ED6A03"/>
    <w:multiLevelType w:val="hybridMultilevel"/>
    <w:tmpl w:val="40100C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4" w15:restartNumberingAfterBreak="0">
    <w:nsid w:val="6ADB2F14"/>
    <w:multiLevelType w:val="hybridMultilevel"/>
    <w:tmpl w:val="A19A0F28"/>
    <w:lvl w:ilvl="0" w:tplc="2050E132">
      <w:start w:val="1"/>
      <w:numFmt w:val="bullet"/>
      <w:lvlText w:val="­"/>
      <w:lvlJc w:val="left"/>
      <w:pPr>
        <w:ind w:left="720" w:hanging="360"/>
      </w:pPr>
      <w:rPr>
        <w:rFonts w:ascii="Arial" w:hAnsi="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5" w15:restartNumberingAfterBreak="0">
    <w:nsid w:val="6B8C243D"/>
    <w:multiLevelType w:val="multilevel"/>
    <w:tmpl w:val="06E4AE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BDA63DF"/>
    <w:multiLevelType w:val="hybridMultilevel"/>
    <w:tmpl w:val="7E866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257" w15:restartNumberingAfterBreak="0">
    <w:nsid w:val="6C8868F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15:restartNumberingAfterBreak="0">
    <w:nsid w:val="6CB95143"/>
    <w:multiLevelType w:val="hybridMultilevel"/>
    <w:tmpl w:val="25DE0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6CD16D4F"/>
    <w:multiLevelType w:val="hybridMultilevel"/>
    <w:tmpl w:val="5C465DB0"/>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0" w15:restartNumberingAfterBreak="0">
    <w:nsid w:val="6D407EE5"/>
    <w:multiLevelType w:val="hybridMultilevel"/>
    <w:tmpl w:val="E4985A42"/>
    <w:lvl w:ilvl="0" w:tplc="252EA7A4">
      <w:start w:val="1"/>
      <w:numFmt w:val="bullet"/>
      <w:lvlText w:val=""/>
      <w:lvlJc w:val="left"/>
      <w:pPr>
        <w:ind w:left="1080" w:hanging="360"/>
      </w:pPr>
      <w:rPr>
        <w:rFonts w:ascii="Symbol" w:hAnsi="Symbol"/>
      </w:rPr>
    </w:lvl>
    <w:lvl w:ilvl="1" w:tplc="E88836AE">
      <w:start w:val="1"/>
      <w:numFmt w:val="bullet"/>
      <w:lvlText w:val=""/>
      <w:lvlJc w:val="left"/>
      <w:pPr>
        <w:ind w:left="1080" w:hanging="360"/>
      </w:pPr>
      <w:rPr>
        <w:rFonts w:ascii="Symbol" w:hAnsi="Symbol"/>
      </w:rPr>
    </w:lvl>
    <w:lvl w:ilvl="2" w:tplc="3D068AA0">
      <w:start w:val="1"/>
      <w:numFmt w:val="bullet"/>
      <w:lvlText w:val=""/>
      <w:lvlJc w:val="left"/>
      <w:pPr>
        <w:ind w:left="1080" w:hanging="360"/>
      </w:pPr>
      <w:rPr>
        <w:rFonts w:ascii="Symbol" w:hAnsi="Symbol"/>
      </w:rPr>
    </w:lvl>
    <w:lvl w:ilvl="3" w:tplc="AB14B872">
      <w:start w:val="1"/>
      <w:numFmt w:val="bullet"/>
      <w:lvlText w:val=""/>
      <w:lvlJc w:val="left"/>
      <w:pPr>
        <w:ind w:left="1080" w:hanging="360"/>
      </w:pPr>
      <w:rPr>
        <w:rFonts w:ascii="Symbol" w:hAnsi="Symbol"/>
      </w:rPr>
    </w:lvl>
    <w:lvl w:ilvl="4" w:tplc="8C5E5884">
      <w:start w:val="1"/>
      <w:numFmt w:val="bullet"/>
      <w:lvlText w:val=""/>
      <w:lvlJc w:val="left"/>
      <w:pPr>
        <w:ind w:left="1080" w:hanging="360"/>
      </w:pPr>
      <w:rPr>
        <w:rFonts w:ascii="Symbol" w:hAnsi="Symbol"/>
      </w:rPr>
    </w:lvl>
    <w:lvl w:ilvl="5" w:tplc="181C5B8C">
      <w:start w:val="1"/>
      <w:numFmt w:val="bullet"/>
      <w:lvlText w:val=""/>
      <w:lvlJc w:val="left"/>
      <w:pPr>
        <w:ind w:left="1080" w:hanging="360"/>
      </w:pPr>
      <w:rPr>
        <w:rFonts w:ascii="Symbol" w:hAnsi="Symbol"/>
      </w:rPr>
    </w:lvl>
    <w:lvl w:ilvl="6" w:tplc="86388458">
      <w:start w:val="1"/>
      <w:numFmt w:val="bullet"/>
      <w:lvlText w:val=""/>
      <w:lvlJc w:val="left"/>
      <w:pPr>
        <w:ind w:left="1080" w:hanging="360"/>
      </w:pPr>
      <w:rPr>
        <w:rFonts w:ascii="Symbol" w:hAnsi="Symbol"/>
      </w:rPr>
    </w:lvl>
    <w:lvl w:ilvl="7" w:tplc="C4A8147C">
      <w:start w:val="1"/>
      <w:numFmt w:val="bullet"/>
      <w:lvlText w:val=""/>
      <w:lvlJc w:val="left"/>
      <w:pPr>
        <w:ind w:left="1080" w:hanging="360"/>
      </w:pPr>
      <w:rPr>
        <w:rFonts w:ascii="Symbol" w:hAnsi="Symbol"/>
      </w:rPr>
    </w:lvl>
    <w:lvl w:ilvl="8" w:tplc="4BAA3E00">
      <w:start w:val="1"/>
      <w:numFmt w:val="bullet"/>
      <w:lvlText w:val=""/>
      <w:lvlJc w:val="left"/>
      <w:pPr>
        <w:ind w:left="1080" w:hanging="360"/>
      </w:pPr>
      <w:rPr>
        <w:rFonts w:ascii="Symbol" w:hAnsi="Symbol"/>
      </w:rPr>
    </w:lvl>
  </w:abstractNum>
  <w:abstractNum w:abstractNumId="261" w15:restartNumberingAfterBreak="0">
    <w:nsid w:val="6D5A5499"/>
    <w:multiLevelType w:val="hybridMultilevel"/>
    <w:tmpl w:val="6CBA7BE8"/>
    <w:lvl w:ilvl="0" w:tplc="5A70E5EA">
      <w:start w:val="1"/>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2" w15:restartNumberingAfterBreak="0">
    <w:nsid w:val="6DAF344B"/>
    <w:multiLevelType w:val="hybridMultilevel"/>
    <w:tmpl w:val="CE867322"/>
    <w:lvl w:ilvl="0" w:tplc="1EEEE8A8">
      <w:start w:val="1"/>
      <w:numFmt w:val="bullet"/>
      <w:lvlText w:val="•"/>
      <w:lvlJc w:val="left"/>
      <w:pPr>
        <w:ind w:left="1495" w:hanging="360"/>
      </w:pPr>
      <w:rPr>
        <w:rFonts w:ascii="Arial" w:hAnsi="Arial" w:hint="default"/>
      </w:rPr>
    </w:lvl>
    <w:lvl w:ilvl="1" w:tplc="0C0A0003">
      <w:start w:val="1"/>
      <w:numFmt w:val="bullet"/>
      <w:lvlText w:val="o"/>
      <w:lvlJc w:val="left"/>
      <w:pPr>
        <w:ind w:left="2498" w:hanging="360"/>
      </w:pPr>
      <w:rPr>
        <w:rFonts w:ascii="Courier New" w:hAnsi="Courier New" w:cs="Courier New" w:hint="default"/>
      </w:rPr>
    </w:lvl>
    <w:lvl w:ilvl="2" w:tplc="0C0A0005">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263" w15:restartNumberingAfterBreak="0">
    <w:nsid w:val="6DC979EC"/>
    <w:multiLevelType w:val="hybridMultilevel"/>
    <w:tmpl w:val="659EF506"/>
    <w:lvl w:ilvl="0" w:tplc="43AC6B9C">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64" w15:restartNumberingAfterBreak="0">
    <w:nsid w:val="6E4C2670"/>
    <w:multiLevelType w:val="hybridMultilevel"/>
    <w:tmpl w:val="375E5C32"/>
    <w:lvl w:ilvl="0" w:tplc="DAE0702E">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5" w15:restartNumberingAfterBreak="0">
    <w:nsid w:val="6E9B748E"/>
    <w:multiLevelType w:val="hybridMultilevel"/>
    <w:tmpl w:val="6C48A7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6" w15:restartNumberingAfterBreak="0">
    <w:nsid w:val="6EBF5A97"/>
    <w:multiLevelType w:val="hybridMultilevel"/>
    <w:tmpl w:val="48F8A37C"/>
    <w:lvl w:ilvl="0" w:tplc="2050E132">
      <w:start w:val="1"/>
      <w:numFmt w:val="bullet"/>
      <w:lvlText w:val="­"/>
      <w:lvlJc w:val="left"/>
      <w:pPr>
        <w:ind w:left="720" w:hanging="360"/>
      </w:pPr>
      <w:rPr>
        <w:rFonts w:ascii="Arial" w:hAnsi="Arial" w:hint="default"/>
      </w:rPr>
    </w:lvl>
    <w:lvl w:ilvl="1" w:tplc="437C5B06">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7" w15:restartNumberingAfterBreak="0">
    <w:nsid w:val="6FD59185"/>
    <w:multiLevelType w:val="multilevel"/>
    <w:tmpl w:val="FFFFFFFF"/>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7000790E"/>
    <w:multiLevelType w:val="hybridMultilevel"/>
    <w:tmpl w:val="AA76039E"/>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69" w15:restartNumberingAfterBreak="0">
    <w:nsid w:val="706B0DC9"/>
    <w:multiLevelType w:val="hybridMultilevel"/>
    <w:tmpl w:val="47D05CFC"/>
    <w:lvl w:ilvl="0" w:tplc="2050E132">
      <w:start w:val="1"/>
      <w:numFmt w:val="bullet"/>
      <w:lvlText w:val="­"/>
      <w:lvlJc w:val="left"/>
      <w:pPr>
        <w:ind w:left="720" w:hanging="360"/>
      </w:pPr>
      <w:rPr>
        <w:rFonts w:ascii="Arial" w:hAnsi="Arial" w:hint="default"/>
      </w:rPr>
    </w:lvl>
    <w:lvl w:ilvl="1" w:tplc="A5E60904">
      <w:numFmt w:val="bullet"/>
      <w:lvlText w:val="-"/>
      <w:lvlJc w:val="left"/>
      <w:pPr>
        <w:ind w:left="1440" w:hanging="360"/>
      </w:pPr>
      <w:rPr>
        <w:rFonts w:ascii="Arial" w:eastAsia="Calibri"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0" w15:restartNumberingAfterBreak="0">
    <w:nsid w:val="70927379"/>
    <w:multiLevelType w:val="hybridMultilevel"/>
    <w:tmpl w:val="547446D6"/>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1" w15:restartNumberingAfterBreak="0">
    <w:nsid w:val="70EE1F9E"/>
    <w:multiLevelType w:val="hybridMultilevel"/>
    <w:tmpl w:val="DF48623C"/>
    <w:lvl w:ilvl="0" w:tplc="07802A70">
      <w:start w:val="1"/>
      <w:numFmt w:val="lowerLetter"/>
      <w:lvlText w:val="%1."/>
      <w:lvlJc w:val="left"/>
      <w:pPr>
        <w:ind w:left="1146" w:hanging="360"/>
      </w:pPr>
    </w:lvl>
    <w:lvl w:ilvl="1" w:tplc="8F7AE442">
      <w:start w:val="1"/>
      <w:numFmt w:val="lowerLetter"/>
      <w:lvlText w:val="%2."/>
      <w:lvlJc w:val="left"/>
      <w:pPr>
        <w:ind w:left="1866" w:hanging="360"/>
      </w:pPr>
    </w:lvl>
    <w:lvl w:ilvl="2" w:tplc="3EFEE082">
      <w:start w:val="1"/>
      <w:numFmt w:val="lowerRoman"/>
      <w:lvlText w:val="%3."/>
      <w:lvlJc w:val="right"/>
      <w:pPr>
        <w:ind w:left="2586" w:hanging="180"/>
      </w:pPr>
    </w:lvl>
    <w:lvl w:ilvl="3" w:tplc="6018D16A">
      <w:start w:val="1"/>
      <w:numFmt w:val="decimal"/>
      <w:lvlText w:val="%4."/>
      <w:lvlJc w:val="left"/>
      <w:pPr>
        <w:ind w:left="3306" w:hanging="360"/>
      </w:pPr>
    </w:lvl>
    <w:lvl w:ilvl="4" w:tplc="76CAC1C6">
      <w:start w:val="1"/>
      <w:numFmt w:val="lowerLetter"/>
      <w:lvlText w:val="%5."/>
      <w:lvlJc w:val="left"/>
      <w:pPr>
        <w:ind w:left="4026" w:hanging="360"/>
      </w:pPr>
    </w:lvl>
    <w:lvl w:ilvl="5" w:tplc="6A408066">
      <w:start w:val="1"/>
      <w:numFmt w:val="lowerRoman"/>
      <w:lvlText w:val="%6."/>
      <w:lvlJc w:val="right"/>
      <w:pPr>
        <w:ind w:left="4746" w:hanging="180"/>
      </w:pPr>
    </w:lvl>
    <w:lvl w:ilvl="6" w:tplc="64C8D1A0">
      <w:start w:val="1"/>
      <w:numFmt w:val="decimal"/>
      <w:lvlText w:val="%7."/>
      <w:lvlJc w:val="left"/>
      <w:pPr>
        <w:ind w:left="5466" w:hanging="360"/>
      </w:pPr>
    </w:lvl>
    <w:lvl w:ilvl="7" w:tplc="7A8E102E">
      <w:start w:val="1"/>
      <w:numFmt w:val="lowerLetter"/>
      <w:lvlText w:val="%8."/>
      <w:lvlJc w:val="left"/>
      <w:pPr>
        <w:ind w:left="6186" w:hanging="360"/>
      </w:pPr>
    </w:lvl>
    <w:lvl w:ilvl="8" w:tplc="019AA7B8">
      <w:start w:val="1"/>
      <w:numFmt w:val="lowerRoman"/>
      <w:lvlText w:val="%9."/>
      <w:lvlJc w:val="right"/>
      <w:pPr>
        <w:ind w:left="6906" w:hanging="180"/>
      </w:pPr>
    </w:lvl>
  </w:abstractNum>
  <w:abstractNum w:abstractNumId="272" w15:restartNumberingAfterBreak="0">
    <w:nsid w:val="71A05784"/>
    <w:multiLevelType w:val="hybridMultilevel"/>
    <w:tmpl w:val="57A001CE"/>
    <w:lvl w:ilvl="0" w:tplc="DAC43012">
      <w:start w:val="1"/>
      <w:numFmt w:val="bullet"/>
      <w:lvlText w:val="-"/>
      <w:lvlJc w:val="left"/>
      <w:pPr>
        <w:ind w:left="1429"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273" w15:restartNumberingAfterBreak="0">
    <w:nsid w:val="72272309"/>
    <w:multiLevelType w:val="hybridMultilevel"/>
    <w:tmpl w:val="72221AAE"/>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4" w15:restartNumberingAfterBreak="0">
    <w:nsid w:val="726150C0"/>
    <w:multiLevelType w:val="hybridMultilevel"/>
    <w:tmpl w:val="192ABEEE"/>
    <w:lvl w:ilvl="0" w:tplc="04090001">
      <w:start w:val="1"/>
      <w:numFmt w:val="bullet"/>
      <w:lvlText w:val=""/>
      <w:lvlJc w:val="left"/>
      <w:pPr>
        <w:ind w:left="720" w:hanging="360"/>
      </w:pPr>
      <w:rPr>
        <w:rFonts w:ascii="Symbol" w:hAnsi="Symbol" w:hint="default"/>
      </w:rPr>
    </w:lvl>
    <w:lvl w:ilvl="1" w:tplc="12A0DAC2">
      <w:start w:val="1"/>
      <w:numFmt w:val="lowerLetter"/>
      <w:lvlText w:val="%2."/>
      <w:lvlJc w:val="right"/>
      <w:pPr>
        <w:ind w:left="144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88886B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26E391A"/>
    <w:multiLevelType w:val="hybridMultilevel"/>
    <w:tmpl w:val="B09CBECC"/>
    <w:lvl w:ilvl="0" w:tplc="2050E132">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6" w15:restartNumberingAfterBreak="0">
    <w:nsid w:val="728B7F4C"/>
    <w:multiLevelType w:val="hybridMultilevel"/>
    <w:tmpl w:val="CE1200E6"/>
    <w:lvl w:ilvl="0" w:tplc="2050E132">
      <w:start w:val="1"/>
      <w:numFmt w:val="bullet"/>
      <w:lvlText w:val="­"/>
      <w:lvlJc w:val="left"/>
      <w:pPr>
        <w:ind w:left="720" w:hanging="360"/>
      </w:pPr>
      <w:rPr>
        <w:rFonts w:ascii="Arial" w:hAnsi="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7" w15:restartNumberingAfterBreak="0">
    <w:nsid w:val="72A617AB"/>
    <w:multiLevelType w:val="hybridMultilevel"/>
    <w:tmpl w:val="59C08C12"/>
    <w:lvl w:ilvl="0" w:tplc="280EFA3C">
      <w:start w:val="1"/>
      <w:numFmt w:val="decimal"/>
      <w:lvlText w:val="%1."/>
      <w:lvlJc w:val="left"/>
      <w:pPr>
        <w:ind w:left="1440" w:hanging="360"/>
      </w:pPr>
    </w:lvl>
    <w:lvl w:ilvl="1" w:tplc="8EC20C28">
      <w:start w:val="1"/>
      <w:numFmt w:val="decimal"/>
      <w:lvlText w:val="%2."/>
      <w:lvlJc w:val="left"/>
      <w:pPr>
        <w:ind w:left="1440" w:hanging="360"/>
      </w:pPr>
    </w:lvl>
    <w:lvl w:ilvl="2" w:tplc="BECC4A4E">
      <w:start w:val="1"/>
      <w:numFmt w:val="decimal"/>
      <w:lvlText w:val="%3."/>
      <w:lvlJc w:val="left"/>
      <w:pPr>
        <w:ind w:left="1440" w:hanging="360"/>
      </w:pPr>
    </w:lvl>
    <w:lvl w:ilvl="3" w:tplc="18386DF2">
      <w:start w:val="1"/>
      <w:numFmt w:val="decimal"/>
      <w:lvlText w:val="%4."/>
      <w:lvlJc w:val="left"/>
      <w:pPr>
        <w:ind w:left="1440" w:hanging="360"/>
      </w:pPr>
    </w:lvl>
    <w:lvl w:ilvl="4" w:tplc="601CB1C2">
      <w:start w:val="1"/>
      <w:numFmt w:val="decimal"/>
      <w:lvlText w:val="%5."/>
      <w:lvlJc w:val="left"/>
      <w:pPr>
        <w:ind w:left="1440" w:hanging="360"/>
      </w:pPr>
    </w:lvl>
    <w:lvl w:ilvl="5" w:tplc="CE94BBA6">
      <w:start w:val="1"/>
      <w:numFmt w:val="decimal"/>
      <w:lvlText w:val="%6."/>
      <w:lvlJc w:val="left"/>
      <w:pPr>
        <w:ind w:left="1440" w:hanging="360"/>
      </w:pPr>
    </w:lvl>
    <w:lvl w:ilvl="6" w:tplc="61F68D92">
      <w:start w:val="1"/>
      <w:numFmt w:val="decimal"/>
      <w:lvlText w:val="%7."/>
      <w:lvlJc w:val="left"/>
      <w:pPr>
        <w:ind w:left="1440" w:hanging="360"/>
      </w:pPr>
    </w:lvl>
    <w:lvl w:ilvl="7" w:tplc="C2F6EEEE">
      <w:start w:val="1"/>
      <w:numFmt w:val="decimal"/>
      <w:lvlText w:val="%8."/>
      <w:lvlJc w:val="left"/>
      <w:pPr>
        <w:ind w:left="1440" w:hanging="360"/>
      </w:pPr>
    </w:lvl>
    <w:lvl w:ilvl="8" w:tplc="BD86673E">
      <w:start w:val="1"/>
      <w:numFmt w:val="decimal"/>
      <w:lvlText w:val="%9."/>
      <w:lvlJc w:val="left"/>
      <w:pPr>
        <w:ind w:left="1440" w:hanging="360"/>
      </w:pPr>
    </w:lvl>
  </w:abstractNum>
  <w:abstractNum w:abstractNumId="278" w15:restartNumberingAfterBreak="0">
    <w:nsid w:val="72DA5652"/>
    <w:multiLevelType w:val="hybridMultilevel"/>
    <w:tmpl w:val="847E3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9" w15:restartNumberingAfterBreak="0">
    <w:nsid w:val="73056151"/>
    <w:multiLevelType w:val="hybridMultilevel"/>
    <w:tmpl w:val="59BE56AE"/>
    <w:lvl w:ilvl="0" w:tplc="A9082358">
      <w:start w:val="20"/>
      <w:numFmt w:val="bullet"/>
      <w:lvlText w:val="-"/>
      <w:lvlJc w:val="left"/>
      <w:pPr>
        <w:ind w:left="720" w:hanging="360"/>
      </w:pPr>
      <w:rPr>
        <w:rFonts w:ascii="Arial Nova" w:eastAsia="Calibri" w:hAnsi="Arial Nova"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0" w15:restartNumberingAfterBreak="0">
    <w:nsid w:val="733F13F9"/>
    <w:multiLevelType w:val="hybridMultilevel"/>
    <w:tmpl w:val="B3B820B2"/>
    <w:lvl w:ilvl="0" w:tplc="FFFFFFFF">
      <w:numFmt w:val="bullet"/>
      <w:lvlText w:val="•"/>
      <w:lvlJc w:val="left"/>
      <w:pPr>
        <w:ind w:left="1440" w:hanging="360"/>
      </w:pPr>
      <w:rPr>
        <w:rFonts w:ascii="Arial" w:eastAsiaTheme="minorHAnsi" w:hAnsi="Arial" w:cs="Arial" w:hint="default"/>
      </w:rPr>
    </w:lvl>
    <w:lvl w:ilvl="1" w:tplc="FFFFFFFF">
      <w:start w:val="1"/>
      <w:numFmt w:val="bullet"/>
      <w:lvlText w:val="o"/>
      <w:lvlJc w:val="left"/>
      <w:pPr>
        <w:ind w:left="2160" w:hanging="360"/>
      </w:pPr>
      <w:rPr>
        <w:rFonts w:ascii="Courier New" w:hAnsi="Courier New" w:cs="Courier New" w:hint="default"/>
      </w:rPr>
    </w:lvl>
    <w:lvl w:ilvl="2" w:tplc="18090001">
      <w:start w:val="1"/>
      <w:numFmt w:val="bullet"/>
      <w:lvlText w:val=""/>
      <w:lvlJc w:val="left"/>
      <w:pPr>
        <w:ind w:left="72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1" w15:restartNumberingAfterBreak="0">
    <w:nsid w:val="734F5BD8"/>
    <w:multiLevelType w:val="hybridMultilevel"/>
    <w:tmpl w:val="1090B2BC"/>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735A191C"/>
    <w:multiLevelType w:val="hybridMultilevel"/>
    <w:tmpl w:val="73FAC85C"/>
    <w:lvl w:ilvl="0" w:tplc="12A0DAC2">
      <w:start w:val="1"/>
      <w:numFmt w:val="lowerLetter"/>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3" w15:restartNumberingAfterBreak="0">
    <w:nsid w:val="739F6854"/>
    <w:multiLevelType w:val="hybridMultilevel"/>
    <w:tmpl w:val="288A8284"/>
    <w:lvl w:ilvl="0" w:tplc="5850580A">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3D73E2A"/>
    <w:multiLevelType w:val="hybridMultilevel"/>
    <w:tmpl w:val="07407260"/>
    <w:lvl w:ilvl="0" w:tplc="2050E13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5" w15:restartNumberingAfterBreak="0">
    <w:nsid w:val="73DB6BE4"/>
    <w:multiLevelType w:val="hybridMultilevel"/>
    <w:tmpl w:val="A592741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6" w15:restartNumberingAfterBreak="0">
    <w:nsid w:val="740D6248"/>
    <w:multiLevelType w:val="hybridMultilevel"/>
    <w:tmpl w:val="81307EF4"/>
    <w:lvl w:ilvl="0" w:tplc="CEF40E62">
      <w:start w:val="1"/>
      <w:numFmt w:val="bullet"/>
      <w:lvlText w:val=""/>
      <w:lvlJc w:val="left"/>
      <w:pPr>
        <w:ind w:left="1080" w:hanging="360"/>
      </w:pPr>
      <w:rPr>
        <w:rFonts w:ascii="Symbol" w:hAnsi="Symbol"/>
      </w:rPr>
    </w:lvl>
    <w:lvl w:ilvl="1" w:tplc="481E2530">
      <w:start w:val="1"/>
      <w:numFmt w:val="bullet"/>
      <w:lvlText w:val=""/>
      <w:lvlJc w:val="left"/>
      <w:pPr>
        <w:ind w:left="1080" w:hanging="360"/>
      </w:pPr>
      <w:rPr>
        <w:rFonts w:ascii="Symbol" w:hAnsi="Symbol"/>
      </w:rPr>
    </w:lvl>
    <w:lvl w:ilvl="2" w:tplc="011AA8C4">
      <w:start w:val="1"/>
      <w:numFmt w:val="bullet"/>
      <w:lvlText w:val=""/>
      <w:lvlJc w:val="left"/>
      <w:pPr>
        <w:ind w:left="1080" w:hanging="360"/>
      </w:pPr>
      <w:rPr>
        <w:rFonts w:ascii="Symbol" w:hAnsi="Symbol"/>
      </w:rPr>
    </w:lvl>
    <w:lvl w:ilvl="3" w:tplc="0982067E">
      <w:start w:val="1"/>
      <w:numFmt w:val="bullet"/>
      <w:lvlText w:val=""/>
      <w:lvlJc w:val="left"/>
      <w:pPr>
        <w:ind w:left="1080" w:hanging="360"/>
      </w:pPr>
      <w:rPr>
        <w:rFonts w:ascii="Symbol" w:hAnsi="Symbol"/>
      </w:rPr>
    </w:lvl>
    <w:lvl w:ilvl="4" w:tplc="59BCE406">
      <w:start w:val="1"/>
      <w:numFmt w:val="bullet"/>
      <w:lvlText w:val=""/>
      <w:lvlJc w:val="left"/>
      <w:pPr>
        <w:ind w:left="1080" w:hanging="360"/>
      </w:pPr>
      <w:rPr>
        <w:rFonts w:ascii="Symbol" w:hAnsi="Symbol"/>
      </w:rPr>
    </w:lvl>
    <w:lvl w:ilvl="5" w:tplc="50788704">
      <w:start w:val="1"/>
      <w:numFmt w:val="bullet"/>
      <w:lvlText w:val=""/>
      <w:lvlJc w:val="left"/>
      <w:pPr>
        <w:ind w:left="1080" w:hanging="360"/>
      </w:pPr>
      <w:rPr>
        <w:rFonts w:ascii="Symbol" w:hAnsi="Symbol"/>
      </w:rPr>
    </w:lvl>
    <w:lvl w:ilvl="6" w:tplc="2EE46084">
      <w:start w:val="1"/>
      <w:numFmt w:val="bullet"/>
      <w:lvlText w:val=""/>
      <w:lvlJc w:val="left"/>
      <w:pPr>
        <w:ind w:left="1080" w:hanging="360"/>
      </w:pPr>
      <w:rPr>
        <w:rFonts w:ascii="Symbol" w:hAnsi="Symbol"/>
      </w:rPr>
    </w:lvl>
    <w:lvl w:ilvl="7" w:tplc="0194E09C">
      <w:start w:val="1"/>
      <w:numFmt w:val="bullet"/>
      <w:lvlText w:val=""/>
      <w:lvlJc w:val="left"/>
      <w:pPr>
        <w:ind w:left="1080" w:hanging="360"/>
      </w:pPr>
      <w:rPr>
        <w:rFonts w:ascii="Symbol" w:hAnsi="Symbol"/>
      </w:rPr>
    </w:lvl>
    <w:lvl w:ilvl="8" w:tplc="50C4C1A4">
      <w:start w:val="1"/>
      <w:numFmt w:val="bullet"/>
      <w:lvlText w:val=""/>
      <w:lvlJc w:val="left"/>
      <w:pPr>
        <w:ind w:left="1080" w:hanging="360"/>
      </w:pPr>
      <w:rPr>
        <w:rFonts w:ascii="Symbol" w:hAnsi="Symbol"/>
      </w:rPr>
    </w:lvl>
  </w:abstractNum>
  <w:abstractNum w:abstractNumId="287" w15:restartNumberingAfterBreak="0">
    <w:nsid w:val="7516175E"/>
    <w:multiLevelType w:val="hybridMultilevel"/>
    <w:tmpl w:val="52C4B4FA"/>
    <w:lvl w:ilvl="0" w:tplc="2050E13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751874B5"/>
    <w:multiLevelType w:val="hybridMultilevel"/>
    <w:tmpl w:val="45789FF2"/>
    <w:lvl w:ilvl="0" w:tplc="0410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9" w15:restartNumberingAfterBreak="0">
    <w:nsid w:val="75202F13"/>
    <w:multiLevelType w:val="hybridMultilevel"/>
    <w:tmpl w:val="2A1E3914"/>
    <w:lvl w:ilvl="0" w:tplc="2050E132">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0" w15:restartNumberingAfterBreak="0">
    <w:nsid w:val="7562152B"/>
    <w:multiLevelType w:val="hybridMultilevel"/>
    <w:tmpl w:val="8C4CB18C"/>
    <w:lvl w:ilvl="0" w:tplc="2050E132">
      <w:start w:val="1"/>
      <w:numFmt w:val="bullet"/>
      <w:lvlText w:val="­"/>
      <w:lvlJc w:val="left"/>
      <w:pPr>
        <w:ind w:left="720" w:hanging="360"/>
      </w:pPr>
      <w:rPr>
        <w:rFonts w:ascii="Arial" w:hAnsi="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1" w15:restartNumberingAfterBreak="0">
    <w:nsid w:val="76130B34"/>
    <w:multiLevelType w:val="hybridMultilevel"/>
    <w:tmpl w:val="05140D98"/>
    <w:lvl w:ilvl="0" w:tplc="DAC43012">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2" w15:restartNumberingAfterBreak="0">
    <w:nsid w:val="7626523F"/>
    <w:multiLevelType w:val="hybridMultilevel"/>
    <w:tmpl w:val="E49009E6"/>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93" w15:restartNumberingAfterBreak="0">
    <w:nsid w:val="76514D5C"/>
    <w:multiLevelType w:val="hybridMultilevel"/>
    <w:tmpl w:val="08B8D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4" w15:restartNumberingAfterBreak="0">
    <w:nsid w:val="76AA2836"/>
    <w:multiLevelType w:val="hybridMultilevel"/>
    <w:tmpl w:val="C4E640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5" w15:restartNumberingAfterBreak="0">
    <w:nsid w:val="7702690A"/>
    <w:multiLevelType w:val="hybridMultilevel"/>
    <w:tmpl w:val="CBC28774"/>
    <w:lvl w:ilvl="0" w:tplc="A5E6090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6" w15:restartNumberingAfterBreak="0">
    <w:nsid w:val="774D15F2"/>
    <w:multiLevelType w:val="multilevel"/>
    <w:tmpl w:val="45FA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775C526D"/>
    <w:multiLevelType w:val="hybridMultilevel"/>
    <w:tmpl w:val="E1E233FA"/>
    <w:lvl w:ilvl="0" w:tplc="43AC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8" w15:restartNumberingAfterBreak="0">
    <w:nsid w:val="779A14C4"/>
    <w:multiLevelType w:val="hybridMultilevel"/>
    <w:tmpl w:val="CD442C7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9" w15:restartNumberingAfterBreak="0">
    <w:nsid w:val="788F4880"/>
    <w:multiLevelType w:val="hybridMultilevel"/>
    <w:tmpl w:val="0FCC63E6"/>
    <w:lvl w:ilvl="0" w:tplc="E05CCBC6">
      <w:start w:val="1"/>
      <w:numFmt w:val="bullet"/>
      <w:lvlText w:val=""/>
      <w:lvlJc w:val="left"/>
      <w:pPr>
        <w:ind w:left="1080" w:hanging="360"/>
      </w:pPr>
      <w:rPr>
        <w:rFonts w:ascii="Symbol" w:hAnsi="Symbol"/>
      </w:rPr>
    </w:lvl>
    <w:lvl w:ilvl="1" w:tplc="0A3E5AA0">
      <w:start w:val="1"/>
      <w:numFmt w:val="bullet"/>
      <w:lvlText w:val=""/>
      <w:lvlJc w:val="left"/>
      <w:pPr>
        <w:ind w:left="1080" w:hanging="360"/>
      </w:pPr>
      <w:rPr>
        <w:rFonts w:ascii="Symbol" w:hAnsi="Symbol"/>
      </w:rPr>
    </w:lvl>
    <w:lvl w:ilvl="2" w:tplc="FEEC5904">
      <w:start w:val="1"/>
      <w:numFmt w:val="bullet"/>
      <w:lvlText w:val=""/>
      <w:lvlJc w:val="left"/>
      <w:pPr>
        <w:ind w:left="1080" w:hanging="360"/>
      </w:pPr>
      <w:rPr>
        <w:rFonts w:ascii="Symbol" w:hAnsi="Symbol"/>
      </w:rPr>
    </w:lvl>
    <w:lvl w:ilvl="3" w:tplc="6B367358">
      <w:start w:val="1"/>
      <w:numFmt w:val="bullet"/>
      <w:lvlText w:val=""/>
      <w:lvlJc w:val="left"/>
      <w:pPr>
        <w:ind w:left="1080" w:hanging="360"/>
      </w:pPr>
      <w:rPr>
        <w:rFonts w:ascii="Symbol" w:hAnsi="Symbol"/>
      </w:rPr>
    </w:lvl>
    <w:lvl w:ilvl="4" w:tplc="5CD24D7C">
      <w:start w:val="1"/>
      <w:numFmt w:val="bullet"/>
      <w:lvlText w:val=""/>
      <w:lvlJc w:val="left"/>
      <w:pPr>
        <w:ind w:left="1080" w:hanging="360"/>
      </w:pPr>
      <w:rPr>
        <w:rFonts w:ascii="Symbol" w:hAnsi="Symbol"/>
      </w:rPr>
    </w:lvl>
    <w:lvl w:ilvl="5" w:tplc="E52204AA">
      <w:start w:val="1"/>
      <w:numFmt w:val="bullet"/>
      <w:lvlText w:val=""/>
      <w:lvlJc w:val="left"/>
      <w:pPr>
        <w:ind w:left="1080" w:hanging="360"/>
      </w:pPr>
      <w:rPr>
        <w:rFonts w:ascii="Symbol" w:hAnsi="Symbol"/>
      </w:rPr>
    </w:lvl>
    <w:lvl w:ilvl="6" w:tplc="477488F4">
      <w:start w:val="1"/>
      <w:numFmt w:val="bullet"/>
      <w:lvlText w:val=""/>
      <w:lvlJc w:val="left"/>
      <w:pPr>
        <w:ind w:left="1080" w:hanging="360"/>
      </w:pPr>
      <w:rPr>
        <w:rFonts w:ascii="Symbol" w:hAnsi="Symbol"/>
      </w:rPr>
    </w:lvl>
    <w:lvl w:ilvl="7" w:tplc="5F0E3AA2">
      <w:start w:val="1"/>
      <w:numFmt w:val="bullet"/>
      <w:lvlText w:val=""/>
      <w:lvlJc w:val="left"/>
      <w:pPr>
        <w:ind w:left="1080" w:hanging="360"/>
      </w:pPr>
      <w:rPr>
        <w:rFonts w:ascii="Symbol" w:hAnsi="Symbol"/>
      </w:rPr>
    </w:lvl>
    <w:lvl w:ilvl="8" w:tplc="BBB20D38">
      <w:start w:val="1"/>
      <w:numFmt w:val="bullet"/>
      <w:lvlText w:val=""/>
      <w:lvlJc w:val="left"/>
      <w:pPr>
        <w:ind w:left="1080" w:hanging="360"/>
      </w:pPr>
      <w:rPr>
        <w:rFonts w:ascii="Symbol" w:hAnsi="Symbol"/>
      </w:rPr>
    </w:lvl>
  </w:abstractNum>
  <w:abstractNum w:abstractNumId="300" w15:restartNumberingAfterBreak="0">
    <w:nsid w:val="78FD63AD"/>
    <w:multiLevelType w:val="hybridMultilevel"/>
    <w:tmpl w:val="4B4E4FB6"/>
    <w:lvl w:ilvl="0" w:tplc="2050E132">
      <w:start w:val="1"/>
      <w:numFmt w:val="bullet"/>
      <w:lvlText w:val="­"/>
      <w:lvlJc w:val="left"/>
      <w:pPr>
        <w:ind w:left="720" w:hanging="360"/>
      </w:pPr>
      <w:rPr>
        <w:rFonts w:ascii="Arial" w:hAnsi="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1" w15:restartNumberingAfterBreak="0">
    <w:nsid w:val="7A4A334F"/>
    <w:multiLevelType w:val="hybridMultilevel"/>
    <w:tmpl w:val="5338FE54"/>
    <w:lvl w:ilvl="0" w:tplc="0410001B">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7A8F209D"/>
    <w:multiLevelType w:val="hybridMultilevel"/>
    <w:tmpl w:val="D3FE5E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3" w15:restartNumberingAfterBreak="0">
    <w:nsid w:val="7AB66904"/>
    <w:multiLevelType w:val="hybridMultilevel"/>
    <w:tmpl w:val="F8EC3778"/>
    <w:lvl w:ilvl="0" w:tplc="43AC6B9C">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4" w15:restartNumberingAfterBreak="0">
    <w:nsid w:val="7B233FBE"/>
    <w:multiLevelType w:val="hybridMultilevel"/>
    <w:tmpl w:val="14CE5F7E"/>
    <w:lvl w:ilvl="0" w:tplc="2050E132">
      <w:start w:val="1"/>
      <w:numFmt w:val="bullet"/>
      <w:lvlText w:val="­"/>
      <w:lvlJc w:val="left"/>
      <w:pPr>
        <w:ind w:left="720" w:hanging="360"/>
      </w:pPr>
      <w:rPr>
        <w:rFonts w:ascii="Arial" w:hAnsi="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7B6A5CB2"/>
    <w:multiLevelType w:val="hybridMultilevel"/>
    <w:tmpl w:val="CC1CD38A"/>
    <w:lvl w:ilvl="0" w:tplc="18090001">
      <w:start w:val="1"/>
      <w:numFmt w:val="bullet"/>
      <w:lvlText w:val=""/>
      <w:lvlJc w:val="left"/>
      <w:pPr>
        <w:ind w:left="720" w:hanging="360"/>
      </w:pPr>
      <w:rPr>
        <w:rFonts w:ascii="Symbol" w:hAnsi="Symbol" w:hint="default"/>
      </w:rPr>
    </w:lvl>
    <w:lvl w:ilvl="1" w:tplc="2050E132">
      <w:start w:val="1"/>
      <w:numFmt w:val="bullet"/>
      <w:lvlText w:val="­"/>
      <w:lvlJc w:val="left"/>
      <w:pPr>
        <w:ind w:left="1440" w:hanging="360"/>
      </w:pPr>
      <w:rPr>
        <w:rFonts w:ascii="Arial" w:hAnsi="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6" w15:restartNumberingAfterBreak="0">
    <w:nsid w:val="7BBF255D"/>
    <w:multiLevelType w:val="hybridMultilevel"/>
    <w:tmpl w:val="4EA808AE"/>
    <w:lvl w:ilvl="0" w:tplc="2050E132">
      <w:start w:val="1"/>
      <w:numFmt w:val="bullet"/>
      <w:lvlText w:val="­"/>
      <w:lvlJc w:val="left"/>
      <w:pPr>
        <w:ind w:left="1800" w:hanging="360"/>
      </w:pPr>
      <w:rPr>
        <w:rFonts w:ascii="Arial" w:hAnsi="Arial" w:hint="default"/>
      </w:rPr>
    </w:lvl>
    <w:lvl w:ilvl="1" w:tplc="08070003" w:tentative="1">
      <w:start w:val="1"/>
      <w:numFmt w:val="bullet"/>
      <w:lvlText w:val="o"/>
      <w:lvlJc w:val="left"/>
      <w:pPr>
        <w:ind w:left="2520" w:hanging="360"/>
      </w:pPr>
      <w:rPr>
        <w:rFonts w:ascii="Courier New" w:hAnsi="Courier New" w:cs="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cs="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cs="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307" w15:restartNumberingAfterBreak="0">
    <w:nsid w:val="7C255A57"/>
    <w:multiLevelType w:val="hybridMultilevel"/>
    <w:tmpl w:val="0AAA69EC"/>
    <w:lvl w:ilvl="0" w:tplc="248C5AD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8" w15:restartNumberingAfterBreak="0">
    <w:nsid w:val="7C80036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15:restartNumberingAfterBreak="0">
    <w:nsid w:val="7C8A0780"/>
    <w:multiLevelType w:val="multilevel"/>
    <w:tmpl w:val="F672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7C93700C"/>
    <w:multiLevelType w:val="hybridMultilevel"/>
    <w:tmpl w:val="9678DF1C"/>
    <w:lvl w:ilvl="0" w:tplc="2A22E8E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1" w15:restartNumberingAfterBreak="0">
    <w:nsid w:val="7CA81804"/>
    <w:multiLevelType w:val="hybridMultilevel"/>
    <w:tmpl w:val="03FE7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2" w15:restartNumberingAfterBreak="0">
    <w:nsid w:val="7D340567"/>
    <w:multiLevelType w:val="hybridMultilevel"/>
    <w:tmpl w:val="8AC42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3" w15:restartNumberingAfterBreak="0">
    <w:nsid w:val="7D556F6B"/>
    <w:multiLevelType w:val="hybridMultilevel"/>
    <w:tmpl w:val="642AFC36"/>
    <w:lvl w:ilvl="0" w:tplc="2050E13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4" w15:restartNumberingAfterBreak="0">
    <w:nsid w:val="7E0A1A04"/>
    <w:multiLevelType w:val="hybridMultilevel"/>
    <w:tmpl w:val="B1DA9E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5" w15:restartNumberingAfterBreak="0">
    <w:nsid w:val="7E4029A3"/>
    <w:multiLevelType w:val="hybridMultilevel"/>
    <w:tmpl w:val="3EC201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6" w15:restartNumberingAfterBreak="0">
    <w:nsid w:val="7F745906"/>
    <w:multiLevelType w:val="hybridMultilevel"/>
    <w:tmpl w:val="01FA3E5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16cid:durableId="1875803542">
    <w:abstractNumId w:val="267"/>
  </w:num>
  <w:num w:numId="2" w16cid:durableId="1110471642">
    <w:abstractNumId w:val="102"/>
  </w:num>
  <w:num w:numId="3" w16cid:durableId="1595016800">
    <w:abstractNumId w:val="62"/>
  </w:num>
  <w:num w:numId="4" w16cid:durableId="626740024">
    <w:abstractNumId w:val="54"/>
  </w:num>
  <w:num w:numId="5" w16cid:durableId="879125014">
    <w:abstractNumId w:val="39"/>
  </w:num>
  <w:num w:numId="6" w16cid:durableId="129592254">
    <w:abstractNumId w:val="223"/>
  </w:num>
  <w:num w:numId="7" w16cid:durableId="1884900470">
    <w:abstractNumId w:val="152"/>
  </w:num>
  <w:num w:numId="8" w16cid:durableId="2044358242">
    <w:abstractNumId w:val="95"/>
  </w:num>
  <w:num w:numId="9" w16cid:durableId="1339960495">
    <w:abstractNumId w:val="222"/>
  </w:num>
  <w:num w:numId="10" w16cid:durableId="1438211578">
    <w:abstractNumId w:val="184"/>
  </w:num>
  <w:num w:numId="11" w16cid:durableId="1748917923">
    <w:abstractNumId w:val="121"/>
  </w:num>
  <w:num w:numId="12" w16cid:durableId="1581678040">
    <w:abstractNumId w:val="284"/>
  </w:num>
  <w:num w:numId="13" w16cid:durableId="1538733156">
    <w:abstractNumId w:val="5"/>
  </w:num>
  <w:num w:numId="14" w16cid:durableId="1106079136">
    <w:abstractNumId w:val="142"/>
  </w:num>
  <w:num w:numId="15" w16cid:durableId="1431462535">
    <w:abstractNumId w:val="225"/>
  </w:num>
  <w:num w:numId="16" w16cid:durableId="1331643690">
    <w:abstractNumId w:val="103"/>
  </w:num>
  <w:num w:numId="17" w16cid:durableId="2034841570">
    <w:abstractNumId w:val="161"/>
  </w:num>
  <w:num w:numId="18" w16cid:durableId="569846979">
    <w:abstractNumId w:val="179"/>
  </w:num>
  <w:num w:numId="19" w16cid:durableId="7598335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109521">
    <w:abstractNumId w:val="187"/>
  </w:num>
  <w:num w:numId="21" w16cid:durableId="149912582">
    <w:abstractNumId w:val="71"/>
  </w:num>
  <w:num w:numId="22" w16cid:durableId="805440409">
    <w:abstractNumId w:val="0"/>
  </w:num>
  <w:num w:numId="23" w16cid:durableId="1790052008">
    <w:abstractNumId w:val="137"/>
  </w:num>
  <w:num w:numId="24" w16cid:durableId="770784531">
    <w:abstractNumId w:val="135"/>
  </w:num>
  <w:num w:numId="25" w16cid:durableId="924654718">
    <w:abstractNumId w:val="291"/>
  </w:num>
  <w:num w:numId="26" w16cid:durableId="151454915">
    <w:abstractNumId w:val="287"/>
  </w:num>
  <w:num w:numId="27" w16cid:durableId="1944075054">
    <w:abstractNumId w:val="213"/>
  </w:num>
  <w:num w:numId="28" w16cid:durableId="711535891">
    <w:abstractNumId w:val="272"/>
  </w:num>
  <w:num w:numId="29" w16cid:durableId="866798388">
    <w:abstractNumId w:val="265"/>
  </w:num>
  <w:num w:numId="30" w16cid:durableId="1145128487">
    <w:abstractNumId w:val="94"/>
  </w:num>
  <w:num w:numId="31" w16cid:durableId="1413232779">
    <w:abstractNumId w:val="294"/>
  </w:num>
  <w:num w:numId="32" w16cid:durableId="209541224">
    <w:abstractNumId w:val="116"/>
  </w:num>
  <w:num w:numId="33" w16cid:durableId="1430665379">
    <w:abstractNumId w:val="44"/>
  </w:num>
  <w:num w:numId="34" w16cid:durableId="1209143703">
    <w:abstractNumId w:val="185"/>
  </w:num>
  <w:num w:numId="35" w16cid:durableId="1281759677">
    <w:abstractNumId w:val="33"/>
  </w:num>
  <w:num w:numId="36" w16cid:durableId="1404453997">
    <w:abstractNumId w:val="245"/>
  </w:num>
  <w:num w:numId="37" w16cid:durableId="454178420">
    <w:abstractNumId w:val="290"/>
  </w:num>
  <w:num w:numId="38" w16cid:durableId="2108498441">
    <w:abstractNumId w:val="105"/>
  </w:num>
  <w:num w:numId="39" w16cid:durableId="1119571414">
    <w:abstractNumId w:val="63"/>
  </w:num>
  <w:num w:numId="40" w16cid:durableId="1471902660">
    <w:abstractNumId w:val="302"/>
  </w:num>
  <w:num w:numId="41" w16cid:durableId="296762532">
    <w:abstractNumId w:val="218"/>
  </w:num>
  <w:num w:numId="42" w16cid:durableId="1857114863">
    <w:abstractNumId w:val="89"/>
  </w:num>
  <w:num w:numId="43" w16cid:durableId="986393351">
    <w:abstractNumId w:val="175"/>
  </w:num>
  <w:num w:numId="44" w16cid:durableId="729616696">
    <w:abstractNumId w:val="282"/>
  </w:num>
  <w:num w:numId="45" w16cid:durableId="1383824027">
    <w:abstractNumId w:val="16"/>
  </w:num>
  <w:num w:numId="46" w16cid:durableId="895900478">
    <w:abstractNumId w:val="10"/>
  </w:num>
  <w:num w:numId="47" w16cid:durableId="215052902">
    <w:abstractNumId w:val="134"/>
  </w:num>
  <w:num w:numId="48" w16cid:durableId="1329285411">
    <w:abstractNumId w:val="220"/>
  </w:num>
  <w:num w:numId="49" w16cid:durableId="2062748616">
    <w:abstractNumId w:val="246"/>
  </w:num>
  <w:num w:numId="50" w16cid:durableId="689573646">
    <w:abstractNumId w:val="153"/>
  </w:num>
  <w:num w:numId="51" w16cid:durableId="666322333">
    <w:abstractNumId w:val="215"/>
  </w:num>
  <w:num w:numId="52" w16cid:durableId="1014764821">
    <w:abstractNumId w:val="109"/>
  </w:num>
  <w:num w:numId="53" w16cid:durableId="81996308">
    <w:abstractNumId w:val="143"/>
  </w:num>
  <w:num w:numId="54" w16cid:durableId="937640634">
    <w:abstractNumId w:val="159"/>
  </w:num>
  <w:num w:numId="55" w16cid:durableId="1599605743">
    <w:abstractNumId w:val="163"/>
  </w:num>
  <w:num w:numId="56" w16cid:durableId="1172138552">
    <w:abstractNumId w:val="173"/>
  </w:num>
  <w:num w:numId="57" w16cid:durableId="1098259000">
    <w:abstractNumId w:val="274"/>
  </w:num>
  <w:num w:numId="58" w16cid:durableId="1752776169">
    <w:abstractNumId w:val="3"/>
  </w:num>
  <w:num w:numId="59" w16cid:durableId="958878229">
    <w:abstractNumId w:val="253"/>
  </w:num>
  <w:num w:numId="60" w16cid:durableId="307711686">
    <w:abstractNumId w:val="254"/>
  </w:num>
  <w:num w:numId="61" w16cid:durableId="67115260">
    <w:abstractNumId w:val="28"/>
  </w:num>
  <w:num w:numId="62" w16cid:durableId="118377999">
    <w:abstractNumId w:val="59"/>
  </w:num>
  <w:num w:numId="63" w16cid:durableId="379481417">
    <w:abstractNumId w:val="295"/>
  </w:num>
  <w:num w:numId="64" w16cid:durableId="290551530">
    <w:abstractNumId w:val="75"/>
  </w:num>
  <w:num w:numId="65" w16cid:durableId="1755855290">
    <w:abstractNumId w:val="41"/>
  </w:num>
  <w:num w:numId="66" w16cid:durableId="1034116119">
    <w:abstractNumId w:val="125"/>
  </w:num>
  <w:num w:numId="67" w16cid:durableId="887497804">
    <w:abstractNumId w:val="195"/>
  </w:num>
  <w:num w:numId="68" w16cid:durableId="545485883">
    <w:abstractNumId w:val="262"/>
  </w:num>
  <w:num w:numId="69" w16cid:durableId="106311649">
    <w:abstractNumId w:val="131"/>
  </w:num>
  <w:num w:numId="70" w16cid:durableId="1800877128">
    <w:abstractNumId w:val="193"/>
  </w:num>
  <w:num w:numId="71" w16cid:durableId="1760978467">
    <w:abstractNumId w:val="305"/>
  </w:num>
  <w:num w:numId="72" w16cid:durableId="2002464946">
    <w:abstractNumId w:val="22"/>
  </w:num>
  <w:num w:numId="73" w16cid:durableId="1225408494">
    <w:abstractNumId w:val="227"/>
  </w:num>
  <w:num w:numId="74" w16cid:durableId="1351105202">
    <w:abstractNumId w:val="240"/>
  </w:num>
  <w:num w:numId="75" w16cid:durableId="573710412">
    <w:abstractNumId w:val="144"/>
  </w:num>
  <w:num w:numId="76" w16cid:durableId="143088346">
    <w:abstractNumId w:val="120"/>
  </w:num>
  <w:num w:numId="77" w16cid:durableId="2080712071">
    <w:abstractNumId w:val="57"/>
  </w:num>
  <w:num w:numId="78" w16cid:durableId="598411089">
    <w:abstractNumId w:val="209"/>
  </w:num>
  <w:num w:numId="79" w16cid:durableId="1945572391">
    <w:abstractNumId w:val="276"/>
  </w:num>
  <w:num w:numId="80" w16cid:durableId="1582763182">
    <w:abstractNumId w:val="7"/>
  </w:num>
  <w:num w:numId="81" w16cid:durableId="844439822">
    <w:abstractNumId w:val="130"/>
  </w:num>
  <w:num w:numId="82" w16cid:durableId="1035350590">
    <w:abstractNumId w:val="204"/>
  </w:num>
  <w:num w:numId="83" w16cid:durableId="1754932615">
    <w:abstractNumId w:val="182"/>
  </w:num>
  <w:num w:numId="84" w16cid:durableId="1995600702">
    <w:abstractNumId w:val="100"/>
  </w:num>
  <w:num w:numId="85" w16cid:durableId="1397557634">
    <w:abstractNumId w:val="138"/>
  </w:num>
  <w:num w:numId="86" w16cid:durableId="1506476932">
    <w:abstractNumId w:val="300"/>
  </w:num>
  <w:num w:numId="87" w16cid:durableId="785654965">
    <w:abstractNumId w:val="56"/>
  </w:num>
  <w:num w:numId="88" w16cid:durableId="1087117657">
    <w:abstractNumId w:val="266"/>
  </w:num>
  <w:num w:numId="89" w16cid:durableId="960190646">
    <w:abstractNumId w:val="192"/>
  </w:num>
  <w:num w:numId="90" w16cid:durableId="155465854">
    <w:abstractNumId w:val="247"/>
  </w:num>
  <w:num w:numId="91" w16cid:durableId="163130484">
    <w:abstractNumId w:val="275"/>
  </w:num>
  <w:num w:numId="92" w16cid:durableId="1957834268">
    <w:abstractNumId w:val="90"/>
  </w:num>
  <w:num w:numId="93" w16cid:durableId="1988977604">
    <w:abstractNumId w:val="273"/>
  </w:num>
  <w:num w:numId="94" w16cid:durableId="26877194">
    <w:abstractNumId w:val="157"/>
  </w:num>
  <w:num w:numId="95" w16cid:durableId="1987666711">
    <w:abstractNumId w:val="237"/>
  </w:num>
  <w:num w:numId="96" w16cid:durableId="998000066">
    <w:abstractNumId w:val="194"/>
  </w:num>
  <w:num w:numId="97" w16cid:durableId="1246259244">
    <w:abstractNumId w:val="37"/>
  </w:num>
  <w:num w:numId="98" w16cid:durableId="493226570">
    <w:abstractNumId w:val="91"/>
  </w:num>
  <w:num w:numId="99" w16cid:durableId="95830134">
    <w:abstractNumId w:val="121"/>
  </w:num>
  <w:num w:numId="100" w16cid:durableId="541986431">
    <w:abstractNumId w:val="11"/>
  </w:num>
  <w:num w:numId="101" w16cid:durableId="239827855">
    <w:abstractNumId w:val="106"/>
  </w:num>
  <w:num w:numId="102" w16cid:durableId="1883251444">
    <w:abstractNumId w:val="68"/>
  </w:num>
  <w:num w:numId="103" w16cid:durableId="1616250075">
    <w:abstractNumId w:val="292"/>
  </w:num>
  <w:num w:numId="104" w16cid:durableId="947740492">
    <w:abstractNumId w:val="252"/>
  </w:num>
  <w:num w:numId="105" w16cid:durableId="874512441">
    <w:abstractNumId w:val="115"/>
  </w:num>
  <w:num w:numId="106" w16cid:durableId="661279951">
    <w:abstractNumId w:val="20"/>
  </w:num>
  <w:num w:numId="107" w16cid:durableId="1588614180">
    <w:abstractNumId w:val="149"/>
  </w:num>
  <w:num w:numId="108" w16cid:durableId="2048213413">
    <w:abstractNumId w:val="180"/>
  </w:num>
  <w:num w:numId="109" w16cid:durableId="1657875431">
    <w:abstractNumId w:val="58"/>
  </w:num>
  <w:num w:numId="110" w16cid:durableId="1160971780">
    <w:abstractNumId w:val="129"/>
  </w:num>
  <w:num w:numId="111" w16cid:durableId="1836263100">
    <w:abstractNumId w:val="147"/>
  </w:num>
  <w:num w:numId="112" w16cid:durableId="131487502">
    <w:abstractNumId w:val="255"/>
  </w:num>
  <w:num w:numId="113" w16cid:durableId="1806503194">
    <w:abstractNumId w:val="51"/>
  </w:num>
  <w:num w:numId="114" w16cid:durableId="260912248">
    <w:abstractNumId w:val="86"/>
  </w:num>
  <w:num w:numId="115" w16cid:durableId="1585410801">
    <w:abstractNumId w:val="214"/>
  </w:num>
  <w:num w:numId="116" w16cid:durableId="1223441465">
    <w:abstractNumId w:val="133"/>
  </w:num>
  <w:num w:numId="117" w16cid:durableId="1135292928">
    <w:abstractNumId w:val="80"/>
  </w:num>
  <w:num w:numId="118" w16cid:durableId="667051382">
    <w:abstractNumId w:val="238"/>
  </w:num>
  <w:num w:numId="119" w16cid:durableId="1783766501">
    <w:abstractNumId w:val="199"/>
  </w:num>
  <w:num w:numId="120" w16cid:durableId="507906455">
    <w:abstractNumId w:val="296"/>
  </w:num>
  <w:num w:numId="121" w16cid:durableId="1893812419">
    <w:abstractNumId w:val="23"/>
  </w:num>
  <w:num w:numId="122" w16cid:durableId="22639553">
    <w:abstractNumId w:val="97"/>
  </w:num>
  <w:num w:numId="123" w16cid:durableId="204219560">
    <w:abstractNumId w:val="69"/>
  </w:num>
  <w:num w:numId="124" w16cid:durableId="268591297">
    <w:abstractNumId w:val="72"/>
  </w:num>
  <w:num w:numId="125" w16cid:durableId="1256137631">
    <w:abstractNumId w:val="176"/>
  </w:num>
  <w:num w:numId="126" w16cid:durableId="1175725321">
    <w:abstractNumId w:val="309"/>
  </w:num>
  <w:num w:numId="127" w16cid:durableId="229971133">
    <w:abstractNumId w:val="226"/>
  </w:num>
  <w:num w:numId="128" w16cid:durableId="796144952">
    <w:abstractNumId w:val="170"/>
  </w:num>
  <w:num w:numId="129" w16cid:durableId="1635478254">
    <w:abstractNumId w:val="183"/>
  </w:num>
  <w:num w:numId="130" w16cid:durableId="973289356">
    <w:abstractNumId w:val="55"/>
  </w:num>
  <w:num w:numId="131" w16cid:durableId="1854880373">
    <w:abstractNumId w:val="167"/>
  </w:num>
  <w:num w:numId="132" w16cid:durableId="1567765886">
    <w:abstractNumId w:val="181"/>
  </w:num>
  <w:num w:numId="133" w16cid:durableId="1854757128">
    <w:abstractNumId w:val="64"/>
  </w:num>
  <w:num w:numId="134" w16cid:durableId="1737052652">
    <w:abstractNumId w:val="140"/>
  </w:num>
  <w:num w:numId="135" w16cid:durableId="1422529318">
    <w:abstractNumId w:val="164"/>
  </w:num>
  <w:num w:numId="136" w16cid:durableId="36663550">
    <w:abstractNumId w:val="261"/>
  </w:num>
  <w:num w:numId="137" w16cid:durableId="299380015">
    <w:abstractNumId w:val="189"/>
  </w:num>
  <w:num w:numId="138" w16cid:durableId="440270946">
    <w:abstractNumId w:val="61"/>
  </w:num>
  <w:num w:numId="139" w16cid:durableId="1060247045">
    <w:abstractNumId w:val="70"/>
  </w:num>
  <w:num w:numId="140" w16cid:durableId="411198974">
    <w:abstractNumId w:val="155"/>
  </w:num>
  <w:num w:numId="141" w16cid:durableId="1421607570">
    <w:abstractNumId w:val="269"/>
  </w:num>
  <w:num w:numId="142" w16cid:durableId="437025670">
    <w:abstractNumId w:val="298"/>
  </w:num>
  <w:num w:numId="143" w16cid:durableId="266737798">
    <w:abstractNumId w:val="306"/>
  </w:num>
  <w:num w:numId="144" w16cid:durableId="122309330">
    <w:abstractNumId w:val="6"/>
  </w:num>
  <w:num w:numId="145" w16cid:durableId="1854343156">
    <w:abstractNumId w:val="52"/>
  </w:num>
  <w:num w:numId="146" w16cid:durableId="254284639">
    <w:abstractNumId w:val="283"/>
  </w:num>
  <w:num w:numId="147" w16cid:durableId="937252595">
    <w:abstractNumId w:val="47"/>
  </w:num>
  <w:num w:numId="148" w16cid:durableId="743454413">
    <w:abstractNumId w:val="95"/>
    <w:lvlOverride w:ilvl="0">
      <w:startOverride w:val="1"/>
    </w:lvlOverride>
  </w:num>
  <w:num w:numId="149" w16cid:durableId="413817812">
    <w:abstractNumId w:val="235"/>
  </w:num>
  <w:num w:numId="150" w16cid:durableId="1834373962">
    <w:abstractNumId w:val="113"/>
  </w:num>
  <w:num w:numId="151" w16cid:durableId="1267467051">
    <w:abstractNumId w:val="231"/>
  </w:num>
  <w:num w:numId="152" w16cid:durableId="1467696770">
    <w:abstractNumId w:val="65"/>
  </w:num>
  <w:num w:numId="153" w16cid:durableId="367993007">
    <w:abstractNumId w:val="127"/>
  </w:num>
  <w:num w:numId="154" w16cid:durableId="415135148">
    <w:abstractNumId w:val="81"/>
  </w:num>
  <w:num w:numId="155" w16cid:durableId="1175731344">
    <w:abstractNumId w:val="14"/>
  </w:num>
  <w:num w:numId="156" w16cid:durableId="1160072925">
    <w:abstractNumId w:val="285"/>
  </w:num>
  <w:num w:numId="157" w16cid:durableId="1046374501">
    <w:abstractNumId w:val="93"/>
  </w:num>
  <w:num w:numId="158" w16cid:durableId="1489710538">
    <w:abstractNumId w:val="316"/>
  </w:num>
  <w:num w:numId="159" w16cid:durableId="278345275">
    <w:abstractNumId w:val="216"/>
  </w:num>
  <w:num w:numId="160" w16cid:durableId="575211683">
    <w:abstractNumId w:val="256"/>
  </w:num>
  <w:num w:numId="161" w16cid:durableId="2013558625">
    <w:abstractNumId w:val="136"/>
  </w:num>
  <w:num w:numId="162" w16cid:durableId="1051535391">
    <w:abstractNumId w:val="268"/>
  </w:num>
  <w:num w:numId="163" w16cid:durableId="87239257">
    <w:abstractNumId w:val="233"/>
  </w:num>
  <w:num w:numId="164" w16cid:durableId="1981838653">
    <w:abstractNumId w:val="248"/>
  </w:num>
  <w:num w:numId="165" w16cid:durableId="982152744">
    <w:abstractNumId w:val="73"/>
  </w:num>
  <w:num w:numId="166" w16cid:durableId="1586064318">
    <w:abstractNumId w:val="148"/>
  </w:num>
  <w:num w:numId="167" w16cid:durableId="169880034">
    <w:abstractNumId w:val="281"/>
  </w:num>
  <w:num w:numId="168" w16cid:durableId="2022201347">
    <w:abstractNumId w:val="249"/>
  </w:num>
  <w:num w:numId="169" w16cid:durableId="1510946859">
    <w:abstractNumId w:val="177"/>
  </w:num>
  <w:num w:numId="170" w16cid:durableId="1063872126">
    <w:abstractNumId w:val="228"/>
  </w:num>
  <w:num w:numId="171" w16cid:durableId="2086802791">
    <w:abstractNumId w:val="203"/>
  </w:num>
  <w:num w:numId="172" w16cid:durableId="1333223464">
    <w:abstractNumId w:val="4"/>
  </w:num>
  <w:num w:numId="173" w16cid:durableId="2092772242">
    <w:abstractNumId w:val="45"/>
  </w:num>
  <w:num w:numId="174" w16cid:durableId="987394255">
    <w:abstractNumId w:val="244"/>
  </w:num>
  <w:num w:numId="175" w16cid:durableId="1739551477">
    <w:abstractNumId w:val="151"/>
  </w:num>
  <w:num w:numId="176" w16cid:durableId="758327955">
    <w:abstractNumId w:val="36"/>
  </w:num>
  <w:num w:numId="177" w16cid:durableId="886721425">
    <w:abstractNumId w:val="169"/>
  </w:num>
  <w:num w:numId="178" w16cid:durableId="441190321">
    <w:abstractNumId w:val="162"/>
  </w:num>
  <w:num w:numId="179" w16cid:durableId="899706784">
    <w:abstractNumId w:val="312"/>
  </w:num>
  <w:num w:numId="180" w16cid:durableId="871529533">
    <w:abstractNumId w:val="40"/>
  </w:num>
  <w:num w:numId="181" w16cid:durableId="1170604398">
    <w:abstractNumId w:val="141"/>
  </w:num>
  <w:num w:numId="182" w16cid:durableId="1647394693">
    <w:abstractNumId w:val="145"/>
  </w:num>
  <w:num w:numId="183" w16cid:durableId="387649015">
    <w:abstractNumId w:val="107"/>
  </w:num>
  <w:num w:numId="184" w16cid:durableId="486899067">
    <w:abstractNumId w:val="264"/>
  </w:num>
  <w:num w:numId="185" w16cid:durableId="2088064322">
    <w:abstractNumId w:val="308"/>
  </w:num>
  <w:num w:numId="186" w16cid:durableId="1208953509">
    <w:abstractNumId w:val="257"/>
  </w:num>
  <w:num w:numId="187" w16cid:durableId="2031757701">
    <w:abstractNumId w:val="21"/>
  </w:num>
  <w:num w:numId="188" w16cid:durableId="1002322612">
    <w:abstractNumId w:val="19"/>
  </w:num>
  <w:num w:numId="189" w16cid:durableId="2111581951">
    <w:abstractNumId w:val="314"/>
  </w:num>
  <w:num w:numId="190" w16cid:durableId="576669083">
    <w:abstractNumId w:val="66"/>
  </w:num>
  <w:num w:numId="191" w16cid:durableId="1242179083">
    <w:abstractNumId w:val="171"/>
  </w:num>
  <w:num w:numId="192" w16cid:durableId="171452464">
    <w:abstractNumId w:val="207"/>
  </w:num>
  <w:num w:numId="193" w16cid:durableId="179322937">
    <w:abstractNumId w:val="123"/>
  </w:num>
  <w:num w:numId="194" w16cid:durableId="1494949613">
    <w:abstractNumId w:val="77"/>
  </w:num>
  <w:num w:numId="195" w16cid:durableId="1480996855">
    <w:abstractNumId w:val="236"/>
  </w:num>
  <w:num w:numId="196" w16cid:durableId="1257444638">
    <w:abstractNumId w:val="50"/>
  </w:num>
  <w:num w:numId="197" w16cid:durableId="1382092347">
    <w:abstractNumId w:val="293"/>
  </w:num>
  <w:num w:numId="198" w16cid:durableId="2006663319">
    <w:abstractNumId w:val="191"/>
  </w:num>
  <w:num w:numId="199" w16cid:durableId="1798914447">
    <w:abstractNumId w:val="87"/>
  </w:num>
  <w:num w:numId="200" w16cid:durableId="1226843989">
    <w:abstractNumId w:val="278"/>
  </w:num>
  <w:num w:numId="201" w16cid:durableId="306596233">
    <w:abstractNumId w:val="34"/>
  </w:num>
  <w:num w:numId="202" w16cid:durableId="1280453607">
    <w:abstractNumId w:val="35"/>
  </w:num>
  <w:num w:numId="203" w16cid:durableId="927806566">
    <w:abstractNumId w:val="241"/>
  </w:num>
  <w:num w:numId="204" w16cid:durableId="303702667">
    <w:abstractNumId w:val="303"/>
  </w:num>
  <w:num w:numId="205" w16cid:durableId="1481073887">
    <w:abstractNumId w:val="78"/>
  </w:num>
  <w:num w:numId="206" w16cid:durableId="203951273">
    <w:abstractNumId w:val="190"/>
  </w:num>
  <w:num w:numId="207" w16cid:durableId="1894996976">
    <w:abstractNumId w:val="206"/>
  </w:num>
  <w:num w:numId="208" w16cid:durableId="858010528">
    <w:abstractNumId w:val="198"/>
  </w:num>
  <w:num w:numId="209" w16cid:durableId="1928607881">
    <w:abstractNumId w:val="118"/>
  </w:num>
  <w:num w:numId="210" w16cid:durableId="755368833">
    <w:abstractNumId w:val="128"/>
  </w:num>
  <w:num w:numId="211" w16cid:durableId="996227767">
    <w:abstractNumId w:val="30"/>
  </w:num>
  <w:num w:numId="212" w16cid:durableId="1017579014">
    <w:abstractNumId w:val="38"/>
  </w:num>
  <w:num w:numId="213" w16cid:durableId="1539246074">
    <w:abstractNumId w:val="85"/>
  </w:num>
  <w:num w:numId="214" w16cid:durableId="1507015853">
    <w:abstractNumId w:val="42"/>
  </w:num>
  <w:num w:numId="215" w16cid:durableId="1153134140">
    <w:abstractNumId w:val="83"/>
  </w:num>
  <w:num w:numId="216" w16cid:durableId="1052264251">
    <w:abstractNumId w:val="230"/>
  </w:num>
  <w:num w:numId="217" w16cid:durableId="2096516752">
    <w:abstractNumId w:val="74"/>
  </w:num>
  <w:num w:numId="218" w16cid:durableId="1174148469">
    <w:abstractNumId w:val="165"/>
  </w:num>
  <w:num w:numId="219" w16cid:durableId="1351685402">
    <w:abstractNumId w:val="108"/>
  </w:num>
  <w:num w:numId="220" w16cid:durableId="838467988">
    <w:abstractNumId w:val="150"/>
  </w:num>
  <w:num w:numId="221" w16cid:durableId="262496251">
    <w:abstractNumId w:val="76"/>
  </w:num>
  <w:num w:numId="222" w16cid:durableId="1399094082">
    <w:abstractNumId w:val="259"/>
  </w:num>
  <w:num w:numId="223" w16cid:durableId="907350621">
    <w:abstractNumId w:val="174"/>
  </w:num>
  <w:num w:numId="224" w16cid:durableId="1461919181">
    <w:abstractNumId w:val="92"/>
  </w:num>
  <w:num w:numId="225" w16cid:durableId="699278754">
    <w:abstractNumId w:val="263"/>
  </w:num>
  <w:num w:numId="226" w16cid:durableId="1534347335">
    <w:abstractNumId w:val="101"/>
  </w:num>
  <w:num w:numId="227" w16cid:durableId="328411176">
    <w:abstractNumId w:val="13"/>
  </w:num>
  <w:num w:numId="228" w16cid:durableId="1193497566">
    <w:abstractNumId w:val="232"/>
  </w:num>
  <w:num w:numId="229" w16cid:durableId="1767000858">
    <w:abstractNumId w:val="270"/>
  </w:num>
  <w:num w:numId="230" w16cid:durableId="1527912392">
    <w:abstractNumId w:val="122"/>
  </w:num>
  <w:num w:numId="231" w16cid:durableId="437337729">
    <w:abstractNumId w:val="229"/>
  </w:num>
  <w:num w:numId="232" w16cid:durableId="504169260">
    <w:abstractNumId w:val="251"/>
  </w:num>
  <w:num w:numId="233" w16cid:durableId="350690479">
    <w:abstractNumId w:val="178"/>
  </w:num>
  <w:num w:numId="234" w16cid:durableId="807434100">
    <w:abstractNumId w:val="288"/>
  </w:num>
  <w:num w:numId="235" w16cid:durableId="207493209">
    <w:abstractNumId w:val="221"/>
  </w:num>
  <w:num w:numId="236" w16cid:durableId="1950429703">
    <w:abstractNumId w:val="202"/>
  </w:num>
  <w:num w:numId="237" w16cid:durableId="218711516">
    <w:abstractNumId w:val="112"/>
  </w:num>
  <w:num w:numId="238" w16cid:durableId="855561">
    <w:abstractNumId w:val="82"/>
  </w:num>
  <w:num w:numId="239" w16cid:durableId="1342006355">
    <w:abstractNumId w:val="48"/>
  </w:num>
  <w:num w:numId="240" w16cid:durableId="1978366229">
    <w:abstractNumId w:val="132"/>
  </w:num>
  <w:num w:numId="241" w16cid:durableId="2085297751">
    <w:abstractNumId w:val="60"/>
  </w:num>
  <w:num w:numId="242" w16cid:durableId="1909723156">
    <w:abstractNumId w:val="168"/>
  </w:num>
  <w:num w:numId="243" w16cid:durableId="672414555">
    <w:abstractNumId w:val="43"/>
  </w:num>
  <w:num w:numId="244" w16cid:durableId="735473972">
    <w:abstractNumId w:val="31"/>
  </w:num>
  <w:num w:numId="245" w16cid:durableId="1087774071">
    <w:abstractNumId w:val="49"/>
  </w:num>
  <w:num w:numId="246" w16cid:durableId="820002918">
    <w:abstractNumId w:val="297"/>
  </w:num>
  <w:num w:numId="247" w16cid:durableId="1812094509">
    <w:abstractNumId w:val="104"/>
  </w:num>
  <w:num w:numId="248" w16cid:durableId="2092390545">
    <w:abstractNumId w:val="26"/>
  </w:num>
  <w:num w:numId="249" w16cid:durableId="1902642316">
    <w:abstractNumId w:val="301"/>
  </w:num>
  <w:num w:numId="250" w16cid:durableId="951933526">
    <w:abstractNumId w:val="24"/>
  </w:num>
  <w:num w:numId="251" w16cid:durableId="1949779455">
    <w:abstractNumId w:val="126"/>
  </w:num>
  <w:num w:numId="252" w16cid:durableId="228926373">
    <w:abstractNumId w:val="313"/>
  </w:num>
  <w:num w:numId="253" w16cid:durableId="1420712173">
    <w:abstractNumId w:val="211"/>
  </w:num>
  <w:num w:numId="254" w16cid:durableId="1330713546">
    <w:abstractNumId w:val="2"/>
  </w:num>
  <w:num w:numId="255" w16cid:durableId="1691299054">
    <w:abstractNumId w:val="17"/>
  </w:num>
  <w:num w:numId="256" w16cid:durableId="211774825">
    <w:abstractNumId w:val="110"/>
  </w:num>
  <w:num w:numId="257" w16cid:durableId="148639195">
    <w:abstractNumId w:val="88"/>
  </w:num>
  <w:num w:numId="258" w16cid:durableId="970092127">
    <w:abstractNumId w:val="258"/>
  </w:num>
  <w:num w:numId="259" w16cid:durableId="1341347925">
    <w:abstractNumId w:val="186"/>
  </w:num>
  <w:num w:numId="260" w16cid:durableId="313528852">
    <w:abstractNumId w:val="271"/>
  </w:num>
  <w:num w:numId="261" w16cid:durableId="1701004378">
    <w:abstractNumId w:val="117"/>
  </w:num>
  <w:num w:numId="262" w16cid:durableId="378281149">
    <w:abstractNumId w:val="96"/>
  </w:num>
  <w:num w:numId="263" w16cid:durableId="1360938199">
    <w:abstractNumId w:val="146"/>
  </w:num>
  <w:num w:numId="264" w16cid:durableId="293949598">
    <w:abstractNumId w:val="197"/>
  </w:num>
  <w:num w:numId="265" w16cid:durableId="886529236">
    <w:abstractNumId w:val="205"/>
  </w:num>
  <w:num w:numId="266" w16cid:durableId="800267618">
    <w:abstractNumId w:val="234"/>
  </w:num>
  <w:num w:numId="267" w16cid:durableId="1723749799">
    <w:abstractNumId w:val="219"/>
  </w:num>
  <w:num w:numId="268" w16cid:durableId="364449410">
    <w:abstractNumId w:val="27"/>
  </w:num>
  <w:num w:numId="269" w16cid:durableId="1654261103">
    <w:abstractNumId w:val="18"/>
  </w:num>
  <w:num w:numId="270" w16cid:durableId="1479686201">
    <w:abstractNumId w:val="250"/>
  </w:num>
  <w:num w:numId="271" w16cid:durableId="1554921505">
    <w:abstractNumId w:val="9"/>
  </w:num>
  <w:num w:numId="272" w16cid:durableId="2122336621">
    <w:abstractNumId w:val="67"/>
  </w:num>
  <w:num w:numId="273" w16cid:durableId="684864444">
    <w:abstractNumId w:val="208"/>
  </w:num>
  <w:num w:numId="274" w16cid:durableId="311837810">
    <w:abstractNumId w:val="311"/>
  </w:num>
  <w:num w:numId="275" w16cid:durableId="378553975">
    <w:abstractNumId w:val="158"/>
  </w:num>
  <w:num w:numId="276" w16cid:durableId="1185946894">
    <w:abstractNumId w:val="1"/>
  </w:num>
  <w:num w:numId="277" w16cid:durableId="903294759">
    <w:abstractNumId w:val="79"/>
  </w:num>
  <w:num w:numId="278" w16cid:durableId="894395298">
    <w:abstractNumId w:val="304"/>
  </w:num>
  <w:num w:numId="279" w16cid:durableId="1960646148">
    <w:abstractNumId w:val="160"/>
  </w:num>
  <w:num w:numId="280" w16cid:durableId="887304858">
    <w:abstractNumId w:val="217"/>
  </w:num>
  <w:num w:numId="281" w16cid:durableId="109130244">
    <w:abstractNumId w:val="310"/>
  </w:num>
  <w:num w:numId="282" w16cid:durableId="1153644948">
    <w:abstractNumId w:val="154"/>
  </w:num>
  <w:num w:numId="283" w16cid:durableId="632642163">
    <w:abstractNumId w:val="156"/>
  </w:num>
  <w:num w:numId="284" w16cid:durableId="436367816">
    <w:abstractNumId w:val="172"/>
  </w:num>
  <w:num w:numId="285" w16cid:durableId="1862237886">
    <w:abstractNumId w:val="29"/>
  </w:num>
  <w:num w:numId="286" w16cid:durableId="1765610300">
    <w:abstractNumId w:val="15"/>
  </w:num>
  <w:num w:numId="287" w16cid:durableId="1262102403">
    <w:abstractNumId w:val="46"/>
  </w:num>
  <w:num w:numId="288" w16cid:durableId="978533237">
    <w:abstractNumId w:val="200"/>
  </w:num>
  <w:num w:numId="289" w16cid:durableId="1028067528">
    <w:abstractNumId w:val="25"/>
  </w:num>
  <w:num w:numId="290" w16cid:durableId="1293512047">
    <w:abstractNumId w:val="1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890609625">
    <w:abstractNumId w:val="260"/>
  </w:num>
  <w:num w:numId="292" w16cid:durableId="140273125">
    <w:abstractNumId w:val="286"/>
  </w:num>
  <w:num w:numId="293" w16cid:durableId="646396097">
    <w:abstractNumId w:val="201"/>
  </w:num>
  <w:num w:numId="294" w16cid:durableId="1522667105">
    <w:abstractNumId w:val="8"/>
  </w:num>
  <w:num w:numId="295" w16cid:durableId="1897668302">
    <w:abstractNumId w:val="99"/>
  </w:num>
  <w:num w:numId="296" w16cid:durableId="1594627072">
    <w:abstractNumId w:val="99"/>
  </w:num>
  <w:num w:numId="297" w16cid:durableId="1102265287">
    <w:abstractNumId w:val="99"/>
  </w:num>
  <w:num w:numId="298" w16cid:durableId="524708812">
    <w:abstractNumId w:val="119"/>
  </w:num>
  <w:num w:numId="299" w16cid:durableId="583681733">
    <w:abstractNumId w:val="139"/>
  </w:num>
  <w:num w:numId="300" w16cid:durableId="584918765">
    <w:abstractNumId w:val="114"/>
  </w:num>
  <w:num w:numId="301" w16cid:durableId="1601989853">
    <w:abstractNumId w:val="188"/>
  </w:num>
  <w:num w:numId="302" w16cid:durableId="1023743765">
    <w:abstractNumId w:val="289"/>
  </w:num>
  <w:num w:numId="303" w16cid:durableId="962886303">
    <w:abstractNumId w:val="239"/>
  </w:num>
  <w:num w:numId="304" w16cid:durableId="288557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414274657">
    <w:abstractNumId w:val="224"/>
  </w:num>
  <w:num w:numId="306" w16cid:durableId="777332355">
    <w:abstractNumId w:val="124"/>
  </w:num>
  <w:num w:numId="307" w16cid:durableId="1588270493">
    <w:abstractNumId w:val="242"/>
  </w:num>
  <w:num w:numId="308" w16cid:durableId="2114158105">
    <w:abstractNumId w:val="210"/>
  </w:num>
  <w:num w:numId="309" w16cid:durableId="1091051365">
    <w:abstractNumId w:val="12"/>
  </w:num>
  <w:num w:numId="310" w16cid:durableId="1959021306">
    <w:abstractNumId w:val="279"/>
  </w:num>
  <w:num w:numId="311" w16cid:durableId="343870971">
    <w:abstractNumId w:val="307"/>
  </w:num>
  <w:num w:numId="312" w16cid:durableId="1760639607">
    <w:abstractNumId w:val="98"/>
  </w:num>
  <w:num w:numId="313" w16cid:durableId="1198087320">
    <w:abstractNumId w:val="212"/>
  </w:num>
  <w:num w:numId="314" w16cid:durableId="231352607">
    <w:abstractNumId w:val="121"/>
  </w:num>
  <w:num w:numId="315" w16cid:durableId="2004628377">
    <w:abstractNumId w:val="121"/>
  </w:num>
  <w:num w:numId="316" w16cid:durableId="1648120045">
    <w:abstractNumId w:val="121"/>
  </w:num>
  <w:num w:numId="317" w16cid:durableId="1229802382">
    <w:abstractNumId w:val="121"/>
  </w:num>
  <w:num w:numId="318" w16cid:durableId="968973489">
    <w:abstractNumId w:val="121"/>
  </w:num>
  <w:num w:numId="319" w16cid:durableId="305404424">
    <w:abstractNumId w:val="121"/>
  </w:num>
  <w:num w:numId="320" w16cid:durableId="1155300785">
    <w:abstractNumId w:val="121"/>
  </w:num>
  <w:num w:numId="321" w16cid:durableId="633098681">
    <w:abstractNumId w:val="121"/>
  </w:num>
  <w:num w:numId="322" w16cid:durableId="1469518512">
    <w:abstractNumId w:val="121"/>
  </w:num>
  <w:num w:numId="323" w16cid:durableId="10227985">
    <w:abstractNumId w:val="121"/>
  </w:num>
  <w:num w:numId="324" w16cid:durableId="484980688">
    <w:abstractNumId w:val="243"/>
  </w:num>
  <w:num w:numId="325" w16cid:durableId="1816870445">
    <w:abstractNumId w:val="111"/>
  </w:num>
  <w:num w:numId="326" w16cid:durableId="1920628415">
    <w:abstractNumId w:val="280"/>
  </w:num>
  <w:num w:numId="327" w16cid:durableId="16276764">
    <w:abstractNumId w:val="32"/>
  </w:num>
  <w:num w:numId="328" w16cid:durableId="763191979">
    <w:abstractNumId w:val="121"/>
  </w:num>
  <w:num w:numId="329" w16cid:durableId="753434294">
    <w:abstractNumId w:val="121"/>
  </w:num>
  <w:num w:numId="330" w16cid:durableId="1217469162">
    <w:abstractNumId w:val="121"/>
  </w:num>
  <w:num w:numId="331" w16cid:durableId="662853081">
    <w:abstractNumId w:val="121"/>
  </w:num>
  <w:num w:numId="332" w16cid:durableId="1794252304">
    <w:abstractNumId w:val="121"/>
  </w:num>
  <w:num w:numId="333" w16cid:durableId="1533035426">
    <w:abstractNumId w:val="121"/>
  </w:num>
  <w:num w:numId="334" w16cid:durableId="45687104">
    <w:abstractNumId w:val="121"/>
  </w:num>
  <w:num w:numId="335" w16cid:durableId="786118320">
    <w:abstractNumId w:val="121"/>
  </w:num>
  <w:num w:numId="336" w16cid:durableId="1297486378">
    <w:abstractNumId w:val="121"/>
  </w:num>
  <w:num w:numId="337" w16cid:durableId="73941035">
    <w:abstractNumId w:val="121"/>
  </w:num>
  <w:num w:numId="338" w16cid:durableId="1681083367">
    <w:abstractNumId w:val="121"/>
  </w:num>
  <w:num w:numId="339" w16cid:durableId="1187326207">
    <w:abstractNumId w:val="121"/>
  </w:num>
  <w:num w:numId="340" w16cid:durableId="583800099">
    <w:abstractNumId w:val="121"/>
  </w:num>
  <w:num w:numId="341" w16cid:durableId="831526569">
    <w:abstractNumId w:val="315"/>
  </w:num>
  <w:num w:numId="342" w16cid:durableId="108743123">
    <w:abstractNumId w:val="196"/>
  </w:num>
  <w:num w:numId="343" w16cid:durableId="1479959008">
    <w:abstractNumId w:val="84"/>
  </w:num>
  <w:num w:numId="344" w16cid:durableId="447162110">
    <w:abstractNumId w:val="53"/>
  </w:num>
  <w:num w:numId="345" w16cid:durableId="525293388">
    <w:abstractNumId w:val="166"/>
  </w:num>
  <w:num w:numId="346" w16cid:durableId="875191164">
    <w:abstractNumId w:val="121"/>
  </w:num>
  <w:num w:numId="347" w16cid:durableId="1458062463">
    <w:abstractNumId w:val="121"/>
  </w:num>
  <w:num w:numId="348" w16cid:durableId="434636864">
    <w:abstractNumId w:val="121"/>
  </w:num>
  <w:num w:numId="349" w16cid:durableId="1120955124">
    <w:abstractNumId w:val="121"/>
  </w:num>
  <w:num w:numId="350" w16cid:durableId="509487408">
    <w:abstractNumId w:val="121"/>
  </w:num>
  <w:num w:numId="351" w16cid:durableId="1413628571">
    <w:abstractNumId w:val="161"/>
  </w:num>
  <w:num w:numId="352" w16cid:durableId="1748650274">
    <w:abstractNumId w:val="121"/>
  </w:num>
  <w:num w:numId="353" w16cid:durableId="374501370">
    <w:abstractNumId w:val="121"/>
  </w:num>
  <w:num w:numId="354" w16cid:durableId="260455311">
    <w:abstractNumId w:val="121"/>
  </w:num>
  <w:num w:numId="355" w16cid:durableId="1664776459">
    <w:abstractNumId w:val="121"/>
  </w:num>
  <w:num w:numId="356" w16cid:durableId="687409494">
    <w:abstractNumId w:val="121"/>
  </w:num>
  <w:num w:numId="357" w16cid:durableId="1136601131">
    <w:abstractNumId w:val="121"/>
  </w:num>
  <w:num w:numId="358" w16cid:durableId="1119446931">
    <w:abstractNumId w:val="121"/>
  </w:num>
  <w:num w:numId="359" w16cid:durableId="1167400416">
    <w:abstractNumId w:val="121"/>
  </w:num>
  <w:num w:numId="360" w16cid:durableId="1549487291">
    <w:abstractNumId w:val="121"/>
  </w:num>
  <w:num w:numId="361" w16cid:durableId="310983091">
    <w:abstractNumId w:val="277"/>
  </w:num>
  <w:num w:numId="362" w16cid:durableId="780540021">
    <w:abstractNumId w:val="299"/>
  </w:num>
  <w:numIdMacAtCleanup w:val="3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IE" w:vendorID="64" w:dllVersion="0" w:nlCheck="1" w:checkStyle="0"/>
  <w:activeWritingStyle w:appName="MSWord" w:lang="fr-FR" w:vendorID="64" w:dllVersion="0" w:nlCheck="1" w:checkStyle="0"/>
  <w:activeWritingStyle w:appName="MSWord" w:lang="sv-SE" w:vendorID="64" w:dllVersion="0" w:nlCheck="1" w:checkStyle="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26579"/>
    <w:rsid w:val="000001D1"/>
    <w:rsid w:val="00000306"/>
    <w:rsid w:val="00000319"/>
    <w:rsid w:val="000003A0"/>
    <w:rsid w:val="00000404"/>
    <w:rsid w:val="00000532"/>
    <w:rsid w:val="00000727"/>
    <w:rsid w:val="00000C60"/>
    <w:rsid w:val="00000CDD"/>
    <w:rsid w:val="00000F2D"/>
    <w:rsid w:val="000013E1"/>
    <w:rsid w:val="0000145F"/>
    <w:rsid w:val="00001E6E"/>
    <w:rsid w:val="00001EBE"/>
    <w:rsid w:val="00001F39"/>
    <w:rsid w:val="000022F6"/>
    <w:rsid w:val="00002DC4"/>
    <w:rsid w:val="000037EE"/>
    <w:rsid w:val="00003885"/>
    <w:rsid w:val="00003DB3"/>
    <w:rsid w:val="00003E52"/>
    <w:rsid w:val="00003E69"/>
    <w:rsid w:val="00004029"/>
    <w:rsid w:val="00004398"/>
    <w:rsid w:val="000044F5"/>
    <w:rsid w:val="000049D2"/>
    <w:rsid w:val="00004D79"/>
    <w:rsid w:val="00004F42"/>
    <w:rsid w:val="000055C8"/>
    <w:rsid w:val="00005669"/>
    <w:rsid w:val="000056DB"/>
    <w:rsid w:val="00005730"/>
    <w:rsid w:val="000057CD"/>
    <w:rsid w:val="000057E2"/>
    <w:rsid w:val="00006180"/>
    <w:rsid w:val="0000629F"/>
    <w:rsid w:val="0000656D"/>
    <w:rsid w:val="000066F9"/>
    <w:rsid w:val="00006B47"/>
    <w:rsid w:val="00006F61"/>
    <w:rsid w:val="000072F6"/>
    <w:rsid w:val="000073A8"/>
    <w:rsid w:val="0000761F"/>
    <w:rsid w:val="000077AC"/>
    <w:rsid w:val="00007844"/>
    <w:rsid w:val="00007863"/>
    <w:rsid w:val="00007912"/>
    <w:rsid w:val="00007944"/>
    <w:rsid w:val="00007B5C"/>
    <w:rsid w:val="0001070F"/>
    <w:rsid w:val="000107BC"/>
    <w:rsid w:val="00010F1B"/>
    <w:rsid w:val="00011071"/>
    <w:rsid w:val="000111B7"/>
    <w:rsid w:val="00011337"/>
    <w:rsid w:val="00011475"/>
    <w:rsid w:val="00011688"/>
    <w:rsid w:val="0001179E"/>
    <w:rsid w:val="00011988"/>
    <w:rsid w:val="00011A97"/>
    <w:rsid w:val="00011FB3"/>
    <w:rsid w:val="00012305"/>
    <w:rsid w:val="00012A2D"/>
    <w:rsid w:val="00013365"/>
    <w:rsid w:val="000134A6"/>
    <w:rsid w:val="00013703"/>
    <w:rsid w:val="000138C8"/>
    <w:rsid w:val="000142D9"/>
    <w:rsid w:val="0001440F"/>
    <w:rsid w:val="00014488"/>
    <w:rsid w:val="0001496E"/>
    <w:rsid w:val="00015017"/>
    <w:rsid w:val="00015324"/>
    <w:rsid w:val="000155F7"/>
    <w:rsid w:val="00015810"/>
    <w:rsid w:val="00015C3C"/>
    <w:rsid w:val="00016040"/>
    <w:rsid w:val="00016283"/>
    <w:rsid w:val="00016639"/>
    <w:rsid w:val="0001665B"/>
    <w:rsid w:val="000168B2"/>
    <w:rsid w:val="00016996"/>
    <w:rsid w:val="00016DBF"/>
    <w:rsid w:val="00016E3C"/>
    <w:rsid w:val="00016EB9"/>
    <w:rsid w:val="000175E5"/>
    <w:rsid w:val="00017983"/>
    <w:rsid w:val="00017A0C"/>
    <w:rsid w:val="00017B2B"/>
    <w:rsid w:val="00017D59"/>
    <w:rsid w:val="00017F15"/>
    <w:rsid w:val="0002000A"/>
    <w:rsid w:val="00020105"/>
    <w:rsid w:val="000202F1"/>
    <w:rsid w:val="00020D02"/>
    <w:rsid w:val="000212DE"/>
    <w:rsid w:val="0002146F"/>
    <w:rsid w:val="0002159A"/>
    <w:rsid w:val="00021796"/>
    <w:rsid w:val="000219D3"/>
    <w:rsid w:val="000219E9"/>
    <w:rsid w:val="00021EFE"/>
    <w:rsid w:val="0002207B"/>
    <w:rsid w:val="000225C9"/>
    <w:rsid w:val="0002269E"/>
    <w:rsid w:val="00022763"/>
    <w:rsid w:val="000227C4"/>
    <w:rsid w:val="00022B09"/>
    <w:rsid w:val="00022EDE"/>
    <w:rsid w:val="000233FA"/>
    <w:rsid w:val="00023BCC"/>
    <w:rsid w:val="00023DA2"/>
    <w:rsid w:val="000243B0"/>
    <w:rsid w:val="000247DE"/>
    <w:rsid w:val="0002514E"/>
    <w:rsid w:val="000252E8"/>
    <w:rsid w:val="00025476"/>
    <w:rsid w:val="00025637"/>
    <w:rsid w:val="00025640"/>
    <w:rsid w:val="00025724"/>
    <w:rsid w:val="00025973"/>
    <w:rsid w:val="00025C13"/>
    <w:rsid w:val="00025EE6"/>
    <w:rsid w:val="0002610B"/>
    <w:rsid w:val="00026111"/>
    <w:rsid w:val="000262DB"/>
    <w:rsid w:val="000268D5"/>
    <w:rsid w:val="00026AC6"/>
    <w:rsid w:val="00026D1C"/>
    <w:rsid w:val="0002730C"/>
    <w:rsid w:val="000273A0"/>
    <w:rsid w:val="000275EC"/>
    <w:rsid w:val="00027B38"/>
    <w:rsid w:val="000303E3"/>
    <w:rsid w:val="000305F0"/>
    <w:rsid w:val="00030A77"/>
    <w:rsid w:val="00030BFE"/>
    <w:rsid w:val="00030E15"/>
    <w:rsid w:val="00031035"/>
    <w:rsid w:val="0003211F"/>
    <w:rsid w:val="000322B3"/>
    <w:rsid w:val="000324F9"/>
    <w:rsid w:val="0003258E"/>
    <w:rsid w:val="000326B8"/>
    <w:rsid w:val="00032A8B"/>
    <w:rsid w:val="00032CE1"/>
    <w:rsid w:val="00032DF8"/>
    <w:rsid w:val="00032FB7"/>
    <w:rsid w:val="00033676"/>
    <w:rsid w:val="000336E5"/>
    <w:rsid w:val="00033995"/>
    <w:rsid w:val="00033A83"/>
    <w:rsid w:val="00033B2D"/>
    <w:rsid w:val="00033BA3"/>
    <w:rsid w:val="00033D12"/>
    <w:rsid w:val="00033EAB"/>
    <w:rsid w:val="000344A0"/>
    <w:rsid w:val="000346C4"/>
    <w:rsid w:val="00034937"/>
    <w:rsid w:val="00034B54"/>
    <w:rsid w:val="00034DA8"/>
    <w:rsid w:val="00034DD8"/>
    <w:rsid w:val="00035AC1"/>
    <w:rsid w:val="00035ADA"/>
    <w:rsid w:val="00035EB2"/>
    <w:rsid w:val="00035FF6"/>
    <w:rsid w:val="000362D6"/>
    <w:rsid w:val="00036365"/>
    <w:rsid w:val="00036405"/>
    <w:rsid w:val="00036A1C"/>
    <w:rsid w:val="00036ABE"/>
    <w:rsid w:val="00036B51"/>
    <w:rsid w:val="00036F6F"/>
    <w:rsid w:val="00036FB8"/>
    <w:rsid w:val="0003758F"/>
    <w:rsid w:val="00037874"/>
    <w:rsid w:val="00037BE2"/>
    <w:rsid w:val="00037CEC"/>
    <w:rsid w:val="00040110"/>
    <w:rsid w:val="00040342"/>
    <w:rsid w:val="000403FA"/>
    <w:rsid w:val="00040488"/>
    <w:rsid w:val="00040B9B"/>
    <w:rsid w:val="00040C11"/>
    <w:rsid w:val="00040E5C"/>
    <w:rsid w:val="00040EBB"/>
    <w:rsid w:val="00040ED4"/>
    <w:rsid w:val="00040EDE"/>
    <w:rsid w:val="00040FA3"/>
    <w:rsid w:val="00041024"/>
    <w:rsid w:val="00041B0A"/>
    <w:rsid w:val="00041C30"/>
    <w:rsid w:val="00041DC3"/>
    <w:rsid w:val="00041EE6"/>
    <w:rsid w:val="00041F50"/>
    <w:rsid w:val="0004259E"/>
    <w:rsid w:val="000427E2"/>
    <w:rsid w:val="0004290A"/>
    <w:rsid w:val="00042FEC"/>
    <w:rsid w:val="00043300"/>
    <w:rsid w:val="000436CE"/>
    <w:rsid w:val="00043E55"/>
    <w:rsid w:val="00043FC5"/>
    <w:rsid w:val="000442C7"/>
    <w:rsid w:val="000443D6"/>
    <w:rsid w:val="00044523"/>
    <w:rsid w:val="000445CC"/>
    <w:rsid w:val="00044B92"/>
    <w:rsid w:val="00044E2B"/>
    <w:rsid w:val="0004552A"/>
    <w:rsid w:val="00045C68"/>
    <w:rsid w:val="00045FDE"/>
    <w:rsid w:val="00046133"/>
    <w:rsid w:val="000461E8"/>
    <w:rsid w:val="0004625D"/>
    <w:rsid w:val="000464DF"/>
    <w:rsid w:val="000465BD"/>
    <w:rsid w:val="00046AA9"/>
    <w:rsid w:val="00046BD7"/>
    <w:rsid w:val="00046D18"/>
    <w:rsid w:val="0004735D"/>
    <w:rsid w:val="000477D6"/>
    <w:rsid w:val="00047804"/>
    <w:rsid w:val="00047868"/>
    <w:rsid w:val="000479E3"/>
    <w:rsid w:val="00047BB6"/>
    <w:rsid w:val="00047CB6"/>
    <w:rsid w:val="00047EA8"/>
    <w:rsid w:val="00047ED6"/>
    <w:rsid w:val="00047F02"/>
    <w:rsid w:val="0005038B"/>
    <w:rsid w:val="000503FC"/>
    <w:rsid w:val="00050844"/>
    <w:rsid w:val="00050961"/>
    <w:rsid w:val="00050BBB"/>
    <w:rsid w:val="00050C1D"/>
    <w:rsid w:val="00050D01"/>
    <w:rsid w:val="00050D0A"/>
    <w:rsid w:val="0005115D"/>
    <w:rsid w:val="000514E4"/>
    <w:rsid w:val="0005176E"/>
    <w:rsid w:val="0005192E"/>
    <w:rsid w:val="000520C2"/>
    <w:rsid w:val="0005212D"/>
    <w:rsid w:val="000522AE"/>
    <w:rsid w:val="000522E9"/>
    <w:rsid w:val="00052ABD"/>
    <w:rsid w:val="00052BE0"/>
    <w:rsid w:val="00052DB4"/>
    <w:rsid w:val="00052EF1"/>
    <w:rsid w:val="000534D7"/>
    <w:rsid w:val="00053530"/>
    <w:rsid w:val="000535D0"/>
    <w:rsid w:val="00053A21"/>
    <w:rsid w:val="00053A8E"/>
    <w:rsid w:val="00053C87"/>
    <w:rsid w:val="00053EE2"/>
    <w:rsid w:val="000544EC"/>
    <w:rsid w:val="0005450B"/>
    <w:rsid w:val="00054630"/>
    <w:rsid w:val="00054719"/>
    <w:rsid w:val="00054788"/>
    <w:rsid w:val="000549B0"/>
    <w:rsid w:val="00054B2A"/>
    <w:rsid w:val="00054CD0"/>
    <w:rsid w:val="00054CE8"/>
    <w:rsid w:val="000551D8"/>
    <w:rsid w:val="00055A8C"/>
    <w:rsid w:val="00055F88"/>
    <w:rsid w:val="000560A1"/>
    <w:rsid w:val="0005657A"/>
    <w:rsid w:val="00056BE2"/>
    <w:rsid w:val="0005720D"/>
    <w:rsid w:val="000573A8"/>
    <w:rsid w:val="000573E3"/>
    <w:rsid w:val="000574DE"/>
    <w:rsid w:val="000576F6"/>
    <w:rsid w:val="0005796B"/>
    <w:rsid w:val="000579C3"/>
    <w:rsid w:val="00057AAA"/>
    <w:rsid w:val="000600B7"/>
    <w:rsid w:val="00060523"/>
    <w:rsid w:val="00060901"/>
    <w:rsid w:val="00060BA1"/>
    <w:rsid w:val="00060DDB"/>
    <w:rsid w:val="00061072"/>
    <w:rsid w:val="00061156"/>
    <w:rsid w:val="000615AA"/>
    <w:rsid w:val="00061A18"/>
    <w:rsid w:val="00061D7A"/>
    <w:rsid w:val="000622A9"/>
    <w:rsid w:val="00062B50"/>
    <w:rsid w:val="00062EF8"/>
    <w:rsid w:val="000636C4"/>
    <w:rsid w:val="000636C8"/>
    <w:rsid w:val="00063BF1"/>
    <w:rsid w:val="00063DBB"/>
    <w:rsid w:val="000640F1"/>
    <w:rsid w:val="0006462E"/>
    <w:rsid w:val="00064751"/>
    <w:rsid w:val="00064F58"/>
    <w:rsid w:val="000651FD"/>
    <w:rsid w:val="00065425"/>
    <w:rsid w:val="00065465"/>
    <w:rsid w:val="0006553E"/>
    <w:rsid w:val="00065C24"/>
    <w:rsid w:val="00065E54"/>
    <w:rsid w:val="00065F51"/>
    <w:rsid w:val="00066038"/>
    <w:rsid w:val="00066126"/>
    <w:rsid w:val="00066697"/>
    <w:rsid w:val="000667BC"/>
    <w:rsid w:val="00066946"/>
    <w:rsid w:val="00066A86"/>
    <w:rsid w:val="00066A87"/>
    <w:rsid w:val="00066F44"/>
    <w:rsid w:val="000671BF"/>
    <w:rsid w:val="000672FF"/>
    <w:rsid w:val="0006761E"/>
    <w:rsid w:val="00067B60"/>
    <w:rsid w:val="00067BF7"/>
    <w:rsid w:val="00067CBF"/>
    <w:rsid w:val="00067D48"/>
    <w:rsid w:val="00070099"/>
    <w:rsid w:val="00070245"/>
    <w:rsid w:val="0007042E"/>
    <w:rsid w:val="000706C6"/>
    <w:rsid w:val="0007079C"/>
    <w:rsid w:val="00070D15"/>
    <w:rsid w:val="00070D79"/>
    <w:rsid w:val="00070E1D"/>
    <w:rsid w:val="000717DD"/>
    <w:rsid w:val="00071BD7"/>
    <w:rsid w:val="00071C8B"/>
    <w:rsid w:val="00071D8B"/>
    <w:rsid w:val="00071DA7"/>
    <w:rsid w:val="00071DE8"/>
    <w:rsid w:val="00071FBB"/>
    <w:rsid w:val="000724EF"/>
    <w:rsid w:val="00072566"/>
    <w:rsid w:val="0007259E"/>
    <w:rsid w:val="00072705"/>
    <w:rsid w:val="000727A8"/>
    <w:rsid w:val="00072C27"/>
    <w:rsid w:val="00073001"/>
    <w:rsid w:val="000731FF"/>
    <w:rsid w:val="00073584"/>
    <w:rsid w:val="0007360F"/>
    <w:rsid w:val="00073630"/>
    <w:rsid w:val="000736B0"/>
    <w:rsid w:val="0007414F"/>
    <w:rsid w:val="00074797"/>
    <w:rsid w:val="000747A6"/>
    <w:rsid w:val="000749F2"/>
    <w:rsid w:val="00074D5E"/>
    <w:rsid w:val="00074E57"/>
    <w:rsid w:val="00075497"/>
    <w:rsid w:val="0007583B"/>
    <w:rsid w:val="00075ACD"/>
    <w:rsid w:val="00075C8E"/>
    <w:rsid w:val="0007630D"/>
    <w:rsid w:val="000763EB"/>
    <w:rsid w:val="000764B3"/>
    <w:rsid w:val="00076609"/>
    <w:rsid w:val="00076BF6"/>
    <w:rsid w:val="00077177"/>
    <w:rsid w:val="00077200"/>
    <w:rsid w:val="00077420"/>
    <w:rsid w:val="000778A2"/>
    <w:rsid w:val="000778F3"/>
    <w:rsid w:val="0008011F"/>
    <w:rsid w:val="0008013D"/>
    <w:rsid w:val="00080227"/>
    <w:rsid w:val="00080852"/>
    <w:rsid w:val="00080C27"/>
    <w:rsid w:val="00080C94"/>
    <w:rsid w:val="00080F7E"/>
    <w:rsid w:val="0008132F"/>
    <w:rsid w:val="000813B8"/>
    <w:rsid w:val="000814EB"/>
    <w:rsid w:val="000817F5"/>
    <w:rsid w:val="00081885"/>
    <w:rsid w:val="00081900"/>
    <w:rsid w:val="000819B6"/>
    <w:rsid w:val="00081E93"/>
    <w:rsid w:val="00082068"/>
    <w:rsid w:val="000820F5"/>
    <w:rsid w:val="0008240A"/>
    <w:rsid w:val="00082793"/>
    <w:rsid w:val="0008284E"/>
    <w:rsid w:val="00082B81"/>
    <w:rsid w:val="00082ED6"/>
    <w:rsid w:val="00083123"/>
    <w:rsid w:val="000832B2"/>
    <w:rsid w:val="000833E3"/>
    <w:rsid w:val="00083557"/>
    <w:rsid w:val="000837E3"/>
    <w:rsid w:val="0008380F"/>
    <w:rsid w:val="00083FCD"/>
    <w:rsid w:val="00084053"/>
    <w:rsid w:val="0008424A"/>
    <w:rsid w:val="0008449C"/>
    <w:rsid w:val="0008488E"/>
    <w:rsid w:val="00084939"/>
    <w:rsid w:val="0008499C"/>
    <w:rsid w:val="00084A71"/>
    <w:rsid w:val="00084D38"/>
    <w:rsid w:val="00085246"/>
    <w:rsid w:val="00085BA7"/>
    <w:rsid w:val="00085C1B"/>
    <w:rsid w:val="00085C7D"/>
    <w:rsid w:val="00085C96"/>
    <w:rsid w:val="00085D33"/>
    <w:rsid w:val="00085D68"/>
    <w:rsid w:val="00085E62"/>
    <w:rsid w:val="00085F14"/>
    <w:rsid w:val="000860B9"/>
    <w:rsid w:val="0008622F"/>
    <w:rsid w:val="0008638C"/>
    <w:rsid w:val="000863C9"/>
    <w:rsid w:val="000867B3"/>
    <w:rsid w:val="00086A19"/>
    <w:rsid w:val="00086A92"/>
    <w:rsid w:val="00086B6B"/>
    <w:rsid w:val="00086CE8"/>
    <w:rsid w:val="00086FD4"/>
    <w:rsid w:val="000871E9"/>
    <w:rsid w:val="000872E1"/>
    <w:rsid w:val="00087354"/>
    <w:rsid w:val="00087371"/>
    <w:rsid w:val="00087868"/>
    <w:rsid w:val="0008795A"/>
    <w:rsid w:val="00087BF8"/>
    <w:rsid w:val="00087E7F"/>
    <w:rsid w:val="00090017"/>
    <w:rsid w:val="00090176"/>
    <w:rsid w:val="00090243"/>
    <w:rsid w:val="0009032E"/>
    <w:rsid w:val="00090647"/>
    <w:rsid w:val="000906F0"/>
    <w:rsid w:val="000907B9"/>
    <w:rsid w:val="0009088A"/>
    <w:rsid w:val="00090A49"/>
    <w:rsid w:val="00090F84"/>
    <w:rsid w:val="00091223"/>
    <w:rsid w:val="000915C6"/>
    <w:rsid w:val="00091A6C"/>
    <w:rsid w:val="00091DFA"/>
    <w:rsid w:val="00091FC4"/>
    <w:rsid w:val="00092367"/>
    <w:rsid w:val="00092573"/>
    <w:rsid w:val="00092846"/>
    <w:rsid w:val="000928C1"/>
    <w:rsid w:val="000939DB"/>
    <w:rsid w:val="00093A82"/>
    <w:rsid w:val="00093AFB"/>
    <w:rsid w:val="00093B78"/>
    <w:rsid w:val="00094083"/>
    <w:rsid w:val="0009421E"/>
    <w:rsid w:val="00094597"/>
    <w:rsid w:val="00094CF6"/>
    <w:rsid w:val="00094FB6"/>
    <w:rsid w:val="00095255"/>
    <w:rsid w:val="00095343"/>
    <w:rsid w:val="0009544A"/>
    <w:rsid w:val="000954BA"/>
    <w:rsid w:val="00095527"/>
    <w:rsid w:val="000955FD"/>
    <w:rsid w:val="0009589F"/>
    <w:rsid w:val="00095CED"/>
    <w:rsid w:val="00095ECF"/>
    <w:rsid w:val="000965E6"/>
    <w:rsid w:val="00097392"/>
    <w:rsid w:val="00097518"/>
    <w:rsid w:val="000976D4"/>
    <w:rsid w:val="000976D9"/>
    <w:rsid w:val="00097839"/>
    <w:rsid w:val="00097965"/>
    <w:rsid w:val="00097A2A"/>
    <w:rsid w:val="00097A8F"/>
    <w:rsid w:val="00097E72"/>
    <w:rsid w:val="000A080F"/>
    <w:rsid w:val="000A0865"/>
    <w:rsid w:val="000A091E"/>
    <w:rsid w:val="000A0A12"/>
    <w:rsid w:val="000A0C6E"/>
    <w:rsid w:val="000A11C4"/>
    <w:rsid w:val="000A15D5"/>
    <w:rsid w:val="000A196A"/>
    <w:rsid w:val="000A19B7"/>
    <w:rsid w:val="000A1C68"/>
    <w:rsid w:val="000A1C9B"/>
    <w:rsid w:val="000A1CC1"/>
    <w:rsid w:val="000A1CD6"/>
    <w:rsid w:val="000A1EF3"/>
    <w:rsid w:val="000A1FB2"/>
    <w:rsid w:val="000A2445"/>
    <w:rsid w:val="000A25C0"/>
    <w:rsid w:val="000A29B9"/>
    <w:rsid w:val="000A2F6B"/>
    <w:rsid w:val="000A3544"/>
    <w:rsid w:val="000A3ABD"/>
    <w:rsid w:val="000A4337"/>
    <w:rsid w:val="000A4435"/>
    <w:rsid w:val="000A4573"/>
    <w:rsid w:val="000A457D"/>
    <w:rsid w:val="000A486C"/>
    <w:rsid w:val="000A4A33"/>
    <w:rsid w:val="000A54A2"/>
    <w:rsid w:val="000A55A3"/>
    <w:rsid w:val="000A5C46"/>
    <w:rsid w:val="000A5DB8"/>
    <w:rsid w:val="000A5FF0"/>
    <w:rsid w:val="000A61E3"/>
    <w:rsid w:val="000A6B9E"/>
    <w:rsid w:val="000A6D17"/>
    <w:rsid w:val="000A70C7"/>
    <w:rsid w:val="000A7AC3"/>
    <w:rsid w:val="000A7BC1"/>
    <w:rsid w:val="000A7C5C"/>
    <w:rsid w:val="000B0093"/>
    <w:rsid w:val="000B01BC"/>
    <w:rsid w:val="000B0256"/>
    <w:rsid w:val="000B0313"/>
    <w:rsid w:val="000B03D6"/>
    <w:rsid w:val="000B05C3"/>
    <w:rsid w:val="000B0759"/>
    <w:rsid w:val="000B084A"/>
    <w:rsid w:val="000B0A2E"/>
    <w:rsid w:val="000B0BFF"/>
    <w:rsid w:val="000B1767"/>
    <w:rsid w:val="000B1A6A"/>
    <w:rsid w:val="000B1AD7"/>
    <w:rsid w:val="000B2227"/>
    <w:rsid w:val="000B227A"/>
    <w:rsid w:val="000B2535"/>
    <w:rsid w:val="000B258D"/>
    <w:rsid w:val="000B2677"/>
    <w:rsid w:val="000B2756"/>
    <w:rsid w:val="000B29FE"/>
    <w:rsid w:val="000B2D19"/>
    <w:rsid w:val="000B2FE2"/>
    <w:rsid w:val="000B30F2"/>
    <w:rsid w:val="000B32AD"/>
    <w:rsid w:val="000B3483"/>
    <w:rsid w:val="000B3939"/>
    <w:rsid w:val="000B3AAB"/>
    <w:rsid w:val="000B3BF2"/>
    <w:rsid w:val="000B42F5"/>
    <w:rsid w:val="000B4328"/>
    <w:rsid w:val="000B44B8"/>
    <w:rsid w:val="000B4681"/>
    <w:rsid w:val="000B4754"/>
    <w:rsid w:val="000B4797"/>
    <w:rsid w:val="000B4C4C"/>
    <w:rsid w:val="000B4E80"/>
    <w:rsid w:val="000B534C"/>
    <w:rsid w:val="000B56EF"/>
    <w:rsid w:val="000B5734"/>
    <w:rsid w:val="000B5741"/>
    <w:rsid w:val="000B5A3F"/>
    <w:rsid w:val="000B5A7F"/>
    <w:rsid w:val="000B5BE4"/>
    <w:rsid w:val="000B5D0A"/>
    <w:rsid w:val="000B61C3"/>
    <w:rsid w:val="000B64C0"/>
    <w:rsid w:val="000B6579"/>
    <w:rsid w:val="000B6736"/>
    <w:rsid w:val="000B6D38"/>
    <w:rsid w:val="000B6E78"/>
    <w:rsid w:val="000B7283"/>
    <w:rsid w:val="000B7605"/>
    <w:rsid w:val="000B764E"/>
    <w:rsid w:val="000B784A"/>
    <w:rsid w:val="000B7A3C"/>
    <w:rsid w:val="000B7E47"/>
    <w:rsid w:val="000B7E5A"/>
    <w:rsid w:val="000C01F1"/>
    <w:rsid w:val="000C056C"/>
    <w:rsid w:val="000C0678"/>
    <w:rsid w:val="000C09D4"/>
    <w:rsid w:val="000C0B15"/>
    <w:rsid w:val="000C0B5B"/>
    <w:rsid w:val="000C0B76"/>
    <w:rsid w:val="000C0F1E"/>
    <w:rsid w:val="000C103C"/>
    <w:rsid w:val="000C118A"/>
    <w:rsid w:val="000C1A30"/>
    <w:rsid w:val="000C1C05"/>
    <w:rsid w:val="000C24F0"/>
    <w:rsid w:val="000C26ED"/>
    <w:rsid w:val="000C2934"/>
    <w:rsid w:val="000C2E49"/>
    <w:rsid w:val="000C2FA2"/>
    <w:rsid w:val="000C3167"/>
    <w:rsid w:val="000C3224"/>
    <w:rsid w:val="000C32CB"/>
    <w:rsid w:val="000C380E"/>
    <w:rsid w:val="000C391B"/>
    <w:rsid w:val="000C3998"/>
    <w:rsid w:val="000C3E00"/>
    <w:rsid w:val="000C4445"/>
    <w:rsid w:val="000C446E"/>
    <w:rsid w:val="000C482D"/>
    <w:rsid w:val="000C4EB3"/>
    <w:rsid w:val="000C4EE1"/>
    <w:rsid w:val="000C521A"/>
    <w:rsid w:val="000C52E0"/>
    <w:rsid w:val="000C5426"/>
    <w:rsid w:val="000C5806"/>
    <w:rsid w:val="000C6140"/>
    <w:rsid w:val="000C6148"/>
    <w:rsid w:val="000C655B"/>
    <w:rsid w:val="000C6600"/>
    <w:rsid w:val="000C6873"/>
    <w:rsid w:val="000C69C2"/>
    <w:rsid w:val="000C6FDB"/>
    <w:rsid w:val="000C7474"/>
    <w:rsid w:val="000C7A5B"/>
    <w:rsid w:val="000C7A83"/>
    <w:rsid w:val="000C7C0B"/>
    <w:rsid w:val="000D0125"/>
    <w:rsid w:val="000D0711"/>
    <w:rsid w:val="000D0A1E"/>
    <w:rsid w:val="000D0AFE"/>
    <w:rsid w:val="000D14DB"/>
    <w:rsid w:val="000D1579"/>
    <w:rsid w:val="000D17A4"/>
    <w:rsid w:val="000D1BA2"/>
    <w:rsid w:val="000D2101"/>
    <w:rsid w:val="000D213E"/>
    <w:rsid w:val="000D21EE"/>
    <w:rsid w:val="000D227B"/>
    <w:rsid w:val="000D2359"/>
    <w:rsid w:val="000D2857"/>
    <w:rsid w:val="000D3D20"/>
    <w:rsid w:val="000D3EC3"/>
    <w:rsid w:val="000D42AE"/>
    <w:rsid w:val="000D4BD8"/>
    <w:rsid w:val="000D50F9"/>
    <w:rsid w:val="000D51F9"/>
    <w:rsid w:val="000D5577"/>
    <w:rsid w:val="000D5729"/>
    <w:rsid w:val="000D5B16"/>
    <w:rsid w:val="000D5C42"/>
    <w:rsid w:val="000D5CA1"/>
    <w:rsid w:val="000D6510"/>
    <w:rsid w:val="000D6CB8"/>
    <w:rsid w:val="000D6CDC"/>
    <w:rsid w:val="000D6EC6"/>
    <w:rsid w:val="000D6EE6"/>
    <w:rsid w:val="000D7AB2"/>
    <w:rsid w:val="000D7F70"/>
    <w:rsid w:val="000D7F79"/>
    <w:rsid w:val="000D7FFE"/>
    <w:rsid w:val="000E031C"/>
    <w:rsid w:val="000E06DB"/>
    <w:rsid w:val="000E07F5"/>
    <w:rsid w:val="000E0A35"/>
    <w:rsid w:val="000E0AFD"/>
    <w:rsid w:val="000E116C"/>
    <w:rsid w:val="000E16C9"/>
    <w:rsid w:val="000E188C"/>
    <w:rsid w:val="000E1B29"/>
    <w:rsid w:val="000E1C0D"/>
    <w:rsid w:val="000E1CEC"/>
    <w:rsid w:val="000E1F53"/>
    <w:rsid w:val="000E209D"/>
    <w:rsid w:val="000E2131"/>
    <w:rsid w:val="000E2150"/>
    <w:rsid w:val="000E25D4"/>
    <w:rsid w:val="000E270C"/>
    <w:rsid w:val="000E27DD"/>
    <w:rsid w:val="000E2B2A"/>
    <w:rsid w:val="000E2F40"/>
    <w:rsid w:val="000E3B7F"/>
    <w:rsid w:val="000E3CB5"/>
    <w:rsid w:val="000E3E8E"/>
    <w:rsid w:val="000E3F67"/>
    <w:rsid w:val="000E42E3"/>
    <w:rsid w:val="000E4423"/>
    <w:rsid w:val="000E44B0"/>
    <w:rsid w:val="000E453A"/>
    <w:rsid w:val="000E4D6F"/>
    <w:rsid w:val="000E4E39"/>
    <w:rsid w:val="000E4FC7"/>
    <w:rsid w:val="000E52B6"/>
    <w:rsid w:val="000E5665"/>
    <w:rsid w:val="000E5BC2"/>
    <w:rsid w:val="000E618A"/>
    <w:rsid w:val="000E63AB"/>
    <w:rsid w:val="000E6462"/>
    <w:rsid w:val="000E6494"/>
    <w:rsid w:val="000E6931"/>
    <w:rsid w:val="000E6C15"/>
    <w:rsid w:val="000E6E01"/>
    <w:rsid w:val="000F0026"/>
    <w:rsid w:val="000F026A"/>
    <w:rsid w:val="000F0858"/>
    <w:rsid w:val="000F08DA"/>
    <w:rsid w:val="000F0A43"/>
    <w:rsid w:val="000F0A58"/>
    <w:rsid w:val="000F0B4D"/>
    <w:rsid w:val="000F10B6"/>
    <w:rsid w:val="000F1398"/>
    <w:rsid w:val="000F15AC"/>
    <w:rsid w:val="000F18AD"/>
    <w:rsid w:val="000F18E1"/>
    <w:rsid w:val="000F1931"/>
    <w:rsid w:val="000F1B2B"/>
    <w:rsid w:val="000F1C8B"/>
    <w:rsid w:val="000F1DBC"/>
    <w:rsid w:val="000F2088"/>
    <w:rsid w:val="000F2AF4"/>
    <w:rsid w:val="000F2F0D"/>
    <w:rsid w:val="000F3115"/>
    <w:rsid w:val="000F32A5"/>
    <w:rsid w:val="000F35E7"/>
    <w:rsid w:val="000F3756"/>
    <w:rsid w:val="000F3CD3"/>
    <w:rsid w:val="000F486B"/>
    <w:rsid w:val="000F4AC1"/>
    <w:rsid w:val="000F4B3C"/>
    <w:rsid w:val="000F4F79"/>
    <w:rsid w:val="000F4FE8"/>
    <w:rsid w:val="000F4FF2"/>
    <w:rsid w:val="000F52A2"/>
    <w:rsid w:val="000F5525"/>
    <w:rsid w:val="000F59C1"/>
    <w:rsid w:val="000F5CF5"/>
    <w:rsid w:val="000F5D53"/>
    <w:rsid w:val="000F5D60"/>
    <w:rsid w:val="000F5E40"/>
    <w:rsid w:val="000F620A"/>
    <w:rsid w:val="000F6220"/>
    <w:rsid w:val="000F6857"/>
    <w:rsid w:val="000F68BC"/>
    <w:rsid w:val="000F6B55"/>
    <w:rsid w:val="000F6D68"/>
    <w:rsid w:val="000F6DF2"/>
    <w:rsid w:val="000F7466"/>
    <w:rsid w:val="000F7B7B"/>
    <w:rsid w:val="000F7D92"/>
    <w:rsid w:val="00100899"/>
    <w:rsid w:val="0010093C"/>
    <w:rsid w:val="001009F7"/>
    <w:rsid w:val="00100C02"/>
    <w:rsid w:val="00100D75"/>
    <w:rsid w:val="00100E1E"/>
    <w:rsid w:val="00100EBA"/>
    <w:rsid w:val="001011B0"/>
    <w:rsid w:val="001017FA"/>
    <w:rsid w:val="00101C92"/>
    <w:rsid w:val="00101E42"/>
    <w:rsid w:val="00101EB3"/>
    <w:rsid w:val="001021C2"/>
    <w:rsid w:val="0010258C"/>
    <w:rsid w:val="00102815"/>
    <w:rsid w:val="00102C1B"/>
    <w:rsid w:val="0010332A"/>
    <w:rsid w:val="00103578"/>
    <w:rsid w:val="00103833"/>
    <w:rsid w:val="00103AFA"/>
    <w:rsid w:val="00103EDB"/>
    <w:rsid w:val="00103F4E"/>
    <w:rsid w:val="00103FE0"/>
    <w:rsid w:val="001040D1"/>
    <w:rsid w:val="001041F2"/>
    <w:rsid w:val="00104326"/>
    <w:rsid w:val="001045D8"/>
    <w:rsid w:val="00104ACE"/>
    <w:rsid w:val="00104C5B"/>
    <w:rsid w:val="00104D96"/>
    <w:rsid w:val="00104E88"/>
    <w:rsid w:val="00104F42"/>
    <w:rsid w:val="00105458"/>
    <w:rsid w:val="00105666"/>
    <w:rsid w:val="0010582B"/>
    <w:rsid w:val="00105D68"/>
    <w:rsid w:val="00105F38"/>
    <w:rsid w:val="0010684E"/>
    <w:rsid w:val="001075A1"/>
    <w:rsid w:val="001075C9"/>
    <w:rsid w:val="001077C3"/>
    <w:rsid w:val="001079A8"/>
    <w:rsid w:val="00107B5E"/>
    <w:rsid w:val="00107ECA"/>
    <w:rsid w:val="00110062"/>
    <w:rsid w:val="00110368"/>
    <w:rsid w:val="00110535"/>
    <w:rsid w:val="001106C2"/>
    <w:rsid w:val="00110841"/>
    <w:rsid w:val="00110908"/>
    <w:rsid w:val="00110AD4"/>
    <w:rsid w:val="00110B04"/>
    <w:rsid w:val="00110E50"/>
    <w:rsid w:val="00110EF2"/>
    <w:rsid w:val="001114F0"/>
    <w:rsid w:val="001117C0"/>
    <w:rsid w:val="00111BE6"/>
    <w:rsid w:val="00112242"/>
    <w:rsid w:val="001127E8"/>
    <w:rsid w:val="00112AAF"/>
    <w:rsid w:val="00112ABD"/>
    <w:rsid w:val="00112B31"/>
    <w:rsid w:val="00112C96"/>
    <w:rsid w:val="0011365E"/>
    <w:rsid w:val="001137E4"/>
    <w:rsid w:val="001138CD"/>
    <w:rsid w:val="00113B5B"/>
    <w:rsid w:val="00113B71"/>
    <w:rsid w:val="00113D81"/>
    <w:rsid w:val="0011405A"/>
    <w:rsid w:val="001146B0"/>
    <w:rsid w:val="001147F4"/>
    <w:rsid w:val="00114C42"/>
    <w:rsid w:val="00114E81"/>
    <w:rsid w:val="001151AA"/>
    <w:rsid w:val="0011538E"/>
    <w:rsid w:val="00115A4B"/>
    <w:rsid w:val="00116289"/>
    <w:rsid w:val="00116782"/>
    <w:rsid w:val="00116953"/>
    <w:rsid w:val="00116B7A"/>
    <w:rsid w:val="00116C69"/>
    <w:rsid w:val="00116FBA"/>
    <w:rsid w:val="001171EB"/>
    <w:rsid w:val="0011778A"/>
    <w:rsid w:val="00117796"/>
    <w:rsid w:val="001178E6"/>
    <w:rsid w:val="00117A20"/>
    <w:rsid w:val="00117BE9"/>
    <w:rsid w:val="00117E3F"/>
    <w:rsid w:val="001203DE"/>
    <w:rsid w:val="00120436"/>
    <w:rsid w:val="001204B7"/>
    <w:rsid w:val="0012065E"/>
    <w:rsid w:val="0012189A"/>
    <w:rsid w:val="001221D1"/>
    <w:rsid w:val="0012275C"/>
    <w:rsid w:val="00122A07"/>
    <w:rsid w:val="00122CFB"/>
    <w:rsid w:val="001235DD"/>
    <w:rsid w:val="00123C7A"/>
    <w:rsid w:val="00123FA0"/>
    <w:rsid w:val="001242D2"/>
    <w:rsid w:val="001244B0"/>
    <w:rsid w:val="00124E86"/>
    <w:rsid w:val="00124F88"/>
    <w:rsid w:val="00124FE6"/>
    <w:rsid w:val="00124FE8"/>
    <w:rsid w:val="00125121"/>
    <w:rsid w:val="00125127"/>
    <w:rsid w:val="001255F3"/>
    <w:rsid w:val="001258B3"/>
    <w:rsid w:val="0012599F"/>
    <w:rsid w:val="00125A78"/>
    <w:rsid w:val="00126578"/>
    <w:rsid w:val="001267D4"/>
    <w:rsid w:val="001268CB"/>
    <w:rsid w:val="00126FC3"/>
    <w:rsid w:val="001277C0"/>
    <w:rsid w:val="00127B22"/>
    <w:rsid w:val="00127D9F"/>
    <w:rsid w:val="00130B49"/>
    <w:rsid w:val="00130C4F"/>
    <w:rsid w:val="00130F8E"/>
    <w:rsid w:val="0013104C"/>
    <w:rsid w:val="00131243"/>
    <w:rsid w:val="00131A82"/>
    <w:rsid w:val="00131BE3"/>
    <w:rsid w:val="00131C97"/>
    <w:rsid w:val="00131EA7"/>
    <w:rsid w:val="00132011"/>
    <w:rsid w:val="00132041"/>
    <w:rsid w:val="001322EE"/>
    <w:rsid w:val="0013230D"/>
    <w:rsid w:val="00132574"/>
    <w:rsid w:val="00132649"/>
    <w:rsid w:val="00132841"/>
    <w:rsid w:val="00132905"/>
    <w:rsid w:val="0013292E"/>
    <w:rsid w:val="00132A90"/>
    <w:rsid w:val="0013303E"/>
    <w:rsid w:val="001331FE"/>
    <w:rsid w:val="00133244"/>
    <w:rsid w:val="0013345F"/>
    <w:rsid w:val="0013362D"/>
    <w:rsid w:val="00133DCF"/>
    <w:rsid w:val="00134235"/>
    <w:rsid w:val="001347A0"/>
    <w:rsid w:val="00135520"/>
    <w:rsid w:val="00135BA3"/>
    <w:rsid w:val="00135EE8"/>
    <w:rsid w:val="00136446"/>
    <w:rsid w:val="0013655E"/>
    <w:rsid w:val="001365D1"/>
    <w:rsid w:val="00136815"/>
    <w:rsid w:val="00136B0C"/>
    <w:rsid w:val="0013743E"/>
    <w:rsid w:val="00137591"/>
    <w:rsid w:val="001377C6"/>
    <w:rsid w:val="001378A9"/>
    <w:rsid w:val="00137C77"/>
    <w:rsid w:val="00137DEF"/>
    <w:rsid w:val="00140286"/>
    <w:rsid w:val="001402CE"/>
    <w:rsid w:val="00140353"/>
    <w:rsid w:val="001405DE"/>
    <w:rsid w:val="001406E1"/>
    <w:rsid w:val="00140719"/>
    <w:rsid w:val="00140AD0"/>
    <w:rsid w:val="00140C29"/>
    <w:rsid w:val="00140DEC"/>
    <w:rsid w:val="00140F36"/>
    <w:rsid w:val="00141425"/>
    <w:rsid w:val="0014143D"/>
    <w:rsid w:val="001416A2"/>
    <w:rsid w:val="0014191A"/>
    <w:rsid w:val="00141C62"/>
    <w:rsid w:val="00142117"/>
    <w:rsid w:val="00142666"/>
    <w:rsid w:val="0014292E"/>
    <w:rsid w:val="00143179"/>
    <w:rsid w:val="001435B9"/>
    <w:rsid w:val="001435F5"/>
    <w:rsid w:val="0014388F"/>
    <w:rsid w:val="0014397F"/>
    <w:rsid w:val="00143BBA"/>
    <w:rsid w:val="00143F4A"/>
    <w:rsid w:val="00143FEA"/>
    <w:rsid w:val="0014406A"/>
    <w:rsid w:val="001440B6"/>
    <w:rsid w:val="001440C2"/>
    <w:rsid w:val="0014436D"/>
    <w:rsid w:val="00144394"/>
    <w:rsid w:val="0014439A"/>
    <w:rsid w:val="00144711"/>
    <w:rsid w:val="00144853"/>
    <w:rsid w:val="00144CC6"/>
    <w:rsid w:val="00144CE7"/>
    <w:rsid w:val="001454A9"/>
    <w:rsid w:val="001454FF"/>
    <w:rsid w:val="001457C8"/>
    <w:rsid w:val="00145C48"/>
    <w:rsid w:val="00145D4F"/>
    <w:rsid w:val="00145EFC"/>
    <w:rsid w:val="00145F06"/>
    <w:rsid w:val="0014608E"/>
    <w:rsid w:val="001467C4"/>
    <w:rsid w:val="001469B7"/>
    <w:rsid w:val="00146BF7"/>
    <w:rsid w:val="0014724C"/>
    <w:rsid w:val="0015031C"/>
    <w:rsid w:val="00150420"/>
    <w:rsid w:val="0015086D"/>
    <w:rsid w:val="00150DED"/>
    <w:rsid w:val="001515EC"/>
    <w:rsid w:val="001516AF"/>
    <w:rsid w:val="0015187D"/>
    <w:rsid w:val="001518A6"/>
    <w:rsid w:val="001518D4"/>
    <w:rsid w:val="00151901"/>
    <w:rsid w:val="001519B3"/>
    <w:rsid w:val="00151DD3"/>
    <w:rsid w:val="00151EB3"/>
    <w:rsid w:val="00152036"/>
    <w:rsid w:val="00152191"/>
    <w:rsid w:val="0015222D"/>
    <w:rsid w:val="00152593"/>
    <w:rsid w:val="00152895"/>
    <w:rsid w:val="00152B20"/>
    <w:rsid w:val="00152E60"/>
    <w:rsid w:val="00152ED1"/>
    <w:rsid w:val="00152F16"/>
    <w:rsid w:val="001530AD"/>
    <w:rsid w:val="001530FB"/>
    <w:rsid w:val="00153255"/>
    <w:rsid w:val="001532DA"/>
    <w:rsid w:val="001538B2"/>
    <w:rsid w:val="00153934"/>
    <w:rsid w:val="0015396D"/>
    <w:rsid w:val="0015399D"/>
    <w:rsid w:val="00153A9D"/>
    <w:rsid w:val="00153B2D"/>
    <w:rsid w:val="00153D65"/>
    <w:rsid w:val="00154118"/>
    <w:rsid w:val="00154620"/>
    <w:rsid w:val="0015486E"/>
    <w:rsid w:val="00154BA0"/>
    <w:rsid w:val="001554DD"/>
    <w:rsid w:val="0015563F"/>
    <w:rsid w:val="0015599E"/>
    <w:rsid w:val="0015607B"/>
    <w:rsid w:val="001561BF"/>
    <w:rsid w:val="00156390"/>
    <w:rsid w:val="001566D5"/>
    <w:rsid w:val="001566DB"/>
    <w:rsid w:val="001569B3"/>
    <w:rsid w:val="00156A49"/>
    <w:rsid w:val="00156C0C"/>
    <w:rsid w:val="00157051"/>
    <w:rsid w:val="00157174"/>
    <w:rsid w:val="001576F2"/>
    <w:rsid w:val="00157B57"/>
    <w:rsid w:val="00157B9F"/>
    <w:rsid w:val="00157C74"/>
    <w:rsid w:val="00160048"/>
    <w:rsid w:val="001605E4"/>
    <w:rsid w:val="001606D7"/>
    <w:rsid w:val="00160849"/>
    <w:rsid w:val="00160C83"/>
    <w:rsid w:val="001612F7"/>
    <w:rsid w:val="001615A6"/>
    <w:rsid w:val="001616E2"/>
    <w:rsid w:val="001617F1"/>
    <w:rsid w:val="001617F5"/>
    <w:rsid w:val="00161C46"/>
    <w:rsid w:val="00161DDF"/>
    <w:rsid w:val="00161EA4"/>
    <w:rsid w:val="00161EFD"/>
    <w:rsid w:val="00161F14"/>
    <w:rsid w:val="001621C0"/>
    <w:rsid w:val="001623F5"/>
    <w:rsid w:val="00162597"/>
    <w:rsid w:val="0016264C"/>
    <w:rsid w:val="00162A17"/>
    <w:rsid w:val="00162B3B"/>
    <w:rsid w:val="00162C30"/>
    <w:rsid w:val="00163460"/>
    <w:rsid w:val="001635D7"/>
    <w:rsid w:val="001636E3"/>
    <w:rsid w:val="00163784"/>
    <w:rsid w:val="00163FEB"/>
    <w:rsid w:val="0016400F"/>
    <w:rsid w:val="001640DC"/>
    <w:rsid w:val="001643DA"/>
    <w:rsid w:val="001644D6"/>
    <w:rsid w:val="001645BC"/>
    <w:rsid w:val="00164679"/>
    <w:rsid w:val="00164782"/>
    <w:rsid w:val="00164F54"/>
    <w:rsid w:val="00164FC1"/>
    <w:rsid w:val="00165758"/>
    <w:rsid w:val="00165B1B"/>
    <w:rsid w:val="00165D4B"/>
    <w:rsid w:val="00166326"/>
    <w:rsid w:val="00166401"/>
    <w:rsid w:val="0016654B"/>
    <w:rsid w:val="001668B9"/>
    <w:rsid w:val="00166974"/>
    <w:rsid w:val="0016712E"/>
    <w:rsid w:val="0016732E"/>
    <w:rsid w:val="00167B7A"/>
    <w:rsid w:val="00167C04"/>
    <w:rsid w:val="00167FD7"/>
    <w:rsid w:val="001700C4"/>
    <w:rsid w:val="001701ED"/>
    <w:rsid w:val="0017058C"/>
    <w:rsid w:val="001706BC"/>
    <w:rsid w:val="0017071D"/>
    <w:rsid w:val="0017092C"/>
    <w:rsid w:val="00171567"/>
    <w:rsid w:val="001717F1"/>
    <w:rsid w:val="00171B05"/>
    <w:rsid w:val="00171FE4"/>
    <w:rsid w:val="001722D8"/>
    <w:rsid w:val="001726CB"/>
    <w:rsid w:val="001727C1"/>
    <w:rsid w:val="00172903"/>
    <w:rsid w:val="00172AE9"/>
    <w:rsid w:val="00172C1D"/>
    <w:rsid w:val="00172D85"/>
    <w:rsid w:val="00173542"/>
    <w:rsid w:val="00173B01"/>
    <w:rsid w:val="00173BB7"/>
    <w:rsid w:val="00173C07"/>
    <w:rsid w:val="00173C73"/>
    <w:rsid w:val="00173D1A"/>
    <w:rsid w:val="00173E7D"/>
    <w:rsid w:val="00174B17"/>
    <w:rsid w:val="00174F32"/>
    <w:rsid w:val="00175415"/>
    <w:rsid w:val="0017556D"/>
    <w:rsid w:val="0017570D"/>
    <w:rsid w:val="0017573F"/>
    <w:rsid w:val="0017586E"/>
    <w:rsid w:val="00175875"/>
    <w:rsid w:val="00175A5E"/>
    <w:rsid w:val="00175AA9"/>
    <w:rsid w:val="00175BD5"/>
    <w:rsid w:val="00175CD0"/>
    <w:rsid w:val="00175E75"/>
    <w:rsid w:val="001760E2"/>
    <w:rsid w:val="0017616E"/>
    <w:rsid w:val="00176219"/>
    <w:rsid w:val="00176462"/>
    <w:rsid w:val="00176C21"/>
    <w:rsid w:val="00176DF2"/>
    <w:rsid w:val="0017701C"/>
    <w:rsid w:val="00177055"/>
    <w:rsid w:val="0017758C"/>
    <w:rsid w:val="001777E9"/>
    <w:rsid w:val="001777FF"/>
    <w:rsid w:val="001779AB"/>
    <w:rsid w:val="00177B19"/>
    <w:rsid w:val="00177F16"/>
    <w:rsid w:val="0018079B"/>
    <w:rsid w:val="001808AE"/>
    <w:rsid w:val="00180942"/>
    <w:rsid w:val="00180D08"/>
    <w:rsid w:val="00180ED6"/>
    <w:rsid w:val="00181024"/>
    <w:rsid w:val="001813A8"/>
    <w:rsid w:val="001815C3"/>
    <w:rsid w:val="00181912"/>
    <w:rsid w:val="00181BCB"/>
    <w:rsid w:val="00181D74"/>
    <w:rsid w:val="001822C6"/>
    <w:rsid w:val="00182519"/>
    <w:rsid w:val="00182605"/>
    <w:rsid w:val="00182A22"/>
    <w:rsid w:val="00183024"/>
    <w:rsid w:val="0018322C"/>
    <w:rsid w:val="00183C76"/>
    <w:rsid w:val="00184111"/>
    <w:rsid w:val="0018421D"/>
    <w:rsid w:val="001842CA"/>
    <w:rsid w:val="00184440"/>
    <w:rsid w:val="00184679"/>
    <w:rsid w:val="001846B6"/>
    <w:rsid w:val="00184D9A"/>
    <w:rsid w:val="0018515A"/>
    <w:rsid w:val="00185DB5"/>
    <w:rsid w:val="00185F5F"/>
    <w:rsid w:val="001861D1"/>
    <w:rsid w:val="00186366"/>
    <w:rsid w:val="00186465"/>
    <w:rsid w:val="00186576"/>
    <w:rsid w:val="00186639"/>
    <w:rsid w:val="00186A70"/>
    <w:rsid w:val="00187175"/>
    <w:rsid w:val="00187326"/>
    <w:rsid w:val="00187CDF"/>
    <w:rsid w:val="00187DE7"/>
    <w:rsid w:val="00187EBE"/>
    <w:rsid w:val="0019017C"/>
    <w:rsid w:val="001905BB"/>
    <w:rsid w:val="00190A0E"/>
    <w:rsid w:val="00190C2A"/>
    <w:rsid w:val="00190E51"/>
    <w:rsid w:val="001911C4"/>
    <w:rsid w:val="00191B0E"/>
    <w:rsid w:val="00191DBA"/>
    <w:rsid w:val="00191F26"/>
    <w:rsid w:val="00192537"/>
    <w:rsid w:val="0019289E"/>
    <w:rsid w:val="00192A2D"/>
    <w:rsid w:val="00192CFA"/>
    <w:rsid w:val="001930C6"/>
    <w:rsid w:val="00193629"/>
    <w:rsid w:val="0019367E"/>
    <w:rsid w:val="001938AF"/>
    <w:rsid w:val="00193977"/>
    <w:rsid w:val="00193AA6"/>
    <w:rsid w:val="00193B74"/>
    <w:rsid w:val="00193F99"/>
    <w:rsid w:val="00194141"/>
    <w:rsid w:val="00194376"/>
    <w:rsid w:val="0019458C"/>
    <w:rsid w:val="00194B47"/>
    <w:rsid w:val="00194B5D"/>
    <w:rsid w:val="00195055"/>
    <w:rsid w:val="001950B2"/>
    <w:rsid w:val="001955C6"/>
    <w:rsid w:val="00195623"/>
    <w:rsid w:val="0019596B"/>
    <w:rsid w:val="00195BA6"/>
    <w:rsid w:val="00195C8D"/>
    <w:rsid w:val="00195E79"/>
    <w:rsid w:val="00196341"/>
    <w:rsid w:val="001963D8"/>
    <w:rsid w:val="00196606"/>
    <w:rsid w:val="00196810"/>
    <w:rsid w:val="0019696F"/>
    <w:rsid w:val="00196A07"/>
    <w:rsid w:val="00196A25"/>
    <w:rsid w:val="00196C34"/>
    <w:rsid w:val="00196C4E"/>
    <w:rsid w:val="00196EEA"/>
    <w:rsid w:val="001970F8"/>
    <w:rsid w:val="00197457"/>
    <w:rsid w:val="00197855"/>
    <w:rsid w:val="00197C1E"/>
    <w:rsid w:val="00197EC4"/>
    <w:rsid w:val="001A00B4"/>
    <w:rsid w:val="001A0147"/>
    <w:rsid w:val="001A0256"/>
    <w:rsid w:val="001A03CC"/>
    <w:rsid w:val="001A094A"/>
    <w:rsid w:val="001A0CFF"/>
    <w:rsid w:val="001A0F9A"/>
    <w:rsid w:val="001A0FEC"/>
    <w:rsid w:val="001A1057"/>
    <w:rsid w:val="001A1536"/>
    <w:rsid w:val="001A17DB"/>
    <w:rsid w:val="001A1EC2"/>
    <w:rsid w:val="001A1FF3"/>
    <w:rsid w:val="001A218D"/>
    <w:rsid w:val="001A27E9"/>
    <w:rsid w:val="001A283D"/>
    <w:rsid w:val="001A2EED"/>
    <w:rsid w:val="001A3242"/>
    <w:rsid w:val="001A33CD"/>
    <w:rsid w:val="001A3494"/>
    <w:rsid w:val="001A373A"/>
    <w:rsid w:val="001A3AE9"/>
    <w:rsid w:val="001A3B58"/>
    <w:rsid w:val="001A3CAE"/>
    <w:rsid w:val="001A4003"/>
    <w:rsid w:val="001A4080"/>
    <w:rsid w:val="001A44C2"/>
    <w:rsid w:val="001A47C6"/>
    <w:rsid w:val="001A484E"/>
    <w:rsid w:val="001A48BB"/>
    <w:rsid w:val="001A4B74"/>
    <w:rsid w:val="001A4C35"/>
    <w:rsid w:val="001A4C40"/>
    <w:rsid w:val="001A4C95"/>
    <w:rsid w:val="001A5006"/>
    <w:rsid w:val="001A5283"/>
    <w:rsid w:val="001A548A"/>
    <w:rsid w:val="001A559A"/>
    <w:rsid w:val="001A5A28"/>
    <w:rsid w:val="001A5D52"/>
    <w:rsid w:val="001A5DD6"/>
    <w:rsid w:val="001A6073"/>
    <w:rsid w:val="001A6090"/>
    <w:rsid w:val="001A61E0"/>
    <w:rsid w:val="001A655E"/>
    <w:rsid w:val="001A6594"/>
    <w:rsid w:val="001A663D"/>
    <w:rsid w:val="001A6B0A"/>
    <w:rsid w:val="001A6B22"/>
    <w:rsid w:val="001A6BE9"/>
    <w:rsid w:val="001A6D75"/>
    <w:rsid w:val="001A7084"/>
    <w:rsid w:val="001A7240"/>
    <w:rsid w:val="001A74E0"/>
    <w:rsid w:val="001A75AA"/>
    <w:rsid w:val="001A767A"/>
    <w:rsid w:val="001A7763"/>
    <w:rsid w:val="001A7792"/>
    <w:rsid w:val="001A7CEE"/>
    <w:rsid w:val="001A7EAE"/>
    <w:rsid w:val="001B0091"/>
    <w:rsid w:val="001B0193"/>
    <w:rsid w:val="001B019A"/>
    <w:rsid w:val="001B03EA"/>
    <w:rsid w:val="001B0663"/>
    <w:rsid w:val="001B0E1E"/>
    <w:rsid w:val="001B0F18"/>
    <w:rsid w:val="001B0FB7"/>
    <w:rsid w:val="001B1065"/>
    <w:rsid w:val="001B115E"/>
    <w:rsid w:val="001B127B"/>
    <w:rsid w:val="001B12C4"/>
    <w:rsid w:val="001B168C"/>
    <w:rsid w:val="001B19B2"/>
    <w:rsid w:val="001B19D7"/>
    <w:rsid w:val="001B1B2A"/>
    <w:rsid w:val="001B1B41"/>
    <w:rsid w:val="001B1DC0"/>
    <w:rsid w:val="001B1E1A"/>
    <w:rsid w:val="001B1FE8"/>
    <w:rsid w:val="001B2012"/>
    <w:rsid w:val="001B2AB4"/>
    <w:rsid w:val="001B2BDB"/>
    <w:rsid w:val="001B2EC4"/>
    <w:rsid w:val="001B3541"/>
    <w:rsid w:val="001B35A1"/>
    <w:rsid w:val="001B37E7"/>
    <w:rsid w:val="001B385B"/>
    <w:rsid w:val="001B38F0"/>
    <w:rsid w:val="001B3CCA"/>
    <w:rsid w:val="001B4323"/>
    <w:rsid w:val="001B4497"/>
    <w:rsid w:val="001B4ABB"/>
    <w:rsid w:val="001B4E79"/>
    <w:rsid w:val="001B5C68"/>
    <w:rsid w:val="001B6111"/>
    <w:rsid w:val="001B67F8"/>
    <w:rsid w:val="001B69B9"/>
    <w:rsid w:val="001B6ABF"/>
    <w:rsid w:val="001B6DE2"/>
    <w:rsid w:val="001B722E"/>
    <w:rsid w:val="001B757D"/>
    <w:rsid w:val="001B7C21"/>
    <w:rsid w:val="001B7DCE"/>
    <w:rsid w:val="001C0303"/>
    <w:rsid w:val="001C07A6"/>
    <w:rsid w:val="001C1000"/>
    <w:rsid w:val="001C1324"/>
    <w:rsid w:val="001C1341"/>
    <w:rsid w:val="001C171B"/>
    <w:rsid w:val="001C180A"/>
    <w:rsid w:val="001C1A25"/>
    <w:rsid w:val="001C1E47"/>
    <w:rsid w:val="001C202B"/>
    <w:rsid w:val="001C20BA"/>
    <w:rsid w:val="001C2329"/>
    <w:rsid w:val="001C23F7"/>
    <w:rsid w:val="001C26AF"/>
    <w:rsid w:val="001C281F"/>
    <w:rsid w:val="001C28C6"/>
    <w:rsid w:val="001C2947"/>
    <w:rsid w:val="001C2C4F"/>
    <w:rsid w:val="001C2FB5"/>
    <w:rsid w:val="001C2FB6"/>
    <w:rsid w:val="001C2FCB"/>
    <w:rsid w:val="001C300E"/>
    <w:rsid w:val="001C352B"/>
    <w:rsid w:val="001C354F"/>
    <w:rsid w:val="001C375D"/>
    <w:rsid w:val="001C39D6"/>
    <w:rsid w:val="001C3A0D"/>
    <w:rsid w:val="001C3BF0"/>
    <w:rsid w:val="001C429C"/>
    <w:rsid w:val="001C442C"/>
    <w:rsid w:val="001C45F0"/>
    <w:rsid w:val="001C4758"/>
    <w:rsid w:val="001C4BF7"/>
    <w:rsid w:val="001C5028"/>
    <w:rsid w:val="001C5AF2"/>
    <w:rsid w:val="001C5D2E"/>
    <w:rsid w:val="001C6199"/>
    <w:rsid w:val="001C63E2"/>
    <w:rsid w:val="001C6547"/>
    <w:rsid w:val="001C6563"/>
    <w:rsid w:val="001C681B"/>
    <w:rsid w:val="001C6A81"/>
    <w:rsid w:val="001C6AF2"/>
    <w:rsid w:val="001C7297"/>
    <w:rsid w:val="001C74AA"/>
    <w:rsid w:val="001D0077"/>
    <w:rsid w:val="001D01BB"/>
    <w:rsid w:val="001D0379"/>
    <w:rsid w:val="001D0C80"/>
    <w:rsid w:val="001D0DCC"/>
    <w:rsid w:val="001D0DFE"/>
    <w:rsid w:val="001D113B"/>
    <w:rsid w:val="001D11FB"/>
    <w:rsid w:val="001D132B"/>
    <w:rsid w:val="001D15F0"/>
    <w:rsid w:val="001D1647"/>
    <w:rsid w:val="001D1C9A"/>
    <w:rsid w:val="001D2485"/>
    <w:rsid w:val="001D27B1"/>
    <w:rsid w:val="001D2DB9"/>
    <w:rsid w:val="001D2F6B"/>
    <w:rsid w:val="001D303D"/>
    <w:rsid w:val="001D3461"/>
    <w:rsid w:val="001D354A"/>
    <w:rsid w:val="001D3AFF"/>
    <w:rsid w:val="001D3F19"/>
    <w:rsid w:val="001D44A3"/>
    <w:rsid w:val="001D4511"/>
    <w:rsid w:val="001D4C36"/>
    <w:rsid w:val="001D4D3D"/>
    <w:rsid w:val="001D5266"/>
    <w:rsid w:val="001D5294"/>
    <w:rsid w:val="001D52B2"/>
    <w:rsid w:val="001D52DC"/>
    <w:rsid w:val="001D5622"/>
    <w:rsid w:val="001D5709"/>
    <w:rsid w:val="001D5822"/>
    <w:rsid w:val="001D5962"/>
    <w:rsid w:val="001D5EC1"/>
    <w:rsid w:val="001D5F90"/>
    <w:rsid w:val="001D5FBA"/>
    <w:rsid w:val="001D60BF"/>
    <w:rsid w:val="001D60CC"/>
    <w:rsid w:val="001D6106"/>
    <w:rsid w:val="001D61BE"/>
    <w:rsid w:val="001D61DA"/>
    <w:rsid w:val="001D62FB"/>
    <w:rsid w:val="001D65B1"/>
    <w:rsid w:val="001D671B"/>
    <w:rsid w:val="001D6783"/>
    <w:rsid w:val="001D6A74"/>
    <w:rsid w:val="001D6A7E"/>
    <w:rsid w:val="001D7171"/>
    <w:rsid w:val="001D71AD"/>
    <w:rsid w:val="001D7557"/>
    <w:rsid w:val="001D78A5"/>
    <w:rsid w:val="001D79D9"/>
    <w:rsid w:val="001D7E55"/>
    <w:rsid w:val="001D7E71"/>
    <w:rsid w:val="001E05C3"/>
    <w:rsid w:val="001E064B"/>
    <w:rsid w:val="001E09AE"/>
    <w:rsid w:val="001E0B06"/>
    <w:rsid w:val="001E11B8"/>
    <w:rsid w:val="001E12B8"/>
    <w:rsid w:val="001E13A1"/>
    <w:rsid w:val="001E1509"/>
    <w:rsid w:val="001E15FA"/>
    <w:rsid w:val="001E1A1F"/>
    <w:rsid w:val="001E1A50"/>
    <w:rsid w:val="001E1D0F"/>
    <w:rsid w:val="001E1F4F"/>
    <w:rsid w:val="001E231A"/>
    <w:rsid w:val="001E251C"/>
    <w:rsid w:val="001E275B"/>
    <w:rsid w:val="001E286F"/>
    <w:rsid w:val="001E2909"/>
    <w:rsid w:val="001E2C22"/>
    <w:rsid w:val="001E2E34"/>
    <w:rsid w:val="001E2E7E"/>
    <w:rsid w:val="001E31DC"/>
    <w:rsid w:val="001E3622"/>
    <w:rsid w:val="001E3A26"/>
    <w:rsid w:val="001E3A84"/>
    <w:rsid w:val="001E40D2"/>
    <w:rsid w:val="001E4541"/>
    <w:rsid w:val="001E4BA9"/>
    <w:rsid w:val="001E4CDE"/>
    <w:rsid w:val="001E4F7A"/>
    <w:rsid w:val="001E50F9"/>
    <w:rsid w:val="001E510D"/>
    <w:rsid w:val="001E57FC"/>
    <w:rsid w:val="001E59F6"/>
    <w:rsid w:val="001E5A7C"/>
    <w:rsid w:val="001E5AAA"/>
    <w:rsid w:val="001E5CAF"/>
    <w:rsid w:val="001E5E22"/>
    <w:rsid w:val="001E6603"/>
    <w:rsid w:val="001E676B"/>
    <w:rsid w:val="001E6B76"/>
    <w:rsid w:val="001E6D0D"/>
    <w:rsid w:val="001E6D96"/>
    <w:rsid w:val="001E6FB2"/>
    <w:rsid w:val="001E73AA"/>
    <w:rsid w:val="001E747C"/>
    <w:rsid w:val="001E76A6"/>
    <w:rsid w:val="001E770E"/>
    <w:rsid w:val="001E7760"/>
    <w:rsid w:val="001E7B5C"/>
    <w:rsid w:val="001E7DBD"/>
    <w:rsid w:val="001E7F2B"/>
    <w:rsid w:val="001F00A8"/>
    <w:rsid w:val="001F027F"/>
    <w:rsid w:val="001F073D"/>
    <w:rsid w:val="001F1161"/>
    <w:rsid w:val="001F129B"/>
    <w:rsid w:val="001F139E"/>
    <w:rsid w:val="001F1443"/>
    <w:rsid w:val="001F145C"/>
    <w:rsid w:val="001F146F"/>
    <w:rsid w:val="001F1564"/>
    <w:rsid w:val="001F1ACE"/>
    <w:rsid w:val="001F1BA5"/>
    <w:rsid w:val="001F2627"/>
    <w:rsid w:val="001F2923"/>
    <w:rsid w:val="001F29F8"/>
    <w:rsid w:val="001F2A74"/>
    <w:rsid w:val="001F2BD7"/>
    <w:rsid w:val="001F341E"/>
    <w:rsid w:val="001F376F"/>
    <w:rsid w:val="001F394B"/>
    <w:rsid w:val="001F39B4"/>
    <w:rsid w:val="001F3A9A"/>
    <w:rsid w:val="001F3B10"/>
    <w:rsid w:val="001F3FEC"/>
    <w:rsid w:val="001F4010"/>
    <w:rsid w:val="001F402E"/>
    <w:rsid w:val="001F436C"/>
    <w:rsid w:val="001F43B5"/>
    <w:rsid w:val="001F47EA"/>
    <w:rsid w:val="001F4812"/>
    <w:rsid w:val="001F4BD4"/>
    <w:rsid w:val="001F4D6B"/>
    <w:rsid w:val="001F514F"/>
    <w:rsid w:val="001F52C6"/>
    <w:rsid w:val="001F568C"/>
    <w:rsid w:val="001F574B"/>
    <w:rsid w:val="001F5991"/>
    <w:rsid w:val="001F5C0A"/>
    <w:rsid w:val="001F600A"/>
    <w:rsid w:val="001F60BE"/>
    <w:rsid w:val="001F6284"/>
    <w:rsid w:val="001F6468"/>
    <w:rsid w:val="001F66C9"/>
    <w:rsid w:val="001F6AFD"/>
    <w:rsid w:val="001F6D01"/>
    <w:rsid w:val="001F6F10"/>
    <w:rsid w:val="001F7154"/>
    <w:rsid w:val="001F7157"/>
    <w:rsid w:val="001F71EC"/>
    <w:rsid w:val="001F73F0"/>
    <w:rsid w:val="001F7A49"/>
    <w:rsid w:val="001F7E61"/>
    <w:rsid w:val="002001E9"/>
    <w:rsid w:val="00200788"/>
    <w:rsid w:val="00200C3B"/>
    <w:rsid w:val="00200EE6"/>
    <w:rsid w:val="00200EF1"/>
    <w:rsid w:val="00200FAE"/>
    <w:rsid w:val="0020107C"/>
    <w:rsid w:val="00201267"/>
    <w:rsid w:val="0020145B"/>
    <w:rsid w:val="00201756"/>
    <w:rsid w:val="0020186B"/>
    <w:rsid w:val="00201962"/>
    <w:rsid w:val="00201BB2"/>
    <w:rsid w:val="00201C95"/>
    <w:rsid w:val="00201D9C"/>
    <w:rsid w:val="00201DDA"/>
    <w:rsid w:val="002022FB"/>
    <w:rsid w:val="00202508"/>
    <w:rsid w:val="00202542"/>
    <w:rsid w:val="00202E27"/>
    <w:rsid w:val="00203014"/>
    <w:rsid w:val="00203914"/>
    <w:rsid w:val="00203C5B"/>
    <w:rsid w:val="00203C7D"/>
    <w:rsid w:val="00203FAB"/>
    <w:rsid w:val="0020401D"/>
    <w:rsid w:val="00204117"/>
    <w:rsid w:val="00204BA4"/>
    <w:rsid w:val="00204C0E"/>
    <w:rsid w:val="0020520F"/>
    <w:rsid w:val="0020542C"/>
    <w:rsid w:val="0020546F"/>
    <w:rsid w:val="00205579"/>
    <w:rsid w:val="002055DC"/>
    <w:rsid w:val="002057C9"/>
    <w:rsid w:val="002059D6"/>
    <w:rsid w:val="002061D3"/>
    <w:rsid w:val="002062A8"/>
    <w:rsid w:val="00206303"/>
    <w:rsid w:val="002066AA"/>
    <w:rsid w:val="00206AEB"/>
    <w:rsid w:val="00206D36"/>
    <w:rsid w:val="00206FCE"/>
    <w:rsid w:val="002070D7"/>
    <w:rsid w:val="00207696"/>
    <w:rsid w:val="00207743"/>
    <w:rsid w:val="002077B4"/>
    <w:rsid w:val="00207A82"/>
    <w:rsid w:val="00207A8F"/>
    <w:rsid w:val="00207B17"/>
    <w:rsid w:val="00207DA4"/>
    <w:rsid w:val="00207EF0"/>
    <w:rsid w:val="00207F4E"/>
    <w:rsid w:val="00207FD1"/>
    <w:rsid w:val="00210076"/>
    <w:rsid w:val="00210457"/>
    <w:rsid w:val="002106DC"/>
    <w:rsid w:val="00210BBA"/>
    <w:rsid w:val="00210C15"/>
    <w:rsid w:val="00211072"/>
    <w:rsid w:val="002111AC"/>
    <w:rsid w:val="002114E1"/>
    <w:rsid w:val="0021167E"/>
    <w:rsid w:val="00211B08"/>
    <w:rsid w:val="00211B12"/>
    <w:rsid w:val="00211B21"/>
    <w:rsid w:val="00211DBA"/>
    <w:rsid w:val="00211DD2"/>
    <w:rsid w:val="002122C0"/>
    <w:rsid w:val="00212476"/>
    <w:rsid w:val="002128C9"/>
    <w:rsid w:val="00212A8A"/>
    <w:rsid w:val="00212BEB"/>
    <w:rsid w:val="00212DC3"/>
    <w:rsid w:val="002133F0"/>
    <w:rsid w:val="00213ABB"/>
    <w:rsid w:val="002140C2"/>
    <w:rsid w:val="002147EB"/>
    <w:rsid w:val="002148B9"/>
    <w:rsid w:val="00214B96"/>
    <w:rsid w:val="002158AC"/>
    <w:rsid w:val="00215D67"/>
    <w:rsid w:val="00216269"/>
    <w:rsid w:val="00216305"/>
    <w:rsid w:val="002163CE"/>
    <w:rsid w:val="00216AD4"/>
    <w:rsid w:val="00216C9C"/>
    <w:rsid w:val="00216D3F"/>
    <w:rsid w:val="00216E45"/>
    <w:rsid w:val="0021718A"/>
    <w:rsid w:val="002172AC"/>
    <w:rsid w:val="002173BF"/>
    <w:rsid w:val="00217530"/>
    <w:rsid w:val="002175B5"/>
    <w:rsid w:val="00217750"/>
    <w:rsid w:val="00217751"/>
    <w:rsid w:val="0021794F"/>
    <w:rsid w:val="002179BC"/>
    <w:rsid w:val="00217CE3"/>
    <w:rsid w:val="00220051"/>
    <w:rsid w:val="00220515"/>
    <w:rsid w:val="002206AF"/>
    <w:rsid w:val="002208EE"/>
    <w:rsid w:val="00220C6C"/>
    <w:rsid w:val="00220E10"/>
    <w:rsid w:val="0022125B"/>
    <w:rsid w:val="00221364"/>
    <w:rsid w:val="0022165E"/>
    <w:rsid w:val="002219D3"/>
    <w:rsid w:val="00221C72"/>
    <w:rsid w:val="00221E04"/>
    <w:rsid w:val="002224A5"/>
    <w:rsid w:val="0022258C"/>
    <w:rsid w:val="00222904"/>
    <w:rsid w:val="00222AA0"/>
    <w:rsid w:val="00222CC1"/>
    <w:rsid w:val="00222D68"/>
    <w:rsid w:val="00222D7A"/>
    <w:rsid w:val="0022313A"/>
    <w:rsid w:val="00223160"/>
    <w:rsid w:val="002233A5"/>
    <w:rsid w:val="002234F7"/>
    <w:rsid w:val="00223920"/>
    <w:rsid w:val="00223E5B"/>
    <w:rsid w:val="00223F61"/>
    <w:rsid w:val="002241C0"/>
    <w:rsid w:val="00224296"/>
    <w:rsid w:val="002244B7"/>
    <w:rsid w:val="0022468E"/>
    <w:rsid w:val="002249F5"/>
    <w:rsid w:val="00224D6D"/>
    <w:rsid w:val="00225014"/>
    <w:rsid w:val="002251F3"/>
    <w:rsid w:val="0022549D"/>
    <w:rsid w:val="002254ED"/>
    <w:rsid w:val="00225873"/>
    <w:rsid w:val="002259CF"/>
    <w:rsid w:val="00225B8D"/>
    <w:rsid w:val="00225DDC"/>
    <w:rsid w:val="00226071"/>
    <w:rsid w:val="00226127"/>
    <w:rsid w:val="00226621"/>
    <w:rsid w:val="00226802"/>
    <w:rsid w:val="00226ECC"/>
    <w:rsid w:val="00227674"/>
    <w:rsid w:val="00227881"/>
    <w:rsid w:val="00227F12"/>
    <w:rsid w:val="00230128"/>
    <w:rsid w:val="0023039C"/>
    <w:rsid w:val="00230DBB"/>
    <w:rsid w:val="00230E43"/>
    <w:rsid w:val="00230EE7"/>
    <w:rsid w:val="0023102A"/>
    <w:rsid w:val="00231074"/>
    <w:rsid w:val="002310F6"/>
    <w:rsid w:val="002312E0"/>
    <w:rsid w:val="0023137F"/>
    <w:rsid w:val="0023151E"/>
    <w:rsid w:val="0023184C"/>
    <w:rsid w:val="0023206F"/>
    <w:rsid w:val="002320B4"/>
    <w:rsid w:val="002320DB"/>
    <w:rsid w:val="00232266"/>
    <w:rsid w:val="00232538"/>
    <w:rsid w:val="002326B3"/>
    <w:rsid w:val="0023275C"/>
    <w:rsid w:val="00232940"/>
    <w:rsid w:val="00232977"/>
    <w:rsid w:val="002331AF"/>
    <w:rsid w:val="002331CA"/>
    <w:rsid w:val="002332C6"/>
    <w:rsid w:val="00233554"/>
    <w:rsid w:val="002336DC"/>
    <w:rsid w:val="00233837"/>
    <w:rsid w:val="002339C1"/>
    <w:rsid w:val="00233EA0"/>
    <w:rsid w:val="00233EB2"/>
    <w:rsid w:val="00233F55"/>
    <w:rsid w:val="0023407E"/>
    <w:rsid w:val="00234343"/>
    <w:rsid w:val="002344B9"/>
    <w:rsid w:val="0023484B"/>
    <w:rsid w:val="00234983"/>
    <w:rsid w:val="00234BF9"/>
    <w:rsid w:val="00234E87"/>
    <w:rsid w:val="00235023"/>
    <w:rsid w:val="0023520F"/>
    <w:rsid w:val="00235271"/>
    <w:rsid w:val="0023588B"/>
    <w:rsid w:val="00235EEE"/>
    <w:rsid w:val="0023635A"/>
    <w:rsid w:val="00236CB6"/>
    <w:rsid w:val="00236DB6"/>
    <w:rsid w:val="00237500"/>
    <w:rsid w:val="00237556"/>
    <w:rsid w:val="00237AF9"/>
    <w:rsid w:val="00237F22"/>
    <w:rsid w:val="002400DD"/>
    <w:rsid w:val="00240CB2"/>
    <w:rsid w:val="00240D19"/>
    <w:rsid w:val="0024100E"/>
    <w:rsid w:val="00241DE8"/>
    <w:rsid w:val="00241FBA"/>
    <w:rsid w:val="002422DE"/>
    <w:rsid w:val="002423D7"/>
    <w:rsid w:val="00242460"/>
    <w:rsid w:val="0024246B"/>
    <w:rsid w:val="002428B5"/>
    <w:rsid w:val="00242A3B"/>
    <w:rsid w:val="00242BDD"/>
    <w:rsid w:val="00242D4B"/>
    <w:rsid w:val="00242EB1"/>
    <w:rsid w:val="0024302F"/>
    <w:rsid w:val="0024323B"/>
    <w:rsid w:val="0024350C"/>
    <w:rsid w:val="002436CC"/>
    <w:rsid w:val="00243839"/>
    <w:rsid w:val="002439EB"/>
    <w:rsid w:val="00243B78"/>
    <w:rsid w:val="002440E7"/>
    <w:rsid w:val="00244C79"/>
    <w:rsid w:val="00244F5A"/>
    <w:rsid w:val="00245469"/>
    <w:rsid w:val="002459C6"/>
    <w:rsid w:val="00245A68"/>
    <w:rsid w:val="00245E40"/>
    <w:rsid w:val="002461EE"/>
    <w:rsid w:val="00246287"/>
    <w:rsid w:val="002462EE"/>
    <w:rsid w:val="002464B5"/>
    <w:rsid w:val="00246593"/>
    <w:rsid w:val="0024670B"/>
    <w:rsid w:val="00246908"/>
    <w:rsid w:val="00246E99"/>
    <w:rsid w:val="00246EF1"/>
    <w:rsid w:val="00246F97"/>
    <w:rsid w:val="00247025"/>
    <w:rsid w:val="002473CD"/>
    <w:rsid w:val="00247D43"/>
    <w:rsid w:val="00247D8D"/>
    <w:rsid w:val="00250107"/>
    <w:rsid w:val="002502F5"/>
    <w:rsid w:val="002503B5"/>
    <w:rsid w:val="00251004"/>
    <w:rsid w:val="00251128"/>
    <w:rsid w:val="0025123D"/>
    <w:rsid w:val="0025133A"/>
    <w:rsid w:val="002513E6"/>
    <w:rsid w:val="002514E4"/>
    <w:rsid w:val="002519B3"/>
    <w:rsid w:val="002519F9"/>
    <w:rsid w:val="00251B4F"/>
    <w:rsid w:val="002522DC"/>
    <w:rsid w:val="002523C8"/>
    <w:rsid w:val="00252A23"/>
    <w:rsid w:val="00252C45"/>
    <w:rsid w:val="00253BCF"/>
    <w:rsid w:val="002540C0"/>
    <w:rsid w:val="0025429A"/>
    <w:rsid w:val="002542F5"/>
    <w:rsid w:val="00254E13"/>
    <w:rsid w:val="0025545F"/>
    <w:rsid w:val="002554A0"/>
    <w:rsid w:val="002554A9"/>
    <w:rsid w:val="0025555D"/>
    <w:rsid w:val="002557CD"/>
    <w:rsid w:val="002558AE"/>
    <w:rsid w:val="00255A06"/>
    <w:rsid w:val="00255A0E"/>
    <w:rsid w:val="00255A23"/>
    <w:rsid w:val="00255ADD"/>
    <w:rsid w:val="00255B6C"/>
    <w:rsid w:val="00255C74"/>
    <w:rsid w:val="002561E5"/>
    <w:rsid w:val="0025621D"/>
    <w:rsid w:val="00256227"/>
    <w:rsid w:val="0025640E"/>
    <w:rsid w:val="002568E6"/>
    <w:rsid w:val="00257456"/>
    <w:rsid w:val="00257898"/>
    <w:rsid w:val="00257B80"/>
    <w:rsid w:val="00257EFA"/>
    <w:rsid w:val="002602E1"/>
    <w:rsid w:val="0026042A"/>
    <w:rsid w:val="0026063A"/>
    <w:rsid w:val="00260744"/>
    <w:rsid w:val="0026079B"/>
    <w:rsid w:val="0026084D"/>
    <w:rsid w:val="00260B40"/>
    <w:rsid w:val="00260B6C"/>
    <w:rsid w:val="00261324"/>
    <w:rsid w:val="00261D7C"/>
    <w:rsid w:val="00261EB4"/>
    <w:rsid w:val="0026288B"/>
    <w:rsid w:val="002629A3"/>
    <w:rsid w:val="00262D99"/>
    <w:rsid w:val="00262F6A"/>
    <w:rsid w:val="00263116"/>
    <w:rsid w:val="00263200"/>
    <w:rsid w:val="00263602"/>
    <w:rsid w:val="00263716"/>
    <w:rsid w:val="00263A21"/>
    <w:rsid w:val="00263A43"/>
    <w:rsid w:val="0026406E"/>
    <w:rsid w:val="0026420D"/>
    <w:rsid w:val="00264C39"/>
    <w:rsid w:val="00264EF8"/>
    <w:rsid w:val="0026502F"/>
    <w:rsid w:val="002653A6"/>
    <w:rsid w:val="0026588B"/>
    <w:rsid w:val="002658E0"/>
    <w:rsid w:val="00265A99"/>
    <w:rsid w:val="00265FAC"/>
    <w:rsid w:val="0026601D"/>
    <w:rsid w:val="00266CDF"/>
    <w:rsid w:val="00266D5A"/>
    <w:rsid w:val="00266D5F"/>
    <w:rsid w:val="00266D96"/>
    <w:rsid w:val="002671F2"/>
    <w:rsid w:val="00267493"/>
    <w:rsid w:val="00267C67"/>
    <w:rsid w:val="002705A1"/>
    <w:rsid w:val="00270783"/>
    <w:rsid w:val="002708A9"/>
    <w:rsid w:val="00270AA3"/>
    <w:rsid w:val="00270ACE"/>
    <w:rsid w:val="00270BE4"/>
    <w:rsid w:val="00270E54"/>
    <w:rsid w:val="0027188C"/>
    <w:rsid w:val="00271BB9"/>
    <w:rsid w:val="0027201C"/>
    <w:rsid w:val="002721AF"/>
    <w:rsid w:val="002722E1"/>
    <w:rsid w:val="0027253B"/>
    <w:rsid w:val="00273068"/>
    <w:rsid w:val="00273132"/>
    <w:rsid w:val="002736D2"/>
    <w:rsid w:val="00273AB2"/>
    <w:rsid w:val="00273F29"/>
    <w:rsid w:val="00274195"/>
    <w:rsid w:val="002741D7"/>
    <w:rsid w:val="00274362"/>
    <w:rsid w:val="0027437F"/>
    <w:rsid w:val="0027447C"/>
    <w:rsid w:val="002746F2"/>
    <w:rsid w:val="00274887"/>
    <w:rsid w:val="00274895"/>
    <w:rsid w:val="002748A0"/>
    <w:rsid w:val="002749A0"/>
    <w:rsid w:val="00274AB6"/>
    <w:rsid w:val="00274BC5"/>
    <w:rsid w:val="00274D0A"/>
    <w:rsid w:val="00274E5D"/>
    <w:rsid w:val="00274FA3"/>
    <w:rsid w:val="002750F1"/>
    <w:rsid w:val="00275346"/>
    <w:rsid w:val="00275391"/>
    <w:rsid w:val="002754EC"/>
    <w:rsid w:val="0027554C"/>
    <w:rsid w:val="002756AE"/>
    <w:rsid w:val="0027577D"/>
    <w:rsid w:val="00275B50"/>
    <w:rsid w:val="00275E4C"/>
    <w:rsid w:val="00276028"/>
    <w:rsid w:val="002764F6"/>
    <w:rsid w:val="002771CB"/>
    <w:rsid w:val="00277390"/>
    <w:rsid w:val="002775D7"/>
    <w:rsid w:val="0027774E"/>
    <w:rsid w:val="00280246"/>
    <w:rsid w:val="0028035B"/>
    <w:rsid w:val="00280464"/>
    <w:rsid w:val="002807BA"/>
    <w:rsid w:val="002809EA"/>
    <w:rsid w:val="00280A68"/>
    <w:rsid w:val="00280F93"/>
    <w:rsid w:val="0028115D"/>
    <w:rsid w:val="002812DF"/>
    <w:rsid w:val="00281403"/>
    <w:rsid w:val="002819D2"/>
    <w:rsid w:val="00281D46"/>
    <w:rsid w:val="00281E47"/>
    <w:rsid w:val="0028254B"/>
    <w:rsid w:val="002827EF"/>
    <w:rsid w:val="00282A46"/>
    <w:rsid w:val="00282F33"/>
    <w:rsid w:val="00283212"/>
    <w:rsid w:val="0028342E"/>
    <w:rsid w:val="002839D6"/>
    <w:rsid w:val="00283AA5"/>
    <w:rsid w:val="00283C12"/>
    <w:rsid w:val="00283D41"/>
    <w:rsid w:val="00284037"/>
    <w:rsid w:val="0028420E"/>
    <w:rsid w:val="00284309"/>
    <w:rsid w:val="002843B1"/>
    <w:rsid w:val="0028456D"/>
    <w:rsid w:val="00284B23"/>
    <w:rsid w:val="00284BCC"/>
    <w:rsid w:val="00284D59"/>
    <w:rsid w:val="00284FA8"/>
    <w:rsid w:val="00284FC4"/>
    <w:rsid w:val="00285325"/>
    <w:rsid w:val="00285428"/>
    <w:rsid w:val="00285584"/>
    <w:rsid w:val="002856E6"/>
    <w:rsid w:val="00285797"/>
    <w:rsid w:val="002857AA"/>
    <w:rsid w:val="002864B7"/>
    <w:rsid w:val="002865D4"/>
    <w:rsid w:val="0028665D"/>
    <w:rsid w:val="00286A0E"/>
    <w:rsid w:val="00286D38"/>
    <w:rsid w:val="002870D1"/>
    <w:rsid w:val="00287123"/>
    <w:rsid w:val="002872FC"/>
    <w:rsid w:val="0028735A"/>
    <w:rsid w:val="00287937"/>
    <w:rsid w:val="00287A9B"/>
    <w:rsid w:val="00287B91"/>
    <w:rsid w:val="00287BE4"/>
    <w:rsid w:val="00287D67"/>
    <w:rsid w:val="0028F839"/>
    <w:rsid w:val="0029007C"/>
    <w:rsid w:val="002900F6"/>
    <w:rsid w:val="00290184"/>
    <w:rsid w:val="002901BD"/>
    <w:rsid w:val="00290875"/>
    <w:rsid w:val="00290ACA"/>
    <w:rsid w:val="00290F72"/>
    <w:rsid w:val="002910C9"/>
    <w:rsid w:val="00291193"/>
    <w:rsid w:val="0029129D"/>
    <w:rsid w:val="0029131A"/>
    <w:rsid w:val="00291488"/>
    <w:rsid w:val="00291842"/>
    <w:rsid w:val="00291AC9"/>
    <w:rsid w:val="00291E7F"/>
    <w:rsid w:val="00291F66"/>
    <w:rsid w:val="00291F6A"/>
    <w:rsid w:val="00292920"/>
    <w:rsid w:val="00292B18"/>
    <w:rsid w:val="00292E0F"/>
    <w:rsid w:val="002930E6"/>
    <w:rsid w:val="00293BA6"/>
    <w:rsid w:val="0029416A"/>
    <w:rsid w:val="0029441D"/>
    <w:rsid w:val="002946AE"/>
    <w:rsid w:val="00294766"/>
    <w:rsid w:val="002949AC"/>
    <w:rsid w:val="00294D76"/>
    <w:rsid w:val="00294E86"/>
    <w:rsid w:val="0029511D"/>
    <w:rsid w:val="002953A6"/>
    <w:rsid w:val="0029561F"/>
    <w:rsid w:val="002956C6"/>
    <w:rsid w:val="00295BA9"/>
    <w:rsid w:val="00295CB5"/>
    <w:rsid w:val="00295D70"/>
    <w:rsid w:val="00295F67"/>
    <w:rsid w:val="0029627A"/>
    <w:rsid w:val="002962B0"/>
    <w:rsid w:val="00296561"/>
    <w:rsid w:val="00296695"/>
    <w:rsid w:val="002967CD"/>
    <w:rsid w:val="00296C28"/>
    <w:rsid w:val="00297A7C"/>
    <w:rsid w:val="00297F4C"/>
    <w:rsid w:val="002A0204"/>
    <w:rsid w:val="002A03F4"/>
    <w:rsid w:val="002A0520"/>
    <w:rsid w:val="002A0733"/>
    <w:rsid w:val="002A077B"/>
    <w:rsid w:val="002A0AB1"/>
    <w:rsid w:val="002A0DCC"/>
    <w:rsid w:val="002A0E7D"/>
    <w:rsid w:val="002A0F0A"/>
    <w:rsid w:val="002A1277"/>
    <w:rsid w:val="002A12BD"/>
    <w:rsid w:val="002A1364"/>
    <w:rsid w:val="002A152D"/>
    <w:rsid w:val="002A1B3C"/>
    <w:rsid w:val="002A1CC3"/>
    <w:rsid w:val="002A20BA"/>
    <w:rsid w:val="002A2693"/>
    <w:rsid w:val="002A2742"/>
    <w:rsid w:val="002A3135"/>
    <w:rsid w:val="002A32FF"/>
    <w:rsid w:val="002A3536"/>
    <w:rsid w:val="002A356B"/>
    <w:rsid w:val="002A393E"/>
    <w:rsid w:val="002A3E2D"/>
    <w:rsid w:val="002A3E94"/>
    <w:rsid w:val="002A3E98"/>
    <w:rsid w:val="002A4910"/>
    <w:rsid w:val="002A4A2C"/>
    <w:rsid w:val="002A4E4D"/>
    <w:rsid w:val="002A4E7F"/>
    <w:rsid w:val="002A5486"/>
    <w:rsid w:val="002A5764"/>
    <w:rsid w:val="002A578A"/>
    <w:rsid w:val="002A5EA9"/>
    <w:rsid w:val="002A5F92"/>
    <w:rsid w:val="002A682D"/>
    <w:rsid w:val="002A6B47"/>
    <w:rsid w:val="002A6E4F"/>
    <w:rsid w:val="002A6EBB"/>
    <w:rsid w:val="002A6F74"/>
    <w:rsid w:val="002A6FCC"/>
    <w:rsid w:val="002A715A"/>
    <w:rsid w:val="002A71EC"/>
    <w:rsid w:val="002A734D"/>
    <w:rsid w:val="002A755C"/>
    <w:rsid w:val="002A79A3"/>
    <w:rsid w:val="002A7B5F"/>
    <w:rsid w:val="002A7B9D"/>
    <w:rsid w:val="002A7F3C"/>
    <w:rsid w:val="002A7F45"/>
    <w:rsid w:val="002B011E"/>
    <w:rsid w:val="002B0232"/>
    <w:rsid w:val="002B0451"/>
    <w:rsid w:val="002B04DA"/>
    <w:rsid w:val="002B0E1F"/>
    <w:rsid w:val="002B12C1"/>
    <w:rsid w:val="002B1438"/>
    <w:rsid w:val="002B14C8"/>
    <w:rsid w:val="002B18B0"/>
    <w:rsid w:val="002B1A98"/>
    <w:rsid w:val="002B1B0E"/>
    <w:rsid w:val="002B1F28"/>
    <w:rsid w:val="002B1FF4"/>
    <w:rsid w:val="002B202A"/>
    <w:rsid w:val="002B31DB"/>
    <w:rsid w:val="002B3A85"/>
    <w:rsid w:val="002B3ACA"/>
    <w:rsid w:val="002B3DFA"/>
    <w:rsid w:val="002B3E42"/>
    <w:rsid w:val="002B40D4"/>
    <w:rsid w:val="002B42CE"/>
    <w:rsid w:val="002B4338"/>
    <w:rsid w:val="002B445A"/>
    <w:rsid w:val="002B44A1"/>
    <w:rsid w:val="002B44ED"/>
    <w:rsid w:val="002B45FC"/>
    <w:rsid w:val="002B47E8"/>
    <w:rsid w:val="002B49CC"/>
    <w:rsid w:val="002B5147"/>
    <w:rsid w:val="002B5482"/>
    <w:rsid w:val="002B5805"/>
    <w:rsid w:val="002B5C10"/>
    <w:rsid w:val="002B5CDE"/>
    <w:rsid w:val="002B62CC"/>
    <w:rsid w:val="002B66BE"/>
    <w:rsid w:val="002B69B8"/>
    <w:rsid w:val="002B6AA0"/>
    <w:rsid w:val="002B6B2E"/>
    <w:rsid w:val="002B6C1E"/>
    <w:rsid w:val="002B7254"/>
    <w:rsid w:val="002B7AD0"/>
    <w:rsid w:val="002B7E9D"/>
    <w:rsid w:val="002BCEFE"/>
    <w:rsid w:val="002C04B2"/>
    <w:rsid w:val="002C0652"/>
    <w:rsid w:val="002C0819"/>
    <w:rsid w:val="002C09D3"/>
    <w:rsid w:val="002C0A38"/>
    <w:rsid w:val="002C0E05"/>
    <w:rsid w:val="002C1024"/>
    <w:rsid w:val="002C1107"/>
    <w:rsid w:val="002C16B1"/>
    <w:rsid w:val="002C19DE"/>
    <w:rsid w:val="002C1A75"/>
    <w:rsid w:val="002C1DA6"/>
    <w:rsid w:val="002C2228"/>
    <w:rsid w:val="002C2229"/>
    <w:rsid w:val="002C2450"/>
    <w:rsid w:val="002C26BF"/>
    <w:rsid w:val="002C2CB5"/>
    <w:rsid w:val="002C2DE4"/>
    <w:rsid w:val="002C2E87"/>
    <w:rsid w:val="002C3021"/>
    <w:rsid w:val="002C3278"/>
    <w:rsid w:val="002C3285"/>
    <w:rsid w:val="002C345A"/>
    <w:rsid w:val="002C3A62"/>
    <w:rsid w:val="002C4AF5"/>
    <w:rsid w:val="002C4F50"/>
    <w:rsid w:val="002C54C0"/>
    <w:rsid w:val="002C5519"/>
    <w:rsid w:val="002C5D4E"/>
    <w:rsid w:val="002C5F0B"/>
    <w:rsid w:val="002C6048"/>
    <w:rsid w:val="002C6069"/>
    <w:rsid w:val="002C61C0"/>
    <w:rsid w:val="002C6328"/>
    <w:rsid w:val="002C6711"/>
    <w:rsid w:val="002C6787"/>
    <w:rsid w:val="002C69DD"/>
    <w:rsid w:val="002C6B5F"/>
    <w:rsid w:val="002C7268"/>
    <w:rsid w:val="002C74BF"/>
    <w:rsid w:val="002C757F"/>
    <w:rsid w:val="002C7765"/>
    <w:rsid w:val="002C7771"/>
    <w:rsid w:val="002C77FB"/>
    <w:rsid w:val="002C7DCE"/>
    <w:rsid w:val="002D0339"/>
    <w:rsid w:val="002D0540"/>
    <w:rsid w:val="002D0740"/>
    <w:rsid w:val="002D0B2F"/>
    <w:rsid w:val="002D0B87"/>
    <w:rsid w:val="002D0BAB"/>
    <w:rsid w:val="002D0C21"/>
    <w:rsid w:val="002D0DE9"/>
    <w:rsid w:val="002D1243"/>
    <w:rsid w:val="002D13E1"/>
    <w:rsid w:val="002D1827"/>
    <w:rsid w:val="002D1A55"/>
    <w:rsid w:val="002D1B33"/>
    <w:rsid w:val="002D1CFD"/>
    <w:rsid w:val="002D2156"/>
    <w:rsid w:val="002D222D"/>
    <w:rsid w:val="002D2805"/>
    <w:rsid w:val="002D28B0"/>
    <w:rsid w:val="002D2A04"/>
    <w:rsid w:val="002D2D1F"/>
    <w:rsid w:val="002D2EDE"/>
    <w:rsid w:val="002D30A5"/>
    <w:rsid w:val="002D3121"/>
    <w:rsid w:val="002D3239"/>
    <w:rsid w:val="002D3639"/>
    <w:rsid w:val="002D3A3D"/>
    <w:rsid w:val="002D3B4F"/>
    <w:rsid w:val="002D3CC3"/>
    <w:rsid w:val="002D3D30"/>
    <w:rsid w:val="002D4073"/>
    <w:rsid w:val="002D4350"/>
    <w:rsid w:val="002D47BB"/>
    <w:rsid w:val="002D4A9C"/>
    <w:rsid w:val="002D4ACD"/>
    <w:rsid w:val="002D5174"/>
    <w:rsid w:val="002D5224"/>
    <w:rsid w:val="002D522D"/>
    <w:rsid w:val="002D5825"/>
    <w:rsid w:val="002D58C4"/>
    <w:rsid w:val="002D5E6D"/>
    <w:rsid w:val="002D6349"/>
    <w:rsid w:val="002D679E"/>
    <w:rsid w:val="002D6856"/>
    <w:rsid w:val="002D692D"/>
    <w:rsid w:val="002D6A5A"/>
    <w:rsid w:val="002D6D58"/>
    <w:rsid w:val="002D6E42"/>
    <w:rsid w:val="002D70E2"/>
    <w:rsid w:val="002D7515"/>
    <w:rsid w:val="002D76FD"/>
    <w:rsid w:val="002D7D3C"/>
    <w:rsid w:val="002D7F69"/>
    <w:rsid w:val="002E0419"/>
    <w:rsid w:val="002E057A"/>
    <w:rsid w:val="002E08EC"/>
    <w:rsid w:val="002E0E08"/>
    <w:rsid w:val="002E123F"/>
    <w:rsid w:val="002E1775"/>
    <w:rsid w:val="002E17A7"/>
    <w:rsid w:val="002E1A4B"/>
    <w:rsid w:val="002E1AD5"/>
    <w:rsid w:val="002E21DF"/>
    <w:rsid w:val="002E2202"/>
    <w:rsid w:val="002E2219"/>
    <w:rsid w:val="002E221B"/>
    <w:rsid w:val="002E23E5"/>
    <w:rsid w:val="002E27F9"/>
    <w:rsid w:val="002E296B"/>
    <w:rsid w:val="002E2C03"/>
    <w:rsid w:val="002E2C27"/>
    <w:rsid w:val="002E2F47"/>
    <w:rsid w:val="002E30CF"/>
    <w:rsid w:val="002E31C8"/>
    <w:rsid w:val="002E3744"/>
    <w:rsid w:val="002E39EA"/>
    <w:rsid w:val="002E3B11"/>
    <w:rsid w:val="002E3D04"/>
    <w:rsid w:val="002E436C"/>
    <w:rsid w:val="002E43EE"/>
    <w:rsid w:val="002E4464"/>
    <w:rsid w:val="002E449A"/>
    <w:rsid w:val="002E481F"/>
    <w:rsid w:val="002E483E"/>
    <w:rsid w:val="002E486B"/>
    <w:rsid w:val="002E49CA"/>
    <w:rsid w:val="002E49EA"/>
    <w:rsid w:val="002E5306"/>
    <w:rsid w:val="002E54C6"/>
    <w:rsid w:val="002E54FD"/>
    <w:rsid w:val="002E57BB"/>
    <w:rsid w:val="002E5A2C"/>
    <w:rsid w:val="002E60FF"/>
    <w:rsid w:val="002E628A"/>
    <w:rsid w:val="002E6295"/>
    <w:rsid w:val="002E6434"/>
    <w:rsid w:val="002E653F"/>
    <w:rsid w:val="002E6736"/>
    <w:rsid w:val="002E676B"/>
    <w:rsid w:val="002E67BD"/>
    <w:rsid w:val="002E67D8"/>
    <w:rsid w:val="002E7716"/>
    <w:rsid w:val="002E7AF6"/>
    <w:rsid w:val="002E7BAC"/>
    <w:rsid w:val="002E7F64"/>
    <w:rsid w:val="002F012F"/>
    <w:rsid w:val="002F0686"/>
    <w:rsid w:val="002F119B"/>
    <w:rsid w:val="002F11EA"/>
    <w:rsid w:val="002F126A"/>
    <w:rsid w:val="002F1773"/>
    <w:rsid w:val="002F18C1"/>
    <w:rsid w:val="002F1BC5"/>
    <w:rsid w:val="002F1F17"/>
    <w:rsid w:val="002F240C"/>
    <w:rsid w:val="002F27F3"/>
    <w:rsid w:val="002F297E"/>
    <w:rsid w:val="002F2C3E"/>
    <w:rsid w:val="002F2F08"/>
    <w:rsid w:val="002F30F6"/>
    <w:rsid w:val="002F3125"/>
    <w:rsid w:val="002F3189"/>
    <w:rsid w:val="002F320C"/>
    <w:rsid w:val="002F349C"/>
    <w:rsid w:val="002F3579"/>
    <w:rsid w:val="002F3BC7"/>
    <w:rsid w:val="002F3FEB"/>
    <w:rsid w:val="002F4112"/>
    <w:rsid w:val="002F4648"/>
    <w:rsid w:val="002F47BC"/>
    <w:rsid w:val="002F48E0"/>
    <w:rsid w:val="002F48F2"/>
    <w:rsid w:val="002F4BCD"/>
    <w:rsid w:val="002F5060"/>
    <w:rsid w:val="002F50C0"/>
    <w:rsid w:val="002F57FC"/>
    <w:rsid w:val="002F5885"/>
    <w:rsid w:val="002F5C42"/>
    <w:rsid w:val="002F5CBE"/>
    <w:rsid w:val="002F6031"/>
    <w:rsid w:val="002F626A"/>
    <w:rsid w:val="002F626C"/>
    <w:rsid w:val="002F6760"/>
    <w:rsid w:val="002F6A9D"/>
    <w:rsid w:val="002F6D86"/>
    <w:rsid w:val="002F707B"/>
    <w:rsid w:val="002F7131"/>
    <w:rsid w:val="002F7274"/>
    <w:rsid w:val="002F75A0"/>
    <w:rsid w:val="002F765C"/>
    <w:rsid w:val="002F777F"/>
    <w:rsid w:val="002F78F7"/>
    <w:rsid w:val="002F79B0"/>
    <w:rsid w:val="002F7C64"/>
    <w:rsid w:val="00300021"/>
    <w:rsid w:val="0030020B"/>
    <w:rsid w:val="00300245"/>
    <w:rsid w:val="00300429"/>
    <w:rsid w:val="003005B8"/>
    <w:rsid w:val="00300B74"/>
    <w:rsid w:val="00300BE9"/>
    <w:rsid w:val="00301471"/>
    <w:rsid w:val="003015CD"/>
    <w:rsid w:val="00301661"/>
    <w:rsid w:val="0030172E"/>
    <w:rsid w:val="0030196B"/>
    <w:rsid w:val="00301B20"/>
    <w:rsid w:val="00301CCA"/>
    <w:rsid w:val="00301FF2"/>
    <w:rsid w:val="003020EF"/>
    <w:rsid w:val="0030238D"/>
    <w:rsid w:val="00302807"/>
    <w:rsid w:val="00302864"/>
    <w:rsid w:val="0030291F"/>
    <w:rsid w:val="00302A17"/>
    <w:rsid w:val="00302B70"/>
    <w:rsid w:val="00302BC2"/>
    <w:rsid w:val="00302F32"/>
    <w:rsid w:val="00303194"/>
    <w:rsid w:val="00303846"/>
    <w:rsid w:val="00303FBC"/>
    <w:rsid w:val="0030404F"/>
    <w:rsid w:val="00304110"/>
    <w:rsid w:val="003042CD"/>
    <w:rsid w:val="00304713"/>
    <w:rsid w:val="0030492D"/>
    <w:rsid w:val="00304995"/>
    <w:rsid w:val="003049DA"/>
    <w:rsid w:val="00304D07"/>
    <w:rsid w:val="00304DC6"/>
    <w:rsid w:val="00304E1A"/>
    <w:rsid w:val="00304EE8"/>
    <w:rsid w:val="003052AA"/>
    <w:rsid w:val="0030592A"/>
    <w:rsid w:val="00305A6D"/>
    <w:rsid w:val="00305B5C"/>
    <w:rsid w:val="00305BC0"/>
    <w:rsid w:val="00305C6A"/>
    <w:rsid w:val="00305DB6"/>
    <w:rsid w:val="00306064"/>
    <w:rsid w:val="003062A8"/>
    <w:rsid w:val="0030648F"/>
    <w:rsid w:val="00306524"/>
    <w:rsid w:val="00306580"/>
    <w:rsid w:val="003065CA"/>
    <w:rsid w:val="0030675A"/>
    <w:rsid w:val="0030678B"/>
    <w:rsid w:val="0030699B"/>
    <w:rsid w:val="00306A3A"/>
    <w:rsid w:val="00306AD6"/>
    <w:rsid w:val="00307648"/>
    <w:rsid w:val="0030782F"/>
    <w:rsid w:val="00310160"/>
    <w:rsid w:val="0031018B"/>
    <w:rsid w:val="00310307"/>
    <w:rsid w:val="0031066F"/>
    <w:rsid w:val="003108FF"/>
    <w:rsid w:val="00310A1D"/>
    <w:rsid w:val="00310AF2"/>
    <w:rsid w:val="00310DF3"/>
    <w:rsid w:val="00311113"/>
    <w:rsid w:val="0031115A"/>
    <w:rsid w:val="0031122E"/>
    <w:rsid w:val="003113A9"/>
    <w:rsid w:val="00311891"/>
    <w:rsid w:val="003119B3"/>
    <w:rsid w:val="00311A6A"/>
    <w:rsid w:val="00311D6A"/>
    <w:rsid w:val="003121A1"/>
    <w:rsid w:val="00312338"/>
    <w:rsid w:val="0031258C"/>
    <w:rsid w:val="00312D14"/>
    <w:rsid w:val="00312D78"/>
    <w:rsid w:val="00312D8B"/>
    <w:rsid w:val="003132BD"/>
    <w:rsid w:val="00313348"/>
    <w:rsid w:val="0031373B"/>
    <w:rsid w:val="00313953"/>
    <w:rsid w:val="003140DD"/>
    <w:rsid w:val="00314384"/>
    <w:rsid w:val="003143AB"/>
    <w:rsid w:val="00314C7D"/>
    <w:rsid w:val="0031513B"/>
    <w:rsid w:val="00315643"/>
    <w:rsid w:val="0031617F"/>
    <w:rsid w:val="00316419"/>
    <w:rsid w:val="00316520"/>
    <w:rsid w:val="0031671C"/>
    <w:rsid w:val="00316804"/>
    <w:rsid w:val="00316B84"/>
    <w:rsid w:val="00316D31"/>
    <w:rsid w:val="00316E7F"/>
    <w:rsid w:val="0031755F"/>
    <w:rsid w:val="00317911"/>
    <w:rsid w:val="00317C8A"/>
    <w:rsid w:val="0032006D"/>
    <w:rsid w:val="00320258"/>
    <w:rsid w:val="003203F0"/>
    <w:rsid w:val="0032059C"/>
    <w:rsid w:val="003207E2"/>
    <w:rsid w:val="00320911"/>
    <w:rsid w:val="003209E8"/>
    <w:rsid w:val="00320CA3"/>
    <w:rsid w:val="00321017"/>
    <w:rsid w:val="00321154"/>
    <w:rsid w:val="0032160A"/>
    <w:rsid w:val="00321830"/>
    <w:rsid w:val="00321A42"/>
    <w:rsid w:val="00321CC1"/>
    <w:rsid w:val="00321FC1"/>
    <w:rsid w:val="00321FF6"/>
    <w:rsid w:val="003224DE"/>
    <w:rsid w:val="003230C2"/>
    <w:rsid w:val="00323142"/>
    <w:rsid w:val="00323192"/>
    <w:rsid w:val="003232D1"/>
    <w:rsid w:val="0032349A"/>
    <w:rsid w:val="003234CD"/>
    <w:rsid w:val="00323EC8"/>
    <w:rsid w:val="0032475F"/>
    <w:rsid w:val="0032484A"/>
    <w:rsid w:val="0032495D"/>
    <w:rsid w:val="00324FCC"/>
    <w:rsid w:val="00325320"/>
    <w:rsid w:val="003258AB"/>
    <w:rsid w:val="003258FF"/>
    <w:rsid w:val="00325C4A"/>
    <w:rsid w:val="00325FD4"/>
    <w:rsid w:val="0032643C"/>
    <w:rsid w:val="00326643"/>
    <w:rsid w:val="00326A10"/>
    <w:rsid w:val="00326DCC"/>
    <w:rsid w:val="00326F8E"/>
    <w:rsid w:val="003274C9"/>
    <w:rsid w:val="003277DA"/>
    <w:rsid w:val="00327BC9"/>
    <w:rsid w:val="00327BF6"/>
    <w:rsid w:val="00327EA1"/>
    <w:rsid w:val="00327FFC"/>
    <w:rsid w:val="00330267"/>
    <w:rsid w:val="00330365"/>
    <w:rsid w:val="00330536"/>
    <w:rsid w:val="0033062A"/>
    <w:rsid w:val="00330748"/>
    <w:rsid w:val="00330BD5"/>
    <w:rsid w:val="00330CC5"/>
    <w:rsid w:val="00330E51"/>
    <w:rsid w:val="003314F0"/>
    <w:rsid w:val="003315D2"/>
    <w:rsid w:val="00331910"/>
    <w:rsid w:val="003319E7"/>
    <w:rsid w:val="00331A4D"/>
    <w:rsid w:val="00331E58"/>
    <w:rsid w:val="003320A0"/>
    <w:rsid w:val="00332944"/>
    <w:rsid w:val="00332A8A"/>
    <w:rsid w:val="003334D2"/>
    <w:rsid w:val="003337E7"/>
    <w:rsid w:val="00333A3B"/>
    <w:rsid w:val="00333A83"/>
    <w:rsid w:val="00333B2C"/>
    <w:rsid w:val="00333B99"/>
    <w:rsid w:val="00333E75"/>
    <w:rsid w:val="00333F46"/>
    <w:rsid w:val="00333F78"/>
    <w:rsid w:val="0033416C"/>
    <w:rsid w:val="00334186"/>
    <w:rsid w:val="00334627"/>
    <w:rsid w:val="003349AF"/>
    <w:rsid w:val="00334A33"/>
    <w:rsid w:val="00334D24"/>
    <w:rsid w:val="00335123"/>
    <w:rsid w:val="0033524B"/>
    <w:rsid w:val="00335345"/>
    <w:rsid w:val="0033558D"/>
    <w:rsid w:val="00335DC5"/>
    <w:rsid w:val="003361E4"/>
    <w:rsid w:val="00336208"/>
    <w:rsid w:val="00336675"/>
    <w:rsid w:val="00336797"/>
    <w:rsid w:val="003367A0"/>
    <w:rsid w:val="00336BE5"/>
    <w:rsid w:val="00336F46"/>
    <w:rsid w:val="003375D9"/>
    <w:rsid w:val="0033762A"/>
    <w:rsid w:val="0033771C"/>
    <w:rsid w:val="00337818"/>
    <w:rsid w:val="00337F98"/>
    <w:rsid w:val="00337FE2"/>
    <w:rsid w:val="00340463"/>
    <w:rsid w:val="003405EC"/>
    <w:rsid w:val="003406D7"/>
    <w:rsid w:val="0034086D"/>
    <w:rsid w:val="00340C36"/>
    <w:rsid w:val="00340D51"/>
    <w:rsid w:val="00340D6B"/>
    <w:rsid w:val="003410F3"/>
    <w:rsid w:val="00341BEC"/>
    <w:rsid w:val="00341D28"/>
    <w:rsid w:val="00341F55"/>
    <w:rsid w:val="00343090"/>
    <w:rsid w:val="003432E4"/>
    <w:rsid w:val="0034331C"/>
    <w:rsid w:val="0034391C"/>
    <w:rsid w:val="0034394E"/>
    <w:rsid w:val="00343B96"/>
    <w:rsid w:val="00343D87"/>
    <w:rsid w:val="00343E39"/>
    <w:rsid w:val="003440F1"/>
    <w:rsid w:val="00344110"/>
    <w:rsid w:val="0034439F"/>
    <w:rsid w:val="003445FF"/>
    <w:rsid w:val="003446E2"/>
    <w:rsid w:val="00344835"/>
    <w:rsid w:val="0034485F"/>
    <w:rsid w:val="00344D88"/>
    <w:rsid w:val="003454A7"/>
    <w:rsid w:val="0034550B"/>
    <w:rsid w:val="003456DF"/>
    <w:rsid w:val="00345724"/>
    <w:rsid w:val="0034590B"/>
    <w:rsid w:val="00345A48"/>
    <w:rsid w:val="00345BD8"/>
    <w:rsid w:val="00345BE5"/>
    <w:rsid w:val="003462AE"/>
    <w:rsid w:val="00346604"/>
    <w:rsid w:val="0034686A"/>
    <w:rsid w:val="003468D8"/>
    <w:rsid w:val="00346A42"/>
    <w:rsid w:val="00346A59"/>
    <w:rsid w:val="00346F3E"/>
    <w:rsid w:val="003470D0"/>
    <w:rsid w:val="00347364"/>
    <w:rsid w:val="003474D5"/>
    <w:rsid w:val="00347602"/>
    <w:rsid w:val="00347889"/>
    <w:rsid w:val="003478F7"/>
    <w:rsid w:val="0034798F"/>
    <w:rsid w:val="00347D78"/>
    <w:rsid w:val="00347E6B"/>
    <w:rsid w:val="0035003B"/>
    <w:rsid w:val="003501C9"/>
    <w:rsid w:val="0035067B"/>
    <w:rsid w:val="0035097D"/>
    <w:rsid w:val="00350A34"/>
    <w:rsid w:val="00350CA6"/>
    <w:rsid w:val="00350CDE"/>
    <w:rsid w:val="00350D8D"/>
    <w:rsid w:val="00350ECA"/>
    <w:rsid w:val="00350EE4"/>
    <w:rsid w:val="00351033"/>
    <w:rsid w:val="00351200"/>
    <w:rsid w:val="00351556"/>
    <w:rsid w:val="00351ECB"/>
    <w:rsid w:val="00351EF1"/>
    <w:rsid w:val="00352097"/>
    <w:rsid w:val="0035216A"/>
    <w:rsid w:val="003522B6"/>
    <w:rsid w:val="0035251C"/>
    <w:rsid w:val="0035283E"/>
    <w:rsid w:val="0035289B"/>
    <w:rsid w:val="00352DA9"/>
    <w:rsid w:val="00352F1E"/>
    <w:rsid w:val="00352F6B"/>
    <w:rsid w:val="0035334D"/>
    <w:rsid w:val="0035346C"/>
    <w:rsid w:val="003536E0"/>
    <w:rsid w:val="00353B65"/>
    <w:rsid w:val="00353CF2"/>
    <w:rsid w:val="00353E56"/>
    <w:rsid w:val="00353F36"/>
    <w:rsid w:val="003540F3"/>
    <w:rsid w:val="00354178"/>
    <w:rsid w:val="00354237"/>
    <w:rsid w:val="003544C4"/>
    <w:rsid w:val="003544EF"/>
    <w:rsid w:val="0035462A"/>
    <w:rsid w:val="0035477E"/>
    <w:rsid w:val="00354894"/>
    <w:rsid w:val="0035541A"/>
    <w:rsid w:val="003554CF"/>
    <w:rsid w:val="003555EE"/>
    <w:rsid w:val="003556C7"/>
    <w:rsid w:val="0035584F"/>
    <w:rsid w:val="00355939"/>
    <w:rsid w:val="00355C81"/>
    <w:rsid w:val="00355D27"/>
    <w:rsid w:val="00355F90"/>
    <w:rsid w:val="003561E7"/>
    <w:rsid w:val="003562D1"/>
    <w:rsid w:val="0035657A"/>
    <w:rsid w:val="0035668D"/>
    <w:rsid w:val="003567F3"/>
    <w:rsid w:val="00356C2A"/>
    <w:rsid w:val="00356CEF"/>
    <w:rsid w:val="003573DC"/>
    <w:rsid w:val="00357759"/>
    <w:rsid w:val="00357D07"/>
    <w:rsid w:val="00357DF3"/>
    <w:rsid w:val="00360103"/>
    <w:rsid w:val="003603F3"/>
    <w:rsid w:val="0036058B"/>
    <w:rsid w:val="003605BF"/>
    <w:rsid w:val="003608A9"/>
    <w:rsid w:val="00360A04"/>
    <w:rsid w:val="00360A2F"/>
    <w:rsid w:val="00360BF0"/>
    <w:rsid w:val="00360C87"/>
    <w:rsid w:val="003611A5"/>
    <w:rsid w:val="003611FF"/>
    <w:rsid w:val="0036187F"/>
    <w:rsid w:val="00361E25"/>
    <w:rsid w:val="00361F47"/>
    <w:rsid w:val="0036241E"/>
    <w:rsid w:val="0036246F"/>
    <w:rsid w:val="003624D1"/>
    <w:rsid w:val="0036263B"/>
    <w:rsid w:val="0036272D"/>
    <w:rsid w:val="00362A86"/>
    <w:rsid w:val="00362FA9"/>
    <w:rsid w:val="003630F3"/>
    <w:rsid w:val="00363548"/>
    <w:rsid w:val="00363566"/>
    <w:rsid w:val="00363878"/>
    <w:rsid w:val="00363ABA"/>
    <w:rsid w:val="0036417E"/>
    <w:rsid w:val="00364433"/>
    <w:rsid w:val="00364A12"/>
    <w:rsid w:val="00364B30"/>
    <w:rsid w:val="00364CCF"/>
    <w:rsid w:val="00364CD0"/>
    <w:rsid w:val="00365392"/>
    <w:rsid w:val="00365432"/>
    <w:rsid w:val="00365541"/>
    <w:rsid w:val="00365631"/>
    <w:rsid w:val="0036571B"/>
    <w:rsid w:val="003657EB"/>
    <w:rsid w:val="0036586D"/>
    <w:rsid w:val="00365BFA"/>
    <w:rsid w:val="00365E15"/>
    <w:rsid w:val="00366111"/>
    <w:rsid w:val="00366542"/>
    <w:rsid w:val="00366680"/>
    <w:rsid w:val="003668D3"/>
    <w:rsid w:val="00366A3C"/>
    <w:rsid w:val="00366BBE"/>
    <w:rsid w:val="00366D35"/>
    <w:rsid w:val="00366E3A"/>
    <w:rsid w:val="003670CB"/>
    <w:rsid w:val="003679F8"/>
    <w:rsid w:val="00367C21"/>
    <w:rsid w:val="00367C50"/>
    <w:rsid w:val="00367C64"/>
    <w:rsid w:val="00367E9D"/>
    <w:rsid w:val="003702D3"/>
    <w:rsid w:val="00370402"/>
    <w:rsid w:val="003704D0"/>
    <w:rsid w:val="00370588"/>
    <w:rsid w:val="0037083B"/>
    <w:rsid w:val="00370D8C"/>
    <w:rsid w:val="00371043"/>
    <w:rsid w:val="00371399"/>
    <w:rsid w:val="0037146E"/>
    <w:rsid w:val="00371557"/>
    <w:rsid w:val="00371949"/>
    <w:rsid w:val="00371B95"/>
    <w:rsid w:val="00371FA1"/>
    <w:rsid w:val="003720B8"/>
    <w:rsid w:val="003724B0"/>
    <w:rsid w:val="003727D3"/>
    <w:rsid w:val="00372A20"/>
    <w:rsid w:val="00372A9E"/>
    <w:rsid w:val="00372C43"/>
    <w:rsid w:val="003737AF"/>
    <w:rsid w:val="00373C97"/>
    <w:rsid w:val="00373D13"/>
    <w:rsid w:val="003742DD"/>
    <w:rsid w:val="00374317"/>
    <w:rsid w:val="00374637"/>
    <w:rsid w:val="003746B1"/>
    <w:rsid w:val="00374753"/>
    <w:rsid w:val="003747EE"/>
    <w:rsid w:val="00374AAF"/>
    <w:rsid w:val="00374C37"/>
    <w:rsid w:val="00374F6D"/>
    <w:rsid w:val="0037510B"/>
    <w:rsid w:val="00375265"/>
    <w:rsid w:val="00375635"/>
    <w:rsid w:val="003756C9"/>
    <w:rsid w:val="0037589C"/>
    <w:rsid w:val="00375963"/>
    <w:rsid w:val="00375F67"/>
    <w:rsid w:val="00375FA4"/>
    <w:rsid w:val="0037657C"/>
    <w:rsid w:val="00376852"/>
    <w:rsid w:val="003768F5"/>
    <w:rsid w:val="00376BEB"/>
    <w:rsid w:val="00376CD2"/>
    <w:rsid w:val="00376E9D"/>
    <w:rsid w:val="00376FC6"/>
    <w:rsid w:val="00377002"/>
    <w:rsid w:val="0038037C"/>
    <w:rsid w:val="0038052F"/>
    <w:rsid w:val="003807DE"/>
    <w:rsid w:val="0038129B"/>
    <w:rsid w:val="00381553"/>
    <w:rsid w:val="0038211B"/>
    <w:rsid w:val="003826A2"/>
    <w:rsid w:val="00382893"/>
    <w:rsid w:val="003829CF"/>
    <w:rsid w:val="00382A41"/>
    <w:rsid w:val="00382A46"/>
    <w:rsid w:val="00382AC5"/>
    <w:rsid w:val="00382BF5"/>
    <w:rsid w:val="00383034"/>
    <w:rsid w:val="003832EE"/>
    <w:rsid w:val="00383DDD"/>
    <w:rsid w:val="003842C3"/>
    <w:rsid w:val="00384480"/>
    <w:rsid w:val="00384508"/>
    <w:rsid w:val="0038497B"/>
    <w:rsid w:val="00384C94"/>
    <w:rsid w:val="00384E3C"/>
    <w:rsid w:val="00384F15"/>
    <w:rsid w:val="003850B5"/>
    <w:rsid w:val="003853A1"/>
    <w:rsid w:val="003853D7"/>
    <w:rsid w:val="00385422"/>
    <w:rsid w:val="0038566C"/>
    <w:rsid w:val="00385919"/>
    <w:rsid w:val="0038602A"/>
    <w:rsid w:val="003868B0"/>
    <w:rsid w:val="00386AE4"/>
    <w:rsid w:val="00386CA8"/>
    <w:rsid w:val="00386D5F"/>
    <w:rsid w:val="00386FD7"/>
    <w:rsid w:val="003874F1"/>
    <w:rsid w:val="00387599"/>
    <w:rsid w:val="00387A38"/>
    <w:rsid w:val="00387BA5"/>
    <w:rsid w:val="00387F4B"/>
    <w:rsid w:val="00390D9D"/>
    <w:rsid w:val="00390E5B"/>
    <w:rsid w:val="0039102D"/>
    <w:rsid w:val="003911A1"/>
    <w:rsid w:val="0039130A"/>
    <w:rsid w:val="00391457"/>
    <w:rsid w:val="003915BE"/>
    <w:rsid w:val="00391837"/>
    <w:rsid w:val="0039186B"/>
    <w:rsid w:val="00391974"/>
    <w:rsid w:val="003919CF"/>
    <w:rsid w:val="00391D3D"/>
    <w:rsid w:val="00391E30"/>
    <w:rsid w:val="0039239F"/>
    <w:rsid w:val="00392564"/>
    <w:rsid w:val="00392908"/>
    <w:rsid w:val="00392F00"/>
    <w:rsid w:val="00392F5A"/>
    <w:rsid w:val="003930E3"/>
    <w:rsid w:val="00393294"/>
    <w:rsid w:val="00394395"/>
    <w:rsid w:val="003943AA"/>
    <w:rsid w:val="003948A3"/>
    <w:rsid w:val="00394954"/>
    <w:rsid w:val="00395038"/>
    <w:rsid w:val="003952D8"/>
    <w:rsid w:val="003956B4"/>
    <w:rsid w:val="003956E7"/>
    <w:rsid w:val="00395740"/>
    <w:rsid w:val="003957A3"/>
    <w:rsid w:val="00395B40"/>
    <w:rsid w:val="0039620E"/>
    <w:rsid w:val="00396223"/>
    <w:rsid w:val="0039623D"/>
    <w:rsid w:val="0039644E"/>
    <w:rsid w:val="003965F8"/>
    <w:rsid w:val="00396AA9"/>
    <w:rsid w:val="00396CFE"/>
    <w:rsid w:val="00396EFB"/>
    <w:rsid w:val="00396F56"/>
    <w:rsid w:val="00396FF8"/>
    <w:rsid w:val="0039700F"/>
    <w:rsid w:val="00397127"/>
    <w:rsid w:val="00397655"/>
    <w:rsid w:val="00397710"/>
    <w:rsid w:val="00397A93"/>
    <w:rsid w:val="00397AE2"/>
    <w:rsid w:val="00397EBF"/>
    <w:rsid w:val="003A0AE2"/>
    <w:rsid w:val="003A0DD8"/>
    <w:rsid w:val="003A0E00"/>
    <w:rsid w:val="003A0E06"/>
    <w:rsid w:val="003A118F"/>
    <w:rsid w:val="003A1564"/>
    <w:rsid w:val="003A16E9"/>
    <w:rsid w:val="003A1862"/>
    <w:rsid w:val="003A21D7"/>
    <w:rsid w:val="003A25FB"/>
    <w:rsid w:val="003A2798"/>
    <w:rsid w:val="003A2B7A"/>
    <w:rsid w:val="003A2C93"/>
    <w:rsid w:val="003A2D92"/>
    <w:rsid w:val="003A2FBA"/>
    <w:rsid w:val="003A342A"/>
    <w:rsid w:val="003A378F"/>
    <w:rsid w:val="003A3ADC"/>
    <w:rsid w:val="003A40B0"/>
    <w:rsid w:val="003A432E"/>
    <w:rsid w:val="003A4944"/>
    <w:rsid w:val="003A4DA5"/>
    <w:rsid w:val="003A5094"/>
    <w:rsid w:val="003A5256"/>
    <w:rsid w:val="003A52FF"/>
    <w:rsid w:val="003A5656"/>
    <w:rsid w:val="003A5807"/>
    <w:rsid w:val="003A587C"/>
    <w:rsid w:val="003A5BB8"/>
    <w:rsid w:val="003A637C"/>
    <w:rsid w:val="003A655C"/>
    <w:rsid w:val="003A6799"/>
    <w:rsid w:val="003A6B62"/>
    <w:rsid w:val="003A7011"/>
    <w:rsid w:val="003A7370"/>
    <w:rsid w:val="003A73EF"/>
    <w:rsid w:val="003A751A"/>
    <w:rsid w:val="003A75C5"/>
    <w:rsid w:val="003A79C6"/>
    <w:rsid w:val="003A7A30"/>
    <w:rsid w:val="003A7A5E"/>
    <w:rsid w:val="003B0055"/>
    <w:rsid w:val="003B0453"/>
    <w:rsid w:val="003B04D7"/>
    <w:rsid w:val="003B083D"/>
    <w:rsid w:val="003B0A3E"/>
    <w:rsid w:val="003B0B0D"/>
    <w:rsid w:val="003B0B4B"/>
    <w:rsid w:val="003B0CBB"/>
    <w:rsid w:val="003B0FC2"/>
    <w:rsid w:val="003B118A"/>
    <w:rsid w:val="003B12C4"/>
    <w:rsid w:val="003B1E49"/>
    <w:rsid w:val="003B1F94"/>
    <w:rsid w:val="003B22B7"/>
    <w:rsid w:val="003B279D"/>
    <w:rsid w:val="003B27E3"/>
    <w:rsid w:val="003B2B6D"/>
    <w:rsid w:val="003B3367"/>
    <w:rsid w:val="003B3774"/>
    <w:rsid w:val="003B4385"/>
    <w:rsid w:val="003B4397"/>
    <w:rsid w:val="003B4BC3"/>
    <w:rsid w:val="003B4BED"/>
    <w:rsid w:val="003B4F53"/>
    <w:rsid w:val="003B4F8B"/>
    <w:rsid w:val="003B5178"/>
    <w:rsid w:val="003B5A66"/>
    <w:rsid w:val="003B5B75"/>
    <w:rsid w:val="003B5E30"/>
    <w:rsid w:val="003B616C"/>
    <w:rsid w:val="003B6273"/>
    <w:rsid w:val="003B6799"/>
    <w:rsid w:val="003B6808"/>
    <w:rsid w:val="003B70A3"/>
    <w:rsid w:val="003B71F1"/>
    <w:rsid w:val="003B72DB"/>
    <w:rsid w:val="003B74EA"/>
    <w:rsid w:val="003B753A"/>
    <w:rsid w:val="003B7682"/>
    <w:rsid w:val="003B7830"/>
    <w:rsid w:val="003B796E"/>
    <w:rsid w:val="003B7A31"/>
    <w:rsid w:val="003B7AA0"/>
    <w:rsid w:val="003B7B6A"/>
    <w:rsid w:val="003B7FCC"/>
    <w:rsid w:val="003BB7E3"/>
    <w:rsid w:val="003C03CD"/>
    <w:rsid w:val="003C05D2"/>
    <w:rsid w:val="003C0845"/>
    <w:rsid w:val="003C181C"/>
    <w:rsid w:val="003C1917"/>
    <w:rsid w:val="003C1989"/>
    <w:rsid w:val="003C19DD"/>
    <w:rsid w:val="003C1E3F"/>
    <w:rsid w:val="003C1FEB"/>
    <w:rsid w:val="003C2571"/>
    <w:rsid w:val="003C25FC"/>
    <w:rsid w:val="003C2610"/>
    <w:rsid w:val="003C2941"/>
    <w:rsid w:val="003C2B37"/>
    <w:rsid w:val="003C2D28"/>
    <w:rsid w:val="003C2E56"/>
    <w:rsid w:val="003C2FB2"/>
    <w:rsid w:val="003C351A"/>
    <w:rsid w:val="003C3596"/>
    <w:rsid w:val="003C3903"/>
    <w:rsid w:val="003C3951"/>
    <w:rsid w:val="003C3C97"/>
    <w:rsid w:val="003C3D04"/>
    <w:rsid w:val="003C436C"/>
    <w:rsid w:val="003C4414"/>
    <w:rsid w:val="003C4517"/>
    <w:rsid w:val="003C4658"/>
    <w:rsid w:val="003C46E1"/>
    <w:rsid w:val="003C4721"/>
    <w:rsid w:val="003C476E"/>
    <w:rsid w:val="003C47EC"/>
    <w:rsid w:val="003C4B71"/>
    <w:rsid w:val="003C5104"/>
    <w:rsid w:val="003C5162"/>
    <w:rsid w:val="003C5218"/>
    <w:rsid w:val="003C53B4"/>
    <w:rsid w:val="003C5851"/>
    <w:rsid w:val="003C5A4D"/>
    <w:rsid w:val="003C5C2D"/>
    <w:rsid w:val="003C5CB5"/>
    <w:rsid w:val="003C6149"/>
    <w:rsid w:val="003C629B"/>
    <w:rsid w:val="003C629F"/>
    <w:rsid w:val="003C643B"/>
    <w:rsid w:val="003C6622"/>
    <w:rsid w:val="003C66B1"/>
    <w:rsid w:val="003C66FE"/>
    <w:rsid w:val="003C6BFB"/>
    <w:rsid w:val="003C6DF6"/>
    <w:rsid w:val="003C6FFB"/>
    <w:rsid w:val="003C7406"/>
    <w:rsid w:val="003C745A"/>
    <w:rsid w:val="003C7649"/>
    <w:rsid w:val="003C7654"/>
    <w:rsid w:val="003D008B"/>
    <w:rsid w:val="003D0D08"/>
    <w:rsid w:val="003D0DAB"/>
    <w:rsid w:val="003D0F63"/>
    <w:rsid w:val="003D0F7F"/>
    <w:rsid w:val="003D153F"/>
    <w:rsid w:val="003D15D0"/>
    <w:rsid w:val="003D16CA"/>
    <w:rsid w:val="003D16CB"/>
    <w:rsid w:val="003D186E"/>
    <w:rsid w:val="003D1A19"/>
    <w:rsid w:val="003D2238"/>
    <w:rsid w:val="003D258D"/>
    <w:rsid w:val="003D2DEC"/>
    <w:rsid w:val="003D2E8B"/>
    <w:rsid w:val="003D35E2"/>
    <w:rsid w:val="003D4C18"/>
    <w:rsid w:val="003D4F55"/>
    <w:rsid w:val="003D52A5"/>
    <w:rsid w:val="003D550E"/>
    <w:rsid w:val="003D552C"/>
    <w:rsid w:val="003D5723"/>
    <w:rsid w:val="003D5D7C"/>
    <w:rsid w:val="003D5DDD"/>
    <w:rsid w:val="003D5E20"/>
    <w:rsid w:val="003D5E8F"/>
    <w:rsid w:val="003D602D"/>
    <w:rsid w:val="003D6655"/>
    <w:rsid w:val="003D68D6"/>
    <w:rsid w:val="003D6A07"/>
    <w:rsid w:val="003D6DB2"/>
    <w:rsid w:val="003D6FB1"/>
    <w:rsid w:val="003D705B"/>
    <w:rsid w:val="003D7125"/>
    <w:rsid w:val="003D7129"/>
    <w:rsid w:val="003D749F"/>
    <w:rsid w:val="003D7646"/>
    <w:rsid w:val="003D7814"/>
    <w:rsid w:val="003D7DF2"/>
    <w:rsid w:val="003D7E6B"/>
    <w:rsid w:val="003D7EBF"/>
    <w:rsid w:val="003D7F58"/>
    <w:rsid w:val="003E00E6"/>
    <w:rsid w:val="003E07E0"/>
    <w:rsid w:val="003E08E8"/>
    <w:rsid w:val="003E09E4"/>
    <w:rsid w:val="003E0A15"/>
    <w:rsid w:val="003E0D06"/>
    <w:rsid w:val="003E0FD7"/>
    <w:rsid w:val="003E1061"/>
    <w:rsid w:val="003E1099"/>
    <w:rsid w:val="003E12F6"/>
    <w:rsid w:val="003E1349"/>
    <w:rsid w:val="003E1613"/>
    <w:rsid w:val="003E19BB"/>
    <w:rsid w:val="003E1B69"/>
    <w:rsid w:val="003E1C0C"/>
    <w:rsid w:val="003E1D5C"/>
    <w:rsid w:val="003E1FC0"/>
    <w:rsid w:val="003E20D1"/>
    <w:rsid w:val="003E2173"/>
    <w:rsid w:val="003E2560"/>
    <w:rsid w:val="003E2619"/>
    <w:rsid w:val="003E2879"/>
    <w:rsid w:val="003E2945"/>
    <w:rsid w:val="003E2A70"/>
    <w:rsid w:val="003E2B0E"/>
    <w:rsid w:val="003E2C24"/>
    <w:rsid w:val="003E2E88"/>
    <w:rsid w:val="003E304D"/>
    <w:rsid w:val="003E3339"/>
    <w:rsid w:val="003E34F2"/>
    <w:rsid w:val="003E354B"/>
    <w:rsid w:val="003E35AF"/>
    <w:rsid w:val="003E35D3"/>
    <w:rsid w:val="003E3896"/>
    <w:rsid w:val="003E3A37"/>
    <w:rsid w:val="003E3C7F"/>
    <w:rsid w:val="003E4324"/>
    <w:rsid w:val="003E43B4"/>
    <w:rsid w:val="003E46E8"/>
    <w:rsid w:val="003E47A9"/>
    <w:rsid w:val="003E47E5"/>
    <w:rsid w:val="003E4891"/>
    <w:rsid w:val="003E49B3"/>
    <w:rsid w:val="003E58BC"/>
    <w:rsid w:val="003E5B94"/>
    <w:rsid w:val="003E5C04"/>
    <w:rsid w:val="003E6377"/>
    <w:rsid w:val="003E64D1"/>
    <w:rsid w:val="003E6540"/>
    <w:rsid w:val="003E67C5"/>
    <w:rsid w:val="003E6AC7"/>
    <w:rsid w:val="003E6B43"/>
    <w:rsid w:val="003E6B4D"/>
    <w:rsid w:val="003E6C3D"/>
    <w:rsid w:val="003E6DD0"/>
    <w:rsid w:val="003E70D1"/>
    <w:rsid w:val="003E7179"/>
    <w:rsid w:val="003E7411"/>
    <w:rsid w:val="003E75D9"/>
    <w:rsid w:val="003E7AD1"/>
    <w:rsid w:val="003F04AC"/>
    <w:rsid w:val="003F04E5"/>
    <w:rsid w:val="003F0774"/>
    <w:rsid w:val="003F082A"/>
    <w:rsid w:val="003F08DE"/>
    <w:rsid w:val="003F0B98"/>
    <w:rsid w:val="003F0BD0"/>
    <w:rsid w:val="003F0C74"/>
    <w:rsid w:val="003F104C"/>
    <w:rsid w:val="003F1151"/>
    <w:rsid w:val="003F116B"/>
    <w:rsid w:val="003F11D8"/>
    <w:rsid w:val="003F16B6"/>
    <w:rsid w:val="003F16DC"/>
    <w:rsid w:val="003F2017"/>
    <w:rsid w:val="003F23E6"/>
    <w:rsid w:val="003F280C"/>
    <w:rsid w:val="003F2D18"/>
    <w:rsid w:val="003F3049"/>
    <w:rsid w:val="003F30C4"/>
    <w:rsid w:val="003F3162"/>
    <w:rsid w:val="003F3363"/>
    <w:rsid w:val="003F4325"/>
    <w:rsid w:val="003F4474"/>
    <w:rsid w:val="003F44A4"/>
    <w:rsid w:val="003F46C0"/>
    <w:rsid w:val="003F4D11"/>
    <w:rsid w:val="003F4E6C"/>
    <w:rsid w:val="003F4F70"/>
    <w:rsid w:val="003F4FF3"/>
    <w:rsid w:val="003F5061"/>
    <w:rsid w:val="003F555F"/>
    <w:rsid w:val="003F5945"/>
    <w:rsid w:val="003F5AEE"/>
    <w:rsid w:val="003F5AF9"/>
    <w:rsid w:val="003F5B90"/>
    <w:rsid w:val="003F6197"/>
    <w:rsid w:val="003F6AD6"/>
    <w:rsid w:val="003F6D28"/>
    <w:rsid w:val="003F6DC1"/>
    <w:rsid w:val="003F745C"/>
    <w:rsid w:val="003F764C"/>
    <w:rsid w:val="003F7725"/>
    <w:rsid w:val="003F78EA"/>
    <w:rsid w:val="003F78ED"/>
    <w:rsid w:val="003F7CBF"/>
    <w:rsid w:val="003F7D4B"/>
    <w:rsid w:val="004005AC"/>
    <w:rsid w:val="00400837"/>
    <w:rsid w:val="004008A5"/>
    <w:rsid w:val="004008F9"/>
    <w:rsid w:val="004009EF"/>
    <w:rsid w:val="00400AEB"/>
    <w:rsid w:val="00400D60"/>
    <w:rsid w:val="00400DC0"/>
    <w:rsid w:val="00400DFB"/>
    <w:rsid w:val="00400EFB"/>
    <w:rsid w:val="00400F82"/>
    <w:rsid w:val="0040121D"/>
    <w:rsid w:val="004013DC"/>
    <w:rsid w:val="00401412"/>
    <w:rsid w:val="00401561"/>
    <w:rsid w:val="004016F4"/>
    <w:rsid w:val="0040170D"/>
    <w:rsid w:val="0040172A"/>
    <w:rsid w:val="00401C0B"/>
    <w:rsid w:val="00401EA7"/>
    <w:rsid w:val="00402064"/>
    <w:rsid w:val="00402457"/>
    <w:rsid w:val="00402EB4"/>
    <w:rsid w:val="0040366F"/>
    <w:rsid w:val="00403672"/>
    <w:rsid w:val="0040402F"/>
    <w:rsid w:val="00404602"/>
    <w:rsid w:val="00404836"/>
    <w:rsid w:val="00404EA7"/>
    <w:rsid w:val="00404F84"/>
    <w:rsid w:val="00405425"/>
    <w:rsid w:val="004056A3"/>
    <w:rsid w:val="0040595F"/>
    <w:rsid w:val="00405A97"/>
    <w:rsid w:val="00405CB0"/>
    <w:rsid w:val="00405D99"/>
    <w:rsid w:val="00406063"/>
    <w:rsid w:val="0040636F"/>
    <w:rsid w:val="004064FD"/>
    <w:rsid w:val="00406A38"/>
    <w:rsid w:val="00406ACE"/>
    <w:rsid w:val="00407273"/>
    <w:rsid w:val="004074BA"/>
    <w:rsid w:val="00407533"/>
    <w:rsid w:val="004077F1"/>
    <w:rsid w:val="00407839"/>
    <w:rsid w:val="00407861"/>
    <w:rsid w:val="00407A8C"/>
    <w:rsid w:val="00407B20"/>
    <w:rsid w:val="00407E6C"/>
    <w:rsid w:val="00407F0C"/>
    <w:rsid w:val="004100B6"/>
    <w:rsid w:val="004105B9"/>
    <w:rsid w:val="004108B2"/>
    <w:rsid w:val="0041112E"/>
    <w:rsid w:val="004114B0"/>
    <w:rsid w:val="004114D9"/>
    <w:rsid w:val="004115FA"/>
    <w:rsid w:val="0041168D"/>
    <w:rsid w:val="00411723"/>
    <w:rsid w:val="00411F0E"/>
    <w:rsid w:val="00412222"/>
    <w:rsid w:val="00412321"/>
    <w:rsid w:val="004127DD"/>
    <w:rsid w:val="0041291E"/>
    <w:rsid w:val="00412BE4"/>
    <w:rsid w:val="00412F2B"/>
    <w:rsid w:val="00413057"/>
    <w:rsid w:val="004130DE"/>
    <w:rsid w:val="00413117"/>
    <w:rsid w:val="00413141"/>
    <w:rsid w:val="00413AF7"/>
    <w:rsid w:val="00413C4D"/>
    <w:rsid w:val="004142B7"/>
    <w:rsid w:val="00414423"/>
    <w:rsid w:val="004146BF"/>
    <w:rsid w:val="00414743"/>
    <w:rsid w:val="00414DE0"/>
    <w:rsid w:val="00415148"/>
    <w:rsid w:val="00415374"/>
    <w:rsid w:val="004157E0"/>
    <w:rsid w:val="00415D1D"/>
    <w:rsid w:val="00416058"/>
    <w:rsid w:val="004165A0"/>
    <w:rsid w:val="0041664D"/>
    <w:rsid w:val="0041689A"/>
    <w:rsid w:val="00416AB2"/>
    <w:rsid w:val="00416AFC"/>
    <w:rsid w:val="00416B4D"/>
    <w:rsid w:val="00416ED3"/>
    <w:rsid w:val="00417110"/>
    <w:rsid w:val="004171CC"/>
    <w:rsid w:val="004172EE"/>
    <w:rsid w:val="004173B9"/>
    <w:rsid w:val="00417703"/>
    <w:rsid w:val="00417F6E"/>
    <w:rsid w:val="004200F2"/>
    <w:rsid w:val="00420302"/>
    <w:rsid w:val="00420424"/>
    <w:rsid w:val="00420574"/>
    <w:rsid w:val="00420730"/>
    <w:rsid w:val="00420AE6"/>
    <w:rsid w:val="00420C04"/>
    <w:rsid w:val="00420C6D"/>
    <w:rsid w:val="00420EBC"/>
    <w:rsid w:val="00421337"/>
    <w:rsid w:val="00421A76"/>
    <w:rsid w:val="00421B23"/>
    <w:rsid w:val="00421B56"/>
    <w:rsid w:val="00421D19"/>
    <w:rsid w:val="004221C4"/>
    <w:rsid w:val="004226D7"/>
    <w:rsid w:val="00422836"/>
    <w:rsid w:val="00422904"/>
    <w:rsid w:val="00422991"/>
    <w:rsid w:val="004229CB"/>
    <w:rsid w:val="004231BB"/>
    <w:rsid w:val="00423210"/>
    <w:rsid w:val="00423A38"/>
    <w:rsid w:val="00423A7F"/>
    <w:rsid w:val="00424074"/>
    <w:rsid w:val="004243E6"/>
    <w:rsid w:val="00424663"/>
    <w:rsid w:val="00425B9E"/>
    <w:rsid w:val="00425DC8"/>
    <w:rsid w:val="00426013"/>
    <w:rsid w:val="004264FC"/>
    <w:rsid w:val="00426F96"/>
    <w:rsid w:val="004275E0"/>
    <w:rsid w:val="0042763B"/>
    <w:rsid w:val="00427771"/>
    <w:rsid w:val="00427E77"/>
    <w:rsid w:val="00427F6B"/>
    <w:rsid w:val="004303AB"/>
    <w:rsid w:val="00430578"/>
    <w:rsid w:val="0043079C"/>
    <w:rsid w:val="0043084C"/>
    <w:rsid w:val="004309F1"/>
    <w:rsid w:val="00430F34"/>
    <w:rsid w:val="00430FCD"/>
    <w:rsid w:val="004315FE"/>
    <w:rsid w:val="00431639"/>
    <w:rsid w:val="004316E2"/>
    <w:rsid w:val="00432191"/>
    <w:rsid w:val="00432313"/>
    <w:rsid w:val="0043231C"/>
    <w:rsid w:val="0043292D"/>
    <w:rsid w:val="004329F3"/>
    <w:rsid w:val="00432A86"/>
    <w:rsid w:val="00432C28"/>
    <w:rsid w:val="00432D76"/>
    <w:rsid w:val="00432E26"/>
    <w:rsid w:val="00432F57"/>
    <w:rsid w:val="00432F8A"/>
    <w:rsid w:val="004336CF"/>
    <w:rsid w:val="00433915"/>
    <w:rsid w:val="0043397B"/>
    <w:rsid w:val="00433A96"/>
    <w:rsid w:val="00433D9D"/>
    <w:rsid w:val="00434119"/>
    <w:rsid w:val="00434136"/>
    <w:rsid w:val="0043448A"/>
    <w:rsid w:val="00434792"/>
    <w:rsid w:val="004348C0"/>
    <w:rsid w:val="00434AAA"/>
    <w:rsid w:val="00434CFD"/>
    <w:rsid w:val="00434FD1"/>
    <w:rsid w:val="004350C6"/>
    <w:rsid w:val="00435480"/>
    <w:rsid w:val="00435675"/>
    <w:rsid w:val="004356EC"/>
    <w:rsid w:val="00435756"/>
    <w:rsid w:val="00435821"/>
    <w:rsid w:val="00435982"/>
    <w:rsid w:val="00435EBD"/>
    <w:rsid w:val="00436004"/>
    <w:rsid w:val="004362CB"/>
    <w:rsid w:val="004365E9"/>
    <w:rsid w:val="004366A8"/>
    <w:rsid w:val="00436721"/>
    <w:rsid w:val="00436CA0"/>
    <w:rsid w:val="00437514"/>
    <w:rsid w:val="00437598"/>
    <w:rsid w:val="004375FA"/>
    <w:rsid w:val="004376B5"/>
    <w:rsid w:val="00437811"/>
    <w:rsid w:val="00437CD1"/>
    <w:rsid w:val="004400DD"/>
    <w:rsid w:val="004404AD"/>
    <w:rsid w:val="0044079D"/>
    <w:rsid w:val="00440925"/>
    <w:rsid w:val="004409C4"/>
    <w:rsid w:val="00440A37"/>
    <w:rsid w:val="00440C2A"/>
    <w:rsid w:val="00440C9D"/>
    <w:rsid w:val="00440D76"/>
    <w:rsid w:val="004418FA"/>
    <w:rsid w:val="00441A16"/>
    <w:rsid w:val="00441CCA"/>
    <w:rsid w:val="0044218F"/>
    <w:rsid w:val="004421E0"/>
    <w:rsid w:val="00442344"/>
    <w:rsid w:val="00442979"/>
    <w:rsid w:val="0044299E"/>
    <w:rsid w:val="00442A2E"/>
    <w:rsid w:val="00442CCB"/>
    <w:rsid w:val="00442D07"/>
    <w:rsid w:val="00442E20"/>
    <w:rsid w:val="00443147"/>
    <w:rsid w:val="00443580"/>
    <w:rsid w:val="004437C0"/>
    <w:rsid w:val="0044392F"/>
    <w:rsid w:val="00443AD2"/>
    <w:rsid w:val="00444122"/>
    <w:rsid w:val="00444C31"/>
    <w:rsid w:val="004454FC"/>
    <w:rsid w:val="004455A2"/>
    <w:rsid w:val="0044580E"/>
    <w:rsid w:val="004460F1"/>
    <w:rsid w:val="0044616F"/>
    <w:rsid w:val="0044625A"/>
    <w:rsid w:val="004463F1"/>
    <w:rsid w:val="004466FA"/>
    <w:rsid w:val="00446D19"/>
    <w:rsid w:val="00446D45"/>
    <w:rsid w:val="0044704A"/>
    <w:rsid w:val="00447067"/>
    <w:rsid w:val="004471FB"/>
    <w:rsid w:val="004472D1"/>
    <w:rsid w:val="004473CE"/>
    <w:rsid w:val="004474CD"/>
    <w:rsid w:val="00447E1B"/>
    <w:rsid w:val="00447E99"/>
    <w:rsid w:val="00450031"/>
    <w:rsid w:val="00450266"/>
    <w:rsid w:val="004503E2"/>
    <w:rsid w:val="0045043B"/>
    <w:rsid w:val="004505F7"/>
    <w:rsid w:val="004508DD"/>
    <w:rsid w:val="00450D47"/>
    <w:rsid w:val="00451A9C"/>
    <w:rsid w:val="00451DDD"/>
    <w:rsid w:val="00451FE9"/>
    <w:rsid w:val="0045202E"/>
    <w:rsid w:val="004521CA"/>
    <w:rsid w:val="004521E1"/>
    <w:rsid w:val="004523B1"/>
    <w:rsid w:val="00452B98"/>
    <w:rsid w:val="004539A9"/>
    <w:rsid w:val="004539E0"/>
    <w:rsid w:val="00453F43"/>
    <w:rsid w:val="00454365"/>
    <w:rsid w:val="00454D6B"/>
    <w:rsid w:val="00454E8A"/>
    <w:rsid w:val="00454F03"/>
    <w:rsid w:val="00455226"/>
    <w:rsid w:val="00455809"/>
    <w:rsid w:val="00455CBD"/>
    <w:rsid w:val="00455D44"/>
    <w:rsid w:val="00456427"/>
    <w:rsid w:val="004564C7"/>
    <w:rsid w:val="0045650B"/>
    <w:rsid w:val="00456C0E"/>
    <w:rsid w:val="00456DCD"/>
    <w:rsid w:val="00456F98"/>
    <w:rsid w:val="004573A5"/>
    <w:rsid w:val="00457512"/>
    <w:rsid w:val="0045757A"/>
    <w:rsid w:val="00457627"/>
    <w:rsid w:val="00457711"/>
    <w:rsid w:val="00457AAC"/>
    <w:rsid w:val="00457DE2"/>
    <w:rsid w:val="00457F18"/>
    <w:rsid w:val="00460091"/>
    <w:rsid w:val="00460B72"/>
    <w:rsid w:val="00460B8E"/>
    <w:rsid w:val="00460B9E"/>
    <w:rsid w:val="00460DB5"/>
    <w:rsid w:val="00460F7A"/>
    <w:rsid w:val="00461028"/>
    <w:rsid w:val="0046198B"/>
    <w:rsid w:val="00461B8A"/>
    <w:rsid w:val="00461BEA"/>
    <w:rsid w:val="00461DEA"/>
    <w:rsid w:val="00461E40"/>
    <w:rsid w:val="004621B0"/>
    <w:rsid w:val="00462374"/>
    <w:rsid w:val="0046267F"/>
    <w:rsid w:val="004626F0"/>
    <w:rsid w:val="0046276E"/>
    <w:rsid w:val="004638C1"/>
    <w:rsid w:val="004639EE"/>
    <w:rsid w:val="00463B24"/>
    <w:rsid w:val="00463BE1"/>
    <w:rsid w:val="00463CE0"/>
    <w:rsid w:val="00463E5A"/>
    <w:rsid w:val="004642FC"/>
    <w:rsid w:val="0046431A"/>
    <w:rsid w:val="00464894"/>
    <w:rsid w:val="00464A76"/>
    <w:rsid w:val="00464C54"/>
    <w:rsid w:val="00464CE1"/>
    <w:rsid w:val="00464D00"/>
    <w:rsid w:val="00464ED1"/>
    <w:rsid w:val="00464F2D"/>
    <w:rsid w:val="00465108"/>
    <w:rsid w:val="004651C9"/>
    <w:rsid w:val="00465A39"/>
    <w:rsid w:val="00465AD2"/>
    <w:rsid w:val="0046647A"/>
    <w:rsid w:val="00466629"/>
    <w:rsid w:val="00466903"/>
    <w:rsid w:val="004670D7"/>
    <w:rsid w:val="0046716C"/>
    <w:rsid w:val="0046718F"/>
    <w:rsid w:val="0046738D"/>
    <w:rsid w:val="004674BE"/>
    <w:rsid w:val="0046761F"/>
    <w:rsid w:val="004676AB"/>
    <w:rsid w:val="00467842"/>
    <w:rsid w:val="00467880"/>
    <w:rsid w:val="004678E2"/>
    <w:rsid w:val="0046796E"/>
    <w:rsid w:val="004679C5"/>
    <w:rsid w:val="0047002A"/>
    <w:rsid w:val="0047052A"/>
    <w:rsid w:val="004706B3"/>
    <w:rsid w:val="00470815"/>
    <w:rsid w:val="00470FA9"/>
    <w:rsid w:val="00471226"/>
    <w:rsid w:val="004713A1"/>
    <w:rsid w:val="00471A0E"/>
    <w:rsid w:val="00471A81"/>
    <w:rsid w:val="00471BB7"/>
    <w:rsid w:val="00471C29"/>
    <w:rsid w:val="00472168"/>
    <w:rsid w:val="004721C2"/>
    <w:rsid w:val="00472407"/>
    <w:rsid w:val="0047284D"/>
    <w:rsid w:val="00472A1B"/>
    <w:rsid w:val="00472C33"/>
    <w:rsid w:val="00472D20"/>
    <w:rsid w:val="00472E8C"/>
    <w:rsid w:val="004730FE"/>
    <w:rsid w:val="00473160"/>
    <w:rsid w:val="0047335B"/>
    <w:rsid w:val="00473C74"/>
    <w:rsid w:val="00473D7B"/>
    <w:rsid w:val="00474172"/>
    <w:rsid w:val="004743F1"/>
    <w:rsid w:val="00474A96"/>
    <w:rsid w:val="00474C8D"/>
    <w:rsid w:val="0047512A"/>
    <w:rsid w:val="004751CC"/>
    <w:rsid w:val="004753DB"/>
    <w:rsid w:val="004754F6"/>
    <w:rsid w:val="0047553C"/>
    <w:rsid w:val="00475649"/>
    <w:rsid w:val="00475691"/>
    <w:rsid w:val="0047572E"/>
    <w:rsid w:val="00475DB0"/>
    <w:rsid w:val="00476147"/>
    <w:rsid w:val="00476383"/>
    <w:rsid w:val="004765D6"/>
    <w:rsid w:val="0047662B"/>
    <w:rsid w:val="0047676D"/>
    <w:rsid w:val="00476868"/>
    <w:rsid w:val="00476906"/>
    <w:rsid w:val="00476922"/>
    <w:rsid w:val="004769AF"/>
    <w:rsid w:val="00476B1C"/>
    <w:rsid w:val="00476D85"/>
    <w:rsid w:val="0047700C"/>
    <w:rsid w:val="0047723A"/>
    <w:rsid w:val="0047729B"/>
    <w:rsid w:val="004772D2"/>
    <w:rsid w:val="00477396"/>
    <w:rsid w:val="0047745B"/>
    <w:rsid w:val="004775A0"/>
    <w:rsid w:val="00477663"/>
    <w:rsid w:val="0047775D"/>
    <w:rsid w:val="0047776A"/>
    <w:rsid w:val="004777E9"/>
    <w:rsid w:val="004779C5"/>
    <w:rsid w:val="00477C7F"/>
    <w:rsid w:val="0048061E"/>
    <w:rsid w:val="004806CA"/>
    <w:rsid w:val="00480D8B"/>
    <w:rsid w:val="00480FA3"/>
    <w:rsid w:val="004810BE"/>
    <w:rsid w:val="00481755"/>
    <w:rsid w:val="004818FC"/>
    <w:rsid w:val="00481A82"/>
    <w:rsid w:val="00481DF1"/>
    <w:rsid w:val="00481F70"/>
    <w:rsid w:val="004828E8"/>
    <w:rsid w:val="00482CAA"/>
    <w:rsid w:val="00483217"/>
    <w:rsid w:val="00483256"/>
    <w:rsid w:val="0048327A"/>
    <w:rsid w:val="00483832"/>
    <w:rsid w:val="004847DC"/>
    <w:rsid w:val="00484936"/>
    <w:rsid w:val="00484D1E"/>
    <w:rsid w:val="00484D4A"/>
    <w:rsid w:val="00484E7C"/>
    <w:rsid w:val="0048505A"/>
    <w:rsid w:val="00485282"/>
    <w:rsid w:val="00485507"/>
    <w:rsid w:val="00485715"/>
    <w:rsid w:val="00485788"/>
    <w:rsid w:val="00485E40"/>
    <w:rsid w:val="00485E57"/>
    <w:rsid w:val="00485EBE"/>
    <w:rsid w:val="0048655C"/>
    <w:rsid w:val="00486A41"/>
    <w:rsid w:val="00486A45"/>
    <w:rsid w:val="004873BA"/>
    <w:rsid w:val="00487A7D"/>
    <w:rsid w:val="00487B02"/>
    <w:rsid w:val="00487F81"/>
    <w:rsid w:val="004900F3"/>
    <w:rsid w:val="00490306"/>
    <w:rsid w:val="00490425"/>
    <w:rsid w:val="00490589"/>
    <w:rsid w:val="00490980"/>
    <w:rsid w:val="00490DB1"/>
    <w:rsid w:val="00490EE7"/>
    <w:rsid w:val="00490F8A"/>
    <w:rsid w:val="004910B8"/>
    <w:rsid w:val="00491458"/>
    <w:rsid w:val="004916EF"/>
    <w:rsid w:val="00491920"/>
    <w:rsid w:val="00491AD0"/>
    <w:rsid w:val="00491EA5"/>
    <w:rsid w:val="00492203"/>
    <w:rsid w:val="00492286"/>
    <w:rsid w:val="00492386"/>
    <w:rsid w:val="004924EB"/>
    <w:rsid w:val="0049295C"/>
    <w:rsid w:val="00492AAC"/>
    <w:rsid w:val="00492ACD"/>
    <w:rsid w:val="00492C7C"/>
    <w:rsid w:val="00492DA6"/>
    <w:rsid w:val="00492F93"/>
    <w:rsid w:val="004936B9"/>
    <w:rsid w:val="004937C3"/>
    <w:rsid w:val="00493D8B"/>
    <w:rsid w:val="00493D8D"/>
    <w:rsid w:val="00494787"/>
    <w:rsid w:val="00494B2D"/>
    <w:rsid w:val="00494CA1"/>
    <w:rsid w:val="00494E1A"/>
    <w:rsid w:val="00494F30"/>
    <w:rsid w:val="004950DC"/>
    <w:rsid w:val="00495201"/>
    <w:rsid w:val="0049585C"/>
    <w:rsid w:val="0049616F"/>
    <w:rsid w:val="004963AD"/>
    <w:rsid w:val="004968B9"/>
    <w:rsid w:val="00496BD6"/>
    <w:rsid w:val="00496C20"/>
    <w:rsid w:val="00496C99"/>
    <w:rsid w:val="00496CE6"/>
    <w:rsid w:val="00496CFE"/>
    <w:rsid w:val="00496DB1"/>
    <w:rsid w:val="004970AD"/>
    <w:rsid w:val="004971C3"/>
    <w:rsid w:val="00497595"/>
    <w:rsid w:val="004975BE"/>
    <w:rsid w:val="004975E0"/>
    <w:rsid w:val="0049764F"/>
    <w:rsid w:val="00497820"/>
    <w:rsid w:val="004978B6"/>
    <w:rsid w:val="00497B1F"/>
    <w:rsid w:val="00497C7C"/>
    <w:rsid w:val="00497DAF"/>
    <w:rsid w:val="00497FA0"/>
    <w:rsid w:val="004A0096"/>
    <w:rsid w:val="004A03A8"/>
    <w:rsid w:val="004A03D8"/>
    <w:rsid w:val="004A0473"/>
    <w:rsid w:val="004A0A77"/>
    <w:rsid w:val="004A0B16"/>
    <w:rsid w:val="004A0B36"/>
    <w:rsid w:val="004A0C26"/>
    <w:rsid w:val="004A0D7F"/>
    <w:rsid w:val="004A1054"/>
    <w:rsid w:val="004A11DA"/>
    <w:rsid w:val="004A1474"/>
    <w:rsid w:val="004A152B"/>
    <w:rsid w:val="004A1DE9"/>
    <w:rsid w:val="004A1E0A"/>
    <w:rsid w:val="004A1F74"/>
    <w:rsid w:val="004A2287"/>
    <w:rsid w:val="004A2436"/>
    <w:rsid w:val="004A24AA"/>
    <w:rsid w:val="004A2B3D"/>
    <w:rsid w:val="004A2B69"/>
    <w:rsid w:val="004A2CDA"/>
    <w:rsid w:val="004A3024"/>
    <w:rsid w:val="004A32B8"/>
    <w:rsid w:val="004A33EB"/>
    <w:rsid w:val="004A3523"/>
    <w:rsid w:val="004A371E"/>
    <w:rsid w:val="004A37FD"/>
    <w:rsid w:val="004A383A"/>
    <w:rsid w:val="004A3878"/>
    <w:rsid w:val="004A3905"/>
    <w:rsid w:val="004A3B4D"/>
    <w:rsid w:val="004A3D26"/>
    <w:rsid w:val="004A3EBF"/>
    <w:rsid w:val="004A4283"/>
    <w:rsid w:val="004A4602"/>
    <w:rsid w:val="004A4A02"/>
    <w:rsid w:val="004A4A11"/>
    <w:rsid w:val="004A4AF0"/>
    <w:rsid w:val="004A5375"/>
    <w:rsid w:val="004A5BC3"/>
    <w:rsid w:val="004A5BC6"/>
    <w:rsid w:val="004A5DDF"/>
    <w:rsid w:val="004A5FF9"/>
    <w:rsid w:val="004A60F2"/>
    <w:rsid w:val="004A64DD"/>
    <w:rsid w:val="004A65CF"/>
    <w:rsid w:val="004A6748"/>
    <w:rsid w:val="004A6E64"/>
    <w:rsid w:val="004A7361"/>
    <w:rsid w:val="004A752B"/>
    <w:rsid w:val="004A75DA"/>
    <w:rsid w:val="004A7666"/>
    <w:rsid w:val="004A7CB2"/>
    <w:rsid w:val="004B0292"/>
    <w:rsid w:val="004B038E"/>
    <w:rsid w:val="004B0CAD"/>
    <w:rsid w:val="004B12B3"/>
    <w:rsid w:val="004B1334"/>
    <w:rsid w:val="004B143F"/>
    <w:rsid w:val="004B14B8"/>
    <w:rsid w:val="004B1644"/>
    <w:rsid w:val="004B1AA4"/>
    <w:rsid w:val="004B1F1F"/>
    <w:rsid w:val="004B2029"/>
    <w:rsid w:val="004B2127"/>
    <w:rsid w:val="004B228E"/>
    <w:rsid w:val="004B22B9"/>
    <w:rsid w:val="004B22ED"/>
    <w:rsid w:val="004B24FC"/>
    <w:rsid w:val="004B25AA"/>
    <w:rsid w:val="004B2645"/>
    <w:rsid w:val="004B2A4C"/>
    <w:rsid w:val="004B2D06"/>
    <w:rsid w:val="004B31B5"/>
    <w:rsid w:val="004B3D8E"/>
    <w:rsid w:val="004B3E82"/>
    <w:rsid w:val="004B4336"/>
    <w:rsid w:val="004B4BE6"/>
    <w:rsid w:val="004B4C03"/>
    <w:rsid w:val="004B53C3"/>
    <w:rsid w:val="004B5595"/>
    <w:rsid w:val="004B5642"/>
    <w:rsid w:val="004B5749"/>
    <w:rsid w:val="004B583D"/>
    <w:rsid w:val="004B585A"/>
    <w:rsid w:val="004B5C82"/>
    <w:rsid w:val="004B5DDC"/>
    <w:rsid w:val="004B5ECE"/>
    <w:rsid w:val="004B61D8"/>
    <w:rsid w:val="004B6628"/>
    <w:rsid w:val="004B6698"/>
    <w:rsid w:val="004B67B9"/>
    <w:rsid w:val="004B7476"/>
    <w:rsid w:val="004B7877"/>
    <w:rsid w:val="004B7969"/>
    <w:rsid w:val="004B7A16"/>
    <w:rsid w:val="004B7A69"/>
    <w:rsid w:val="004B7DB2"/>
    <w:rsid w:val="004B7E1A"/>
    <w:rsid w:val="004B7F5B"/>
    <w:rsid w:val="004C0223"/>
    <w:rsid w:val="004C06CC"/>
    <w:rsid w:val="004C0E1F"/>
    <w:rsid w:val="004C0F52"/>
    <w:rsid w:val="004C0F6E"/>
    <w:rsid w:val="004C0FED"/>
    <w:rsid w:val="004C10E3"/>
    <w:rsid w:val="004C1176"/>
    <w:rsid w:val="004C1579"/>
    <w:rsid w:val="004C1DB2"/>
    <w:rsid w:val="004C215E"/>
    <w:rsid w:val="004C2195"/>
    <w:rsid w:val="004C2723"/>
    <w:rsid w:val="004C275D"/>
    <w:rsid w:val="004C2D1A"/>
    <w:rsid w:val="004C2DC3"/>
    <w:rsid w:val="004C34CE"/>
    <w:rsid w:val="004C36D6"/>
    <w:rsid w:val="004C3BF7"/>
    <w:rsid w:val="004C3C06"/>
    <w:rsid w:val="004C3C8A"/>
    <w:rsid w:val="004C3D8D"/>
    <w:rsid w:val="004C41A7"/>
    <w:rsid w:val="004C44AF"/>
    <w:rsid w:val="004C4859"/>
    <w:rsid w:val="004C49CF"/>
    <w:rsid w:val="004C4A89"/>
    <w:rsid w:val="004C4E7D"/>
    <w:rsid w:val="004C5205"/>
    <w:rsid w:val="004C544F"/>
    <w:rsid w:val="004C5663"/>
    <w:rsid w:val="004C56EA"/>
    <w:rsid w:val="004C5AE9"/>
    <w:rsid w:val="004C639C"/>
    <w:rsid w:val="004C692E"/>
    <w:rsid w:val="004C6E1C"/>
    <w:rsid w:val="004C6F2F"/>
    <w:rsid w:val="004C72B1"/>
    <w:rsid w:val="004C7637"/>
    <w:rsid w:val="004C7B72"/>
    <w:rsid w:val="004C7BAE"/>
    <w:rsid w:val="004C7C2A"/>
    <w:rsid w:val="004C7E3B"/>
    <w:rsid w:val="004D01A3"/>
    <w:rsid w:val="004D027E"/>
    <w:rsid w:val="004D034C"/>
    <w:rsid w:val="004D04C8"/>
    <w:rsid w:val="004D073B"/>
    <w:rsid w:val="004D079E"/>
    <w:rsid w:val="004D0D0B"/>
    <w:rsid w:val="004D124E"/>
    <w:rsid w:val="004D12A2"/>
    <w:rsid w:val="004D1A5E"/>
    <w:rsid w:val="004D1B00"/>
    <w:rsid w:val="004D1D47"/>
    <w:rsid w:val="004D1E7F"/>
    <w:rsid w:val="004D23E5"/>
    <w:rsid w:val="004D2495"/>
    <w:rsid w:val="004D2532"/>
    <w:rsid w:val="004D2546"/>
    <w:rsid w:val="004D26F6"/>
    <w:rsid w:val="004D29A0"/>
    <w:rsid w:val="004D2D4A"/>
    <w:rsid w:val="004D3214"/>
    <w:rsid w:val="004D36F2"/>
    <w:rsid w:val="004D3927"/>
    <w:rsid w:val="004D4185"/>
    <w:rsid w:val="004D4272"/>
    <w:rsid w:val="004D47EC"/>
    <w:rsid w:val="004D4D3D"/>
    <w:rsid w:val="004D4E67"/>
    <w:rsid w:val="004D5001"/>
    <w:rsid w:val="004D5635"/>
    <w:rsid w:val="004D5D14"/>
    <w:rsid w:val="004D610F"/>
    <w:rsid w:val="004D61EA"/>
    <w:rsid w:val="004D656A"/>
    <w:rsid w:val="004D69E0"/>
    <w:rsid w:val="004D6C57"/>
    <w:rsid w:val="004D6DD2"/>
    <w:rsid w:val="004D6E15"/>
    <w:rsid w:val="004D6F30"/>
    <w:rsid w:val="004D704C"/>
    <w:rsid w:val="004D71B7"/>
    <w:rsid w:val="004D7204"/>
    <w:rsid w:val="004D75EC"/>
    <w:rsid w:val="004D76B5"/>
    <w:rsid w:val="004D76FF"/>
    <w:rsid w:val="004D7ACC"/>
    <w:rsid w:val="004D7DC1"/>
    <w:rsid w:val="004D7E22"/>
    <w:rsid w:val="004E008D"/>
    <w:rsid w:val="004E018F"/>
    <w:rsid w:val="004E01F4"/>
    <w:rsid w:val="004E02D1"/>
    <w:rsid w:val="004E03F9"/>
    <w:rsid w:val="004E04FC"/>
    <w:rsid w:val="004E076B"/>
    <w:rsid w:val="004E0BE7"/>
    <w:rsid w:val="004E0F4D"/>
    <w:rsid w:val="004E1C62"/>
    <w:rsid w:val="004E1CB5"/>
    <w:rsid w:val="004E210E"/>
    <w:rsid w:val="004E232A"/>
    <w:rsid w:val="004E283E"/>
    <w:rsid w:val="004E2B19"/>
    <w:rsid w:val="004E2CD3"/>
    <w:rsid w:val="004E300B"/>
    <w:rsid w:val="004E305D"/>
    <w:rsid w:val="004E332A"/>
    <w:rsid w:val="004E3515"/>
    <w:rsid w:val="004E3597"/>
    <w:rsid w:val="004E3E24"/>
    <w:rsid w:val="004E3E36"/>
    <w:rsid w:val="004E410D"/>
    <w:rsid w:val="004E413B"/>
    <w:rsid w:val="004E4594"/>
    <w:rsid w:val="004E45D9"/>
    <w:rsid w:val="004E4968"/>
    <w:rsid w:val="004E4A9E"/>
    <w:rsid w:val="004E4B09"/>
    <w:rsid w:val="004E586A"/>
    <w:rsid w:val="004E5A77"/>
    <w:rsid w:val="004E5B13"/>
    <w:rsid w:val="004E62A4"/>
    <w:rsid w:val="004E62F3"/>
    <w:rsid w:val="004E6316"/>
    <w:rsid w:val="004E65AB"/>
    <w:rsid w:val="004E6734"/>
    <w:rsid w:val="004E6873"/>
    <w:rsid w:val="004E724F"/>
    <w:rsid w:val="004E7504"/>
    <w:rsid w:val="004E75D3"/>
    <w:rsid w:val="004E7604"/>
    <w:rsid w:val="004E7865"/>
    <w:rsid w:val="004E7AB5"/>
    <w:rsid w:val="004E7BE0"/>
    <w:rsid w:val="004E7E25"/>
    <w:rsid w:val="004F0072"/>
    <w:rsid w:val="004F023B"/>
    <w:rsid w:val="004F0661"/>
    <w:rsid w:val="004F0B2B"/>
    <w:rsid w:val="004F0C37"/>
    <w:rsid w:val="004F0C3D"/>
    <w:rsid w:val="004F0E15"/>
    <w:rsid w:val="004F10E1"/>
    <w:rsid w:val="004F177E"/>
    <w:rsid w:val="004F19F0"/>
    <w:rsid w:val="004F1B70"/>
    <w:rsid w:val="004F1C94"/>
    <w:rsid w:val="004F2172"/>
    <w:rsid w:val="004F221D"/>
    <w:rsid w:val="004F2423"/>
    <w:rsid w:val="004F2690"/>
    <w:rsid w:val="004F2ABD"/>
    <w:rsid w:val="004F2DCF"/>
    <w:rsid w:val="004F2E2F"/>
    <w:rsid w:val="004F302D"/>
    <w:rsid w:val="004F3207"/>
    <w:rsid w:val="004F3595"/>
    <w:rsid w:val="004F3619"/>
    <w:rsid w:val="004F3C64"/>
    <w:rsid w:val="004F3D9C"/>
    <w:rsid w:val="004F4030"/>
    <w:rsid w:val="004F4730"/>
    <w:rsid w:val="004F4775"/>
    <w:rsid w:val="004F492A"/>
    <w:rsid w:val="004F4C7F"/>
    <w:rsid w:val="004F4D0A"/>
    <w:rsid w:val="004F5066"/>
    <w:rsid w:val="004F50C1"/>
    <w:rsid w:val="004F527A"/>
    <w:rsid w:val="004F56C6"/>
    <w:rsid w:val="004F5A52"/>
    <w:rsid w:val="004F68A1"/>
    <w:rsid w:val="004F703D"/>
    <w:rsid w:val="004F70C6"/>
    <w:rsid w:val="004F728F"/>
    <w:rsid w:val="004F7630"/>
    <w:rsid w:val="004F7664"/>
    <w:rsid w:val="004F782C"/>
    <w:rsid w:val="004F7C2C"/>
    <w:rsid w:val="004F7CD6"/>
    <w:rsid w:val="00500077"/>
    <w:rsid w:val="00500081"/>
    <w:rsid w:val="005003B9"/>
    <w:rsid w:val="0050077B"/>
    <w:rsid w:val="00500991"/>
    <w:rsid w:val="00500A60"/>
    <w:rsid w:val="00500C8D"/>
    <w:rsid w:val="00500D36"/>
    <w:rsid w:val="005012CA"/>
    <w:rsid w:val="005018DD"/>
    <w:rsid w:val="00501988"/>
    <w:rsid w:val="00501B36"/>
    <w:rsid w:val="00501D58"/>
    <w:rsid w:val="00501E8D"/>
    <w:rsid w:val="005022B9"/>
    <w:rsid w:val="00502401"/>
    <w:rsid w:val="0050259E"/>
    <w:rsid w:val="005025E4"/>
    <w:rsid w:val="00502714"/>
    <w:rsid w:val="00502A42"/>
    <w:rsid w:val="00502B7A"/>
    <w:rsid w:val="00502ED4"/>
    <w:rsid w:val="005031CD"/>
    <w:rsid w:val="00503252"/>
    <w:rsid w:val="00503762"/>
    <w:rsid w:val="005037C3"/>
    <w:rsid w:val="00503AE7"/>
    <w:rsid w:val="00503BB2"/>
    <w:rsid w:val="00503D58"/>
    <w:rsid w:val="0050409D"/>
    <w:rsid w:val="005042F1"/>
    <w:rsid w:val="00504945"/>
    <w:rsid w:val="00504B41"/>
    <w:rsid w:val="00504D20"/>
    <w:rsid w:val="00504E31"/>
    <w:rsid w:val="00504F5A"/>
    <w:rsid w:val="005050BD"/>
    <w:rsid w:val="005050E5"/>
    <w:rsid w:val="005055DB"/>
    <w:rsid w:val="0050572F"/>
    <w:rsid w:val="005058E1"/>
    <w:rsid w:val="00505E6F"/>
    <w:rsid w:val="005062A4"/>
    <w:rsid w:val="00506459"/>
    <w:rsid w:val="0050663E"/>
    <w:rsid w:val="00506665"/>
    <w:rsid w:val="00506696"/>
    <w:rsid w:val="005072A4"/>
    <w:rsid w:val="005073B6"/>
    <w:rsid w:val="005074A1"/>
    <w:rsid w:val="00507846"/>
    <w:rsid w:val="005079E2"/>
    <w:rsid w:val="00507B51"/>
    <w:rsid w:val="0051001A"/>
    <w:rsid w:val="0051001C"/>
    <w:rsid w:val="0051004D"/>
    <w:rsid w:val="005100FA"/>
    <w:rsid w:val="00510443"/>
    <w:rsid w:val="0051055D"/>
    <w:rsid w:val="005105B0"/>
    <w:rsid w:val="00510AC3"/>
    <w:rsid w:val="00510B8A"/>
    <w:rsid w:val="00510CC3"/>
    <w:rsid w:val="00510CD6"/>
    <w:rsid w:val="00510CE6"/>
    <w:rsid w:val="00510D27"/>
    <w:rsid w:val="00511382"/>
    <w:rsid w:val="00511795"/>
    <w:rsid w:val="00511802"/>
    <w:rsid w:val="00511BEE"/>
    <w:rsid w:val="00511D5D"/>
    <w:rsid w:val="00511E48"/>
    <w:rsid w:val="00511E6A"/>
    <w:rsid w:val="00512130"/>
    <w:rsid w:val="005121F6"/>
    <w:rsid w:val="00512297"/>
    <w:rsid w:val="0051230E"/>
    <w:rsid w:val="00512904"/>
    <w:rsid w:val="00512914"/>
    <w:rsid w:val="00512C34"/>
    <w:rsid w:val="00512CBF"/>
    <w:rsid w:val="00512E7F"/>
    <w:rsid w:val="00513088"/>
    <w:rsid w:val="00513189"/>
    <w:rsid w:val="00513688"/>
    <w:rsid w:val="00513917"/>
    <w:rsid w:val="00513B66"/>
    <w:rsid w:val="00513BEC"/>
    <w:rsid w:val="00513DD1"/>
    <w:rsid w:val="00514649"/>
    <w:rsid w:val="005147DB"/>
    <w:rsid w:val="00514DC4"/>
    <w:rsid w:val="0051507F"/>
    <w:rsid w:val="005151D4"/>
    <w:rsid w:val="0051529A"/>
    <w:rsid w:val="005153D8"/>
    <w:rsid w:val="005156F0"/>
    <w:rsid w:val="00515775"/>
    <w:rsid w:val="00515994"/>
    <w:rsid w:val="00515B3B"/>
    <w:rsid w:val="00515C4B"/>
    <w:rsid w:val="00515F75"/>
    <w:rsid w:val="0051603F"/>
    <w:rsid w:val="005160D9"/>
    <w:rsid w:val="005165B2"/>
    <w:rsid w:val="00516828"/>
    <w:rsid w:val="005168A5"/>
    <w:rsid w:val="00516919"/>
    <w:rsid w:val="00516A2B"/>
    <w:rsid w:val="00516F68"/>
    <w:rsid w:val="0051713B"/>
    <w:rsid w:val="0051732B"/>
    <w:rsid w:val="0051738D"/>
    <w:rsid w:val="005173AE"/>
    <w:rsid w:val="005177E9"/>
    <w:rsid w:val="00517901"/>
    <w:rsid w:val="00517C78"/>
    <w:rsid w:val="00517FE7"/>
    <w:rsid w:val="00520125"/>
    <w:rsid w:val="00520321"/>
    <w:rsid w:val="00520523"/>
    <w:rsid w:val="00520597"/>
    <w:rsid w:val="005206D3"/>
    <w:rsid w:val="00520C35"/>
    <w:rsid w:val="0052100B"/>
    <w:rsid w:val="0052104D"/>
    <w:rsid w:val="005210F1"/>
    <w:rsid w:val="0052138A"/>
    <w:rsid w:val="005214A0"/>
    <w:rsid w:val="005214E8"/>
    <w:rsid w:val="00521B40"/>
    <w:rsid w:val="00521C04"/>
    <w:rsid w:val="00521D09"/>
    <w:rsid w:val="00521D8D"/>
    <w:rsid w:val="00522001"/>
    <w:rsid w:val="00522370"/>
    <w:rsid w:val="005225E9"/>
    <w:rsid w:val="0052288C"/>
    <w:rsid w:val="00522C5B"/>
    <w:rsid w:val="00522CB4"/>
    <w:rsid w:val="00522F73"/>
    <w:rsid w:val="0052321C"/>
    <w:rsid w:val="00523412"/>
    <w:rsid w:val="005236CC"/>
    <w:rsid w:val="00523949"/>
    <w:rsid w:val="00523C10"/>
    <w:rsid w:val="00523EEF"/>
    <w:rsid w:val="00523F23"/>
    <w:rsid w:val="00523F2D"/>
    <w:rsid w:val="0052401B"/>
    <w:rsid w:val="00524116"/>
    <w:rsid w:val="0052434F"/>
    <w:rsid w:val="005245B6"/>
    <w:rsid w:val="00524731"/>
    <w:rsid w:val="005248D9"/>
    <w:rsid w:val="00524DB7"/>
    <w:rsid w:val="00524DC4"/>
    <w:rsid w:val="00524E53"/>
    <w:rsid w:val="00525091"/>
    <w:rsid w:val="005254EA"/>
    <w:rsid w:val="00525732"/>
    <w:rsid w:val="00525B2F"/>
    <w:rsid w:val="00525BBA"/>
    <w:rsid w:val="00525FD6"/>
    <w:rsid w:val="00526224"/>
    <w:rsid w:val="00526438"/>
    <w:rsid w:val="005264B6"/>
    <w:rsid w:val="00526916"/>
    <w:rsid w:val="00526B84"/>
    <w:rsid w:val="00526F21"/>
    <w:rsid w:val="005270C3"/>
    <w:rsid w:val="00527159"/>
    <w:rsid w:val="005271E7"/>
    <w:rsid w:val="005274A1"/>
    <w:rsid w:val="0052761B"/>
    <w:rsid w:val="00527BF7"/>
    <w:rsid w:val="00527F3B"/>
    <w:rsid w:val="00527FEE"/>
    <w:rsid w:val="00530264"/>
    <w:rsid w:val="0053034E"/>
    <w:rsid w:val="0053060B"/>
    <w:rsid w:val="0053063D"/>
    <w:rsid w:val="0053070D"/>
    <w:rsid w:val="0053098A"/>
    <w:rsid w:val="00530C42"/>
    <w:rsid w:val="00530EC2"/>
    <w:rsid w:val="00531519"/>
    <w:rsid w:val="005315D5"/>
    <w:rsid w:val="005317A5"/>
    <w:rsid w:val="00531ADD"/>
    <w:rsid w:val="00531B5C"/>
    <w:rsid w:val="00531F55"/>
    <w:rsid w:val="005320AD"/>
    <w:rsid w:val="0053224D"/>
    <w:rsid w:val="005322F2"/>
    <w:rsid w:val="0053268D"/>
    <w:rsid w:val="00532A10"/>
    <w:rsid w:val="00532D37"/>
    <w:rsid w:val="00532D3F"/>
    <w:rsid w:val="00532F79"/>
    <w:rsid w:val="005331CB"/>
    <w:rsid w:val="0053322E"/>
    <w:rsid w:val="00533407"/>
    <w:rsid w:val="005334A4"/>
    <w:rsid w:val="00533FE5"/>
    <w:rsid w:val="0053422F"/>
    <w:rsid w:val="005342E0"/>
    <w:rsid w:val="0053437C"/>
    <w:rsid w:val="005349CF"/>
    <w:rsid w:val="005349E0"/>
    <w:rsid w:val="00534A68"/>
    <w:rsid w:val="00534B79"/>
    <w:rsid w:val="00534D03"/>
    <w:rsid w:val="0053501E"/>
    <w:rsid w:val="0053508A"/>
    <w:rsid w:val="005350E3"/>
    <w:rsid w:val="00535329"/>
    <w:rsid w:val="005357EA"/>
    <w:rsid w:val="00535981"/>
    <w:rsid w:val="005359A7"/>
    <w:rsid w:val="00535AB3"/>
    <w:rsid w:val="00535DCB"/>
    <w:rsid w:val="005365E7"/>
    <w:rsid w:val="00536AFB"/>
    <w:rsid w:val="00536EDE"/>
    <w:rsid w:val="00536EF3"/>
    <w:rsid w:val="00537A84"/>
    <w:rsid w:val="00537AC3"/>
    <w:rsid w:val="005406EF"/>
    <w:rsid w:val="00540A2C"/>
    <w:rsid w:val="00540CA7"/>
    <w:rsid w:val="00540ED0"/>
    <w:rsid w:val="005411A9"/>
    <w:rsid w:val="00541887"/>
    <w:rsid w:val="00541A44"/>
    <w:rsid w:val="00541A81"/>
    <w:rsid w:val="00541D8C"/>
    <w:rsid w:val="00541F38"/>
    <w:rsid w:val="005426C1"/>
    <w:rsid w:val="00542706"/>
    <w:rsid w:val="00542794"/>
    <w:rsid w:val="0054285A"/>
    <w:rsid w:val="00542A65"/>
    <w:rsid w:val="00542E47"/>
    <w:rsid w:val="00543701"/>
    <w:rsid w:val="00543879"/>
    <w:rsid w:val="00543921"/>
    <w:rsid w:val="005441F2"/>
    <w:rsid w:val="005446FC"/>
    <w:rsid w:val="00544806"/>
    <w:rsid w:val="00544BBD"/>
    <w:rsid w:val="00544E82"/>
    <w:rsid w:val="00545529"/>
    <w:rsid w:val="00545924"/>
    <w:rsid w:val="00545B7C"/>
    <w:rsid w:val="00545B91"/>
    <w:rsid w:val="0054617D"/>
    <w:rsid w:val="00546429"/>
    <w:rsid w:val="0054644A"/>
    <w:rsid w:val="00546946"/>
    <w:rsid w:val="0054697B"/>
    <w:rsid w:val="00546C7A"/>
    <w:rsid w:val="00546DCD"/>
    <w:rsid w:val="0054755A"/>
    <w:rsid w:val="00547E6F"/>
    <w:rsid w:val="005501E4"/>
    <w:rsid w:val="00550499"/>
    <w:rsid w:val="00550645"/>
    <w:rsid w:val="00550869"/>
    <w:rsid w:val="00550B71"/>
    <w:rsid w:val="0055102F"/>
    <w:rsid w:val="00551089"/>
    <w:rsid w:val="0055112D"/>
    <w:rsid w:val="0055139D"/>
    <w:rsid w:val="0055147E"/>
    <w:rsid w:val="005514C4"/>
    <w:rsid w:val="00551928"/>
    <w:rsid w:val="00551A8E"/>
    <w:rsid w:val="00551B6D"/>
    <w:rsid w:val="00551C9F"/>
    <w:rsid w:val="005521D0"/>
    <w:rsid w:val="00552BAA"/>
    <w:rsid w:val="00552DFA"/>
    <w:rsid w:val="00553236"/>
    <w:rsid w:val="0055334D"/>
    <w:rsid w:val="00553710"/>
    <w:rsid w:val="0055395F"/>
    <w:rsid w:val="005539E4"/>
    <w:rsid w:val="00553CF6"/>
    <w:rsid w:val="00553F0C"/>
    <w:rsid w:val="0055450B"/>
    <w:rsid w:val="005545ED"/>
    <w:rsid w:val="0055462B"/>
    <w:rsid w:val="0055489E"/>
    <w:rsid w:val="00554BD5"/>
    <w:rsid w:val="005552FA"/>
    <w:rsid w:val="005555E1"/>
    <w:rsid w:val="005556D1"/>
    <w:rsid w:val="005558D5"/>
    <w:rsid w:val="00555B9E"/>
    <w:rsid w:val="00555D2B"/>
    <w:rsid w:val="0055615D"/>
    <w:rsid w:val="0055626A"/>
    <w:rsid w:val="00556579"/>
    <w:rsid w:val="005565CE"/>
    <w:rsid w:val="0055660D"/>
    <w:rsid w:val="005567CB"/>
    <w:rsid w:val="00556874"/>
    <w:rsid w:val="0055689A"/>
    <w:rsid w:val="00556942"/>
    <w:rsid w:val="00556AD7"/>
    <w:rsid w:val="00556C1B"/>
    <w:rsid w:val="00556E51"/>
    <w:rsid w:val="005571EE"/>
    <w:rsid w:val="00557BCD"/>
    <w:rsid w:val="00557D17"/>
    <w:rsid w:val="005600E3"/>
    <w:rsid w:val="00560114"/>
    <w:rsid w:val="00560389"/>
    <w:rsid w:val="005604C9"/>
    <w:rsid w:val="005607E7"/>
    <w:rsid w:val="00560852"/>
    <w:rsid w:val="00560929"/>
    <w:rsid w:val="00560AAC"/>
    <w:rsid w:val="005612FF"/>
    <w:rsid w:val="005614BF"/>
    <w:rsid w:val="0056174E"/>
    <w:rsid w:val="0056177D"/>
    <w:rsid w:val="00561973"/>
    <w:rsid w:val="005619CD"/>
    <w:rsid w:val="005619D3"/>
    <w:rsid w:val="00561C27"/>
    <w:rsid w:val="00561DBE"/>
    <w:rsid w:val="005626D0"/>
    <w:rsid w:val="0056296A"/>
    <w:rsid w:val="00562B3B"/>
    <w:rsid w:val="00562EFA"/>
    <w:rsid w:val="00563DC9"/>
    <w:rsid w:val="00563F05"/>
    <w:rsid w:val="00564356"/>
    <w:rsid w:val="005649C1"/>
    <w:rsid w:val="00564C18"/>
    <w:rsid w:val="005651C8"/>
    <w:rsid w:val="005652C4"/>
    <w:rsid w:val="005652CB"/>
    <w:rsid w:val="0056538F"/>
    <w:rsid w:val="0056547B"/>
    <w:rsid w:val="005654A8"/>
    <w:rsid w:val="00565791"/>
    <w:rsid w:val="00565795"/>
    <w:rsid w:val="0056585F"/>
    <w:rsid w:val="00565A60"/>
    <w:rsid w:val="00565C1F"/>
    <w:rsid w:val="00565F7E"/>
    <w:rsid w:val="00565FD4"/>
    <w:rsid w:val="00566B67"/>
    <w:rsid w:val="00566D4F"/>
    <w:rsid w:val="00566DB4"/>
    <w:rsid w:val="00566E73"/>
    <w:rsid w:val="00567121"/>
    <w:rsid w:val="00567138"/>
    <w:rsid w:val="0056725D"/>
    <w:rsid w:val="005673CB"/>
    <w:rsid w:val="005675E9"/>
    <w:rsid w:val="00567E60"/>
    <w:rsid w:val="00570276"/>
    <w:rsid w:val="00570501"/>
    <w:rsid w:val="0057067E"/>
    <w:rsid w:val="005707DD"/>
    <w:rsid w:val="0057092A"/>
    <w:rsid w:val="00570A3D"/>
    <w:rsid w:val="00570BED"/>
    <w:rsid w:val="0057150F"/>
    <w:rsid w:val="005716F7"/>
    <w:rsid w:val="00571E91"/>
    <w:rsid w:val="00571FBA"/>
    <w:rsid w:val="005723D3"/>
    <w:rsid w:val="005727B3"/>
    <w:rsid w:val="00572B22"/>
    <w:rsid w:val="00572F6E"/>
    <w:rsid w:val="0057307D"/>
    <w:rsid w:val="0057331F"/>
    <w:rsid w:val="00573728"/>
    <w:rsid w:val="00573B8C"/>
    <w:rsid w:val="00573C0A"/>
    <w:rsid w:val="00573EB1"/>
    <w:rsid w:val="005748C0"/>
    <w:rsid w:val="00574949"/>
    <w:rsid w:val="00574A31"/>
    <w:rsid w:val="00574BB2"/>
    <w:rsid w:val="00574C55"/>
    <w:rsid w:val="00574E57"/>
    <w:rsid w:val="00574E5E"/>
    <w:rsid w:val="005751E3"/>
    <w:rsid w:val="005754D4"/>
    <w:rsid w:val="0057585D"/>
    <w:rsid w:val="00575900"/>
    <w:rsid w:val="00575C7E"/>
    <w:rsid w:val="00575DE5"/>
    <w:rsid w:val="00575F4B"/>
    <w:rsid w:val="00576133"/>
    <w:rsid w:val="005761A6"/>
    <w:rsid w:val="0057668A"/>
    <w:rsid w:val="0057689A"/>
    <w:rsid w:val="00576DAF"/>
    <w:rsid w:val="0057713A"/>
    <w:rsid w:val="0057713C"/>
    <w:rsid w:val="0057718C"/>
    <w:rsid w:val="00577485"/>
    <w:rsid w:val="0057790C"/>
    <w:rsid w:val="005779A9"/>
    <w:rsid w:val="00577B7D"/>
    <w:rsid w:val="00577F88"/>
    <w:rsid w:val="005800C8"/>
    <w:rsid w:val="005804BB"/>
    <w:rsid w:val="0058088C"/>
    <w:rsid w:val="00580AE4"/>
    <w:rsid w:val="00580B64"/>
    <w:rsid w:val="00580C92"/>
    <w:rsid w:val="00580CB8"/>
    <w:rsid w:val="00580D6A"/>
    <w:rsid w:val="00580E99"/>
    <w:rsid w:val="005811CE"/>
    <w:rsid w:val="005813E2"/>
    <w:rsid w:val="0058164B"/>
    <w:rsid w:val="005816C7"/>
    <w:rsid w:val="0058175C"/>
    <w:rsid w:val="00581B5C"/>
    <w:rsid w:val="00581BAB"/>
    <w:rsid w:val="00581DEF"/>
    <w:rsid w:val="00581FD5"/>
    <w:rsid w:val="00582369"/>
    <w:rsid w:val="0058262C"/>
    <w:rsid w:val="005828CD"/>
    <w:rsid w:val="00583004"/>
    <w:rsid w:val="0058305E"/>
    <w:rsid w:val="00583500"/>
    <w:rsid w:val="005838E1"/>
    <w:rsid w:val="00583BE7"/>
    <w:rsid w:val="00583E03"/>
    <w:rsid w:val="00583E07"/>
    <w:rsid w:val="00584304"/>
    <w:rsid w:val="005843AA"/>
    <w:rsid w:val="005847FD"/>
    <w:rsid w:val="00584BB1"/>
    <w:rsid w:val="00584CE8"/>
    <w:rsid w:val="00584FEE"/>
    <w:rsid w:val="0058566D"/>
    <w:rsid w:val="00585804"/>
    <w:rsid w:val="00585A3F"/>
    <w:rsid w:val="00585B84"/>
    <w:rsid w:val="005860F3"/>
    <w:rsid w:val="00586470"/>
    <w:rsid w:val="00586755"/>
    <w:rsid w:val="00586910"/>
    <w:rsid w:val="00586D8B"/>
    <w:rsid w:val="00586EAC"/>
    <w:rsid w:val="00587159"/>
    <w:rsid w:val="00587858"/>
    <w:rsid w:val="00587865"/>
    <w:rsid w:val="0058789D"/>
    <w:rsid w:val="00587C77"/>
    <w:rsid w:val="00587CDB"/>
    <w:rsid w:val="00590217"/>
    <w:rsid w:val="005906DD"/>
    <w:rsid w:val="00590ADE"/>
    <w:rsid w:val="00590BEC"/>
    <w:rsid w:val="00590C2D"/>
    <w:rsid w:val="00590EBD"/>
    <w:rsid w:val="00591019"/>
    <w:rsid w:val="00591100"/>
    <w:rsid w:val="005911E2"/>
    <w:rsid w:val="0059123F"/>
    <w:rsid w:val="0059185A"/>
    <w:rsid w:val="00591B5B"/>
    <w:rsid w:val="00591B79"/>
    <w:rsid w:val="00591B94"/>
    <w:rsid w:val="005923B1"/>
    <w:rsid w:val="005925B2"/>
    <w:rsid w:val="00592EF4"/>
    <w:rsid w:val="00592F22"/>
    <w:rsid w:val="005932DD"/>
    <w:rsid w:val="005934BF"/>
    <w:rsid w:val="005936B9"/>
    <w:rsid w:val="00593953"/>
    <w:rsid w:val="00593BE8"/>
    <w:rsid w:val="0059407A"/>
    <w:rsid w:val="0059476B"/>
    <w:rsid w:val="00594CE3"/>
    <w:rsid w:val="00595628"/>
    <w:rsid w:val="00595CBC"/>
    <w:rsid w:val="005968D9"/>
    <w:rsid w:val="00596D02"/>
    <w:rsid w:val="00596F55"/>
    <w:rsid w:val="00596FF3"/>
    <w:rsid w:val="00596FF4"/>
    <w:rsid w:val="005971E8"/>
    <w:rsid w:val="00597354"/>
    <w:rsid w:val="00597473"/>
    <w:rsid w:val="0059761D"/>
    <w:rsid w:val="00597957"/>
    <w:rsid w:val="00597F81"/>
    <w:rsid w:val="005A0104"/>
    <w:rsid w:val="005A01B9"/>
    <w:rsid w:val="005A02FE"/>
    <w:rsid w:val="005A0492"/>
    <w:rsid w:val="005A0496"/>
    <w:rsid w:val="005A06DF"/>
    <w:rsid w:val="005A0725"/>
    <w:rsid w:val="005A0903"/>
    <w:rsid w:val="005A0D87"/>
    <w:rsid w:val="005A0EAE"/>
    <w:rsid w:val="005A1077"/>
    <w:rsid w:val="005A1453"/>
    <w:rsid w:val="005A1491"/>
    <w:rsid w:val="005A16A9"/>
    <w:rsid w:val="005A1729"/>
    <w:rsid w:val="005A1B4C"/>
    <w:rsid w:val="005A1B9C"/>
    <w:rsid w:val="005A22B3"/>
    <w:rsid w:val="005A26A2"/>
    <w:rsid w:val="005A29D0"/>
    <w:rsid w:val="005A2A1C"/>
    <w:rsid w:val="005A3028"/>
    <w:rsid w:val="005A3212"/>
    <w:rsid w:val="005A3734"/>
    <w:rsid w:val="005A3AE9"/>
    <w:rsid w:val="005A40FA"/>
    <w:rsid w:val="005A42C6"/>
    <w:rsid w:val="005A43DC"/>
    <w:rsid w:val="005A45C3"/>
    <w:rsid w:val="005A461F"/>
    <w:rsid w:val="005A4857"/>
    <w:rsid w:val="005A4876"/>
    <w:rsid w:val="005A4A2F"/>
    <w:rsid w:val="005A4A57"/>
    <w:rsid w:val="005A4A82"/>
    <w:rsid w:val="005A4AD8"/>
    <w:rsid w:val="005A4DAF"/>
    <w:rsid w:val="005A5224"/>
    <w:rsid w:val="005A55AF"/>
    <w:rsid w:val="005A5C55"/>
    <w:rsid w:val="005A5F4B"/>
    <w:rsid w:val="005A6006"/>
    <w:rsid w:val="005A63F2"/>
    <w:rsid w:val="005A6786"/>
    <w:rsid w:val="005A69FF"/>
    <w:rsid w:val="005A6B27"/>
    <w:rsid w:val="005A700F"/>
    <w:rsid w:val="005A71F8"/>
    <w:rsid w:val="005A73E4"/>
    <w:rsid w:val="005A748F"/>
    <w:rsid w:val="005A79D4"/>
    <w:rsid w:val="005A7F3A"/>
    <w:rsid w:val="005B027E"/>
    <w:rsid w:val="005B02FC"/>
    <w:rsid w:val="005B043B"/>
    <w:rsid w:val="005B04E0"/>
    <w:rsid w:val="005B0BB2"/>
    <w:rsid w:val="005B0D95"/>
    <w:rsid w:val="005B0DC6"/>
    <w:rsid w:val="005B102D"/>
    <w:rsid w:val="005B1454"/>
    <w:rsid w:val="005B1629"/>
    <w:rsid w:val="005B1B34"/>
    <w:rsid w:val="005B1BED"/>
    <w:rsid w:val="005B1D31"/>
    <w:rsid w:val="005B1DEB"/>
    <w:rsid w:val="005B1EB7"/>
    <w:rsid w:val="005B2175"/>
    <w:rsid w:val="005B27EC"/>
    <w:rsid w:val="005B2835"/>
    <w:rsid w:val="005B28C3"/>
    <w:rsid w:val="005B2AA2"/>
    <w:rsid w:val="005B3587"/>
    <w:rsid w:val="005B3DCC"/>
    <w:rsid w:val="005B42BA"/>
    <w:rsid w:val="005B43FC"/>
    <w:rsid w:val="005B4507"/>
    <w:rsid w:val="005B46A0"/>
    <w:rsid w:val="005B4B65"/>
    <w:rsid w:val="005B4B95"/>
    <w:rsid w:val="005B4BDD"/>
    <w:rsid w:val="005B4F95"/>
    <w:rsid w:val="005B5068"/>
    <w:rsid w:val="005B50ED"/>
    <w:rsid w:val="005B5A8D"/>
    <w:rsid w:val="005B5AA9"/>
    <w:rsid w:val="005B5B02"/>
    <w:rsid w:val="005B5BFD"/>
    <w:rsid w:val="005B6B6E"/>
    <w:rsid w:val="005B6D27"/>
    <w:rsid w:val="005B6D4C"/>
    <w:rsid w:val="005B6F64"/>
    <w:rsid w:val="005B717C"/>
    <w:rsid w:val="005B75C6"/>
    <w:rsid w:val="005B75DC"/>
    <w:rsid w:val="005B7953"/>
    <w:rsid w:val="005B7BFC"/>
    <w:rsid w:val="005B7C91"/>
    <w:rsid w:val="005C0764"/>
    <w:rsid w:val="005C14A2"/>
    <w:rsid w:val="005C16D6"/>
    <w:rsid w:val="005C1D00"/>
    <w:rsid w:val="005C1EA5"/>
    <w:rsid w:val="005C245E"/>
    <w:rsid w:val="005C286E"/>
    <w:rsid w:val="005C28F1"/>
    <w:rsid w:val="005C2A84"/>
    <w:rsid w:val="005C2E1A"/>
    <w:rsid w:val="005C3860"/>
    <w:rsid w:val="005C42E7"/>
    <w:rsid w:val="005C4994"/>
    <w:rsid w:val="005C5165"/>
    <w:rsid w:val="005C54A8"/>
    <w:rsid w:val="005C58D5"/>
    <w:rsid w:val="005C591A"/>
    <w:rsid w:val="005C6088"/>
    <w:rsid w:val="005C622A"/>
    <w:rsid w:val="005C633F"/>
    <w:rsid w:val="005C65C9"/>
    <w:rsid w:val="005C6C55"/>
    <w:rsid w:val="005C6DF6"/>
    <w:rsid w:val="005C713B"/>
    <w:rsid w:val="005C71F7"/>
    <w:rsid w:val="005C7486"/>
    <w:rsid w:val="005C7804"/>
    <w:rsid w:val="005C795A"/>
    <w:rsid w:val="005C7AB5"/>
    <w:rsid w:val="005C7FEA"/>
    <w:rsid w:val="005D009D"/>
    <w:rsid w:val="005D03EC"/>
    <w:rsid w:val="005D0485"/>
    <w:rsid w:val="005D059F"/>
    <w:rsid w:val="005D0C71"/>
    <w:rsid w:val="005D0ED6"/>
    <w:rsid w:val="005D0F57"/>
    <w:rsid w:val="005D118E"/>
    <w:rsid w:val="005D126C"/>
    <w:rsid w:val="005D18D7"/>
    <w:rsid w:val="005D204F"/>
    <w:rsid w:val="005D211E"/>
    <w:rsid w:val="005D2383"/>
    <w:rsid w:val="005D2393"/>
    <w:rsid w:val="005D242C"/>
    <w:rsid w:val="005D272A"/>
    <w:rsid w:val="005D29C4"/>
    <w:rsid w:val="005D2A79"/>
    <w:rsid w:val="005D2BAD"/>
    <w:rsid w:val="005D2F03"/>
    <w:rsid w:val="005D306E"/>
    <w:rsid w:val="005D3944"/>
    <w:rsid w:val="005D3CD6"/>
    <w:rsid w:val="005D3E72"/>
    <w:rsid w:val="005D3FEC"/>
    <w:rsid w:val="005D44AF"/>
    <w:rsid w:val="005D4980"/>
    <w:rsid w:val="005D4A54"/>
    <w:rsid w:val="005D4AF5"/>
    <w:rsid w:val="005D4C85"/>
    <w:rsid w:val="005D4DF3"/>
    <w:rsid w:val="005D52B9"/>
    <w:rsid w:val="005D52C3"/>
    <w:rsid w:val="005D52EC"/>
    <w:rsid w:val="005D5379"/>
    <w:rsid w:val="005D55CB"/>
    <w:rsid w:val="005D57F2"/>
    <w:rsid w:val="005D59FF"/>
    <w:rsid w:val="005D5CB8"/>
    <w:rsid w:val="005D60A9"/>
    <w:rsid w:val="005D624C"/>
    <w:rsid w:val="005D6E7A"/>
    <w:rsid w:val="005D6E96"/>
    <w:rsid w:val="005D6EE1"/>
    <w:rsid w:val="005D6FD2"/>
    <w:rsid w:val="005D707B"/>
    <w:rsid w:val="005D721B"/>
    <w:rsid w:val="005D7420"/>
    <w:rsid w:val="005D7570"/>
    <w:rsid w:val="005D7B09"/>
    <w:rsid w:val="005D7F29"/>
    <w:rsid w:val="005D7F72"/>
    <w:rsid w:val="005E00DF"/>
    <w:rsid w:val="005E03D9"/>
    <w:rsid w:val="005E0A89"/>
    <w:rsid w:val="005E0FF2"/>
    <w:rsid w:val="005E11F3"/>
    <w:rsid w:val="005E1298"/>
    <w:rsid w:val="005E13D6"/>
    <w:rsid w:val="005E1E26"/>
    <w:rsid w:val="005E2976"/>
    <w:rsid w:val="005E2A04"/>
    <w:rsid w:val="005E2A31"/>
    <w:rsid w:val="005E2BEF"/>
    <w:rsid w:val="005E2C20"/>
    <w:rsid w:val="005E2D47"/>
    <w:rsid w:val="005E310A"/>
    <w:rsid w:val="005E3180"/>
    <w:rsid w:val="005E3493"/>
    <w:rsid w:val="005E388E"/>
    <w:rsid w:val="005E3B59"/>
    <w:rsid w:val="005E3D0E"/>
    <w:rsid w:val="005E3F5A"/>
    <w:rsid w:val="005E4451"/>
    <w:rsid w:val="005E4812"/>
    <w:rsid w:val="005E48BB"/>
    <w:rsid w:val="005E49B5"/>
    <w:rsid w:val="005E4A6D"/>
    <w:rsid w:val="005E4B88"/>
    <w:rsid w:val="005E4DA6"/>
    <w:rsid w:val="005E4DD8"/>
    <w:rsid w:val="005E5081"/>
    <w:rsid w:val="005E5373"/>
    <w:rsid w:val="005E53FF"/>
    <w:rsid w:val="005E5468"/>
    <w:rsid w:val="005E5613"/>
    <w:rsid w:val="005E60D9"/>
    <w:rsid w:val="005E64FD"/>
    <w:rsid w:val="005E65EA"/>
    <w:rsid w:val="005E6870"/>
    <w:rsid w:val="005E68D9"/>
    <w:rsid w:val="005E6E7B"/>
    <w:rsid w:val="005E6F85"/>
    <w:rsid w:val="005E737C"/>
    <w:rsid w:val="005E754B"/>
    <w:rsid w:val="005E75CF"/>
    <w:rsid w:val="005E769E"/>
    <w:rsid w:val="005E7903"/>
    <w:rsid w:val="005E7B19"/>
    <w:rsid w:val="005E7CBA"/>
    <w:rsid w:val="005E7D28"/>
    <w:rsid w:val="005E7F1B"/>
    <w:rsid w:val="005E7FC2"/>
    <w:rsid w:val="005F004D"/>
    <w:rsid w:val="005F06E0"/>
    <w:rsid w:val="005F0ACB"/>
    <w:rsid w:val="005F0B57"/>
    <w:rsid w:val="005F101F"/>
    <w:rsid w:val="005F1300"/>
    <w:rsid w:val="005F130D"/>
    <w:rsid w:val="005F14BA"/>
    <w:rsid w:val="005F158B"/>
    <w:rsid w:val="005F163A"/>
    <w:rsid w:val="005F19FF"/>
    <w:rsid w:val="005F1C3F"/>
    <w:rsid w:val="005F1D9C"/>
    <w:rsid w:val="005F2377"/>
    <w:rsid w:val="005F23F8"/>
    <w:rsid w:val="005F24F7"/>
    <w:rsid w:val="005F26C6"/>
    <w:rsid w:val="005F2978"/>
    <w:rsid w:val="005F353B"/>
    <w:rsid w:val="005F38FB"/>
    <w:rsid w:val="005F3AE5"/>
    <w:rsid w:val="005F3CE1"/>
    <w:rsid w:val="005F3E72"/>
    <w:rsid w:val="005F4304"/>
    <w:rsid w:val="005F45EB"/>
    <w:rsid w:val="005F4DB3"/>
    <w:rsid w:val="005F4E93"/>
    <w:rsid w:val="005F5142"/>
    <w:rsid w:val="005F52C4"/>
    <w:rsid w:val="005F54D4"/>
    <w:rsid w:val="005F6407"/>
    <w:rsid w:val="005F6611"/>
    <w:rsid w:val="005F6749"/>
    <w:rsid w:val="005F6F60"/>
    <w:rsid w:val="005F7179"/>
    <w:rsid w:val="005F7C78"/>
    <w:rsid w:val="005F7D19"/>
    <w:rsid w:val="005F7E3C"/>
    <w:rsid w:val="00600421"/>
    <w:rsid w:val="00600A1E"/>
    <w:rsid w:val="00601296"/>
    <w:rsid w:val="00601623"/>
    <w:rsid w:val="00601CE5"/>
    <w:rsid w:val="00601D72"/>
    <w:rsid w:val="00601DCD"/>
    <w:rsid w:val="00601E99"/>
    <w:rsid w:val="006027AC"/>
    <w:rsid w:val="00602C71"/>
    <w:rsid w:val="00602C80"/>
    <w:rsid w:val="00602D2D"/>
    <w:rsid w:val="006030EA"/>
    <w:rsid w:val="006032C7"/>
    <w:rsid w:val="006032EA"/>
    <w:rsid w:val="0060339C"/>
    <w:rsid w:val="006037B6"/>
    <w:rsid w:val="00603F3B"/>
    <w:rsid w:val="00603F65"/>
    <w:rsid w:val="0060411E"/>
    <w:rsid w:val="00604578"/>
    <w:rsid w:val="00604916"/>
    <w:rsid w:val="00604D1C"/>
    <w:rsid w:val="0060517E"/>
    <w:rsid w:val="0060524D"/>
    <w:rsid w:val="00605420"/>
    <w:rsid w:val="00605591"/>
    <w:rsid w:val="00605A7A"/>
    <w:rsid w:val="00605B99"/>
    <w:rsid w:val="00605B9C"/>
    <w:rsid w:val="00606097"/>
    <w:rsid w:val="0060643C"/>
    <w:rsid w:val="006064DC"/>
    <w:rsid w:val="00606FFA"/>
    <w:rsid w:val="00607052"/>
    <w:rsid w:val="0060756E"/>
    <w:rsid w:val="006075C5"/>
    <w:rsid w:val="006077F5"/>
    <w:rsid w:val="00607A5D"/>
    <w:rsid w:val="00607D50"/>
    <w:rsid w:val="00607DD7"/>
    <w:rsid w:val="00610133"/>
    <w:rsid w:val="00610158"/>
    <w:rsid w:val="0061026D"/>
    <w:rsid w:val="0061036C"/>
    <w:rsid w:val="00610469"/>
    <w:rsid w:val="00610566"/>
    <w:rsid w:val="006107D3"/>
    <w:rsid w:val="00610942"/>
    <w:rsid w:val="00610C94"/>
    <w:rsid w:val="00610E7A"/>
    <w:rsid w:val="0061160B"/>
    <w:rsid w:val="0061182B"/>
    <w:rsid w:val="006118FD"/>
    <w:rsid w:val="00612340"/>
    <w:rsid w:val="006123DB"/>
    <w:rsid w:val="006125D1"/>
    <w:rsid w:val="006126A9"/>
    <w:rsid w:val="006126BF"/>
    <w:rsid w:val="0061290F"/>
    <w:rsid w:val="00612EA2"/>
    <w:rsid w:val="00612EE8"/>
    <w:rsid w:val="0061334F"/>
    <w:rsid w:val="006135AC"/>
    <w:rsid w:val="00613EEE"/>
    <w:rsid w:val="00613F36"/>
    <w:rsid w:val="00613F3F"/>
    <w:rsid w:val="006142B7"/>
    <w:rsid w:val="006142F1"/>
    <w:rsid w:val="006143DA"/>
    <w:rsid w:val="00614406"/>
    <w:rsid w:val="00614527"/>
    <w:rsid w:val="00615313"/>
    <w:rsid w:val="00615835"/>
    <w:rsid w:val="00615912"/>
    <w:rsid w:val="00615C77"/>
    <w:rsid w:val="00615EB8"/>
    <w:rsid w:val="00615ED9"/>
    <w:rsid w:val="006160E1"/>
    <w:rsid w:val="0061668D"/>
    <w:rsid w:val="006169C7"/>
    <w:rsid w:val="00616C0A"/>
    <w:rsid w:val="00616D95"/>
    <w:rsid w:val="0061704F"/>
    <w:rsid w:val="006174A6"/>
    <w:rsid w:val="0061763D"/>
    <w:rsid w:val="006178BC"/>
    <w:rsid w:val="006178EA"/>
    <w:rsid w:val="00617916"/>
    <w:rsid w:val="00617961"/>
    <w:rsid w:val="00617A59"/>
    <w:rsid w:val="00617CD4"/>
    <w:rsid w:val="00617EB2"/>
    <w:rsid w:val="00620484"/>
    <w:rsid w:val="006205DC"/>
    <w:rsid w:val="0062084E"/>
    <w:rsid w:val="00620B6A"/>
    <w:rsid w:val="00621082"/>
    <w:rsid w:val="0062147C"/>
    <w:rsid w:val="00621598"/>
    <w:rsid w:val="00621BCF"/>
    <w:rsid w:val="00621D57"/>
    <w:rsid w:val="00621DB6"/>
    <w:rsid w:val="0062209C"/>
    <w:rsid w:val="006225F4"/>
    <w:rsid w:val="006228E0"/>
    <w:rsid w:val="00622997"/>
    <w:rsid w:val="00622CF3"/>
    <w:rsid w:val="0062331C"/>
    <w:rsid w:val="006240BE"/>
    <w:rsid w:val="0062435C"/>
    <w:rsid w:val="006243D2"/>
    <w:rsid w:val="00624B41"/>
    <w:rsid w:val="00624BEE"/>
    <w:rsid w:val="00624E5D"/>
    <w:rsid w:val="00624ED3"/>
    <w:rsid w:val="0062509E"/>
    <w:rsid w:val="006250DC"/>
    <w:rsid w:val="00625163"/>
    <w:rsid w:val="00625652"/>
    <w:rsid w:val="006258F5"/>
    <w:rsid w:val="00625E49"/>
    <w:rsid w:val="00625EF2"/>
    <w:rsid w:val="00626476"/>
    <w:rsid w:val="00626599"/>
    <w:rsid w:val="006265EF"/>
    <w:rsid w:val="0062688D"/>
    <w:rsid w:val="006268A7"/>
    <w:rsid w:val="00626947"/>
    <w:rsid w:val="00626A3D"/>
    <w:rsid w:val="00626E9E"/>
    <w:rsid w:val="00626EE1"/>
    <w:rsid w:val="00626EFD"/>
    <w:rsid w:val="006273AD"/>
    <w:rsid w:val="00627555"/>
    <w:rsid w:val="0062761B"/>
    <w:rsid w:val="00627642"/>
    <w:rsid w:val="006276BA"/>
    <w:rsid w:val="006277AC"/>
    <w:rsid w:val="00627A89"/>
    <w:rsid w:val="00627D8E"/>
    <w:rsid w:val="0063006B"/>
    <w:rsid w:val="0063008B"/>
    <w:rsid w:val="00630100"/>
    <w:rsid w:val="006303FA"/>
    <w:rsid w:val="0063062F"/>
    <w:rsid w:val="006308FA"/>
    <w:rsid w:val="006313D2"/>
    <w:rsid w:val="00631B5D"/>
    <w:rsid w:val="00632115"/>
    <w:rsid w:val="0063215C"/>
    <w:rsid w:val="006322C9"/>
    <w:rsid w:val="006326F1"/>
    <w:rsid w:val="00632877"/>
    <w:rsid w:val="00632A52"/>
    <w:rsid w:val="00632AC0"/>
    <w:rsid w:val="006330BB"/>
    <w:rsid w:val="006332FA"/>
    <w:rsid w:val="006334DB"/>
    <w:rsid w:val="00633AB3"/>
    <w:rsid w:val="00633DBB"/>
    <w:rsid w:val="00633E89"/>
    <w:rsid w:val="0063409C"/>
    <w:rsid w:val="00634286"/>
    <w:rsid w:val="0063437F"/>
    <w:rsid w:val="006346E7"/>
    <w:rsid w:val="00634710"/>
    <w:rsid w:val="006347AF"/>
    <w:rsid w:val="0063488A"/>
    <w:rsid w:val="006348F2"/>
    <w:rsid w:val="006349C1"/>
    <w:rsid w:val="00634C02"/>
    <w:rsid w:val="00634C05"/>
    <w:rsid w:val="00634EE7"/>
    <w:rsid w:val="00634FFB"/>
    <w:rsid w:val="006351F0"/>
    <w:rsid w:val="0063589D"/>
    <w:rsid w:val="00635FDF"/>
    <w:rsid w:val="0063633F"/>
    <w:rsid w:val="00636691"/>
    <w:rsid w:val="0063690A"/>
    <w:rsid w:val="00636A08"/>
    <w:rsid w:val="00636FA4"/>
    <w:rsid w:val="00636FFC"/>
    <w:rsid w:val="0063715F"/>
    <w:rsid w:val="00637433"/>
    <w:rsid w:val="00637A08"/>
    <w:rsid w:val="00637A0A"/>
    <w:rsid w:val="00637E1A"/>
    <w:rsid w:val="0064065B"/>
    <w:rsid w:val="00640795"/>
    <w:rsid w:val="0064090A"/>
    <w:rsid w:val="00640AEB"/>
    <w:rsid w:val="00641159"/>
    <w:rsid w:val="00641257"/>
    <w:rsid w:val="006413A1"/>
    <w:rsid w:val="00641682"/>
    <w:rsid w:val="006416F8"/>
    <w:rsid w:val="0064186F"/>
    <w:rsid w:val="00641C93"/>
    <w:rsid w:val="00641DE0"/>
    <w:rsid w:val="0064261A"/>
    <w:rsid w:val="006427CE"/>
    <w:rsid w:val="00642A03"/>
    <w:rsid w:val="00642BB6"/>
    <w:rsid w:val="00642F00"/>
    <w:rsid w:val="00643122"/>
    <w:rsid w:val="006431C3"/>
    <w:rsid w:val="0064323B"/>
    <w:rsid w:val="006435BD"/>
    <w:rsid w:val="00643669"/>
    <w:rsid w:val="00643D76"/>
    <w:rsid w:val="00644021"/>
    <w:rsid w:val="00644113"/>
    <w:rsid w:val="0064412D"/>
    <w:rsid w:val="00644229"/>
    <w:rsid w:val="0064422B"/>
    <w:rsid w:val="006443DF"/>
    <w:rsid w:val="00644B94"/>
    <w:rsid w:val="00644B9C"/>
    <w:rsid w:val="00644CEE"/>
    <w:rsid w:val="00644E6C"/>
    <w:rsid w:val="00644EAD"/>
    <w:rsid w:val="006450FD"/>
    <w:rsid w:val="0064543D"/>
    <w:rsid w:val="006457B0"/>
    <w:rsid w:val="0064594F"/>
    <w:rsid w:val="00645A67"/>
    <w:rsid w:val="00645BD2"/>
    <w:rsid w:val="00645F90"/>
    <w:rsid w:val="006460A2"/>
    <w:rsid w:val="0064612A"/>
    <w:rsid w:val="00646146"/>
    <w:rsid w:val="00646608"/>
    <w:rsid w:val="006466FD"/>
    <w:rsid w:val="00646807"/>
    <w:rsid w:val="00646914"/>
    <w:rsid w:val="00646C2F"/>
    <w:rsid w:val="00646FC3"/>
    <w:rsid w:val="0064794A"/>
    <w:rsid w:val="00647F97"/>
    <w:rsid w:val="00647FBF"/>
    <w:rsid w:val="006500A8"/>
    <w:rsid w:val="00650148"/>
    <w:rsid w:val="006501F3"/>
    <w:rsid w:val="0065046F"/>
    <w:rsid w:val="006505CA"/>
    <w:rsid w:val="006508F9"/>
    <w:rsid w:val="00650FD1"/>
    <w:rsid w:val="006514E0"/>
    <w:rsid w:val="00651546"/>
    <w:rsid w:val="006520F6"/>
    <w:rsid w:val="006526B0"/>
    <w:rsid w:val="006527B4"/>
    <w:rsid w:val="00652A89"/>
    <w:rsid w:val="00652AF6"/>
    <w:rsid w:val="00652D29"/>
    <w:rsid w:val="00653276"/>
    <w:rsid w:val="006534C1"/>
    <w:rsid w:val="00653674"/>
    <w:rsid w:val="00653744"/>
    <w:rsid w:val="006539C9"/>
    <w:rsid w:val="006539FB"/>
    <w:rsid w:val="00653DA3"/>
    <w:rsid w:val="00653F5A"/>
    <w:rsid w:val="00654079"/>
    <w:rsid w:val="00654188"/>
    <w:rsid w:val="00654911"/>
    <w:rsid w:val="00654AE5"/>
    <w:rsid w:val="00654DBC"/>
    <w:rsid w:val="00654E5A"/>
    <w:rsid w:val="00654EBB"/>
    <w:rsid w:val="00654F05"/>
    <w:rsid w:val="00654FF6"/>
    <w:rsid w:val="00655302"/>
    <w:rsid w:val="00655EC4"/>
    <w:rsid w:val="00656366"/>
    <w:rsid w:val="0065641A"/>
    <w:rsid w:val="00656471"/>
    <w:rsid w:val="00656525"/>
    <w:rsid w:val="0065684B"/>
    <w:rsid w:val="006569E0"/>
    <w:rsid w:val="00656B3D"/>
    <w:rsid w:val="00656BEE"/>
    <w:rsid w:val="00656E11"/>
    <w:rsid w:val="00656F47"/>
    <w:rsid w:val="00656F54"/>
    <w:rsid w:val="0065758A"/>
    <w:rsid w:val="006576E4"/>
    <w:rsid w:val="00657843"/>
    <w:rsid w:val="00657A20"/>
    <w:rsid w:val="00657FE6"/>
    <w:rsid w:val="006601B0"/>
    <w:rsid w:val="0066042D"/>
    <w:rsid w:val="006605E4"/>
    <w:rsid w:val="00660700"/>
    <w:rsid w:val="00660D4E"/>
    <w:rsid w:val="00660D61"/>
    <w:rsid w:val="0066111F"/>
    <w:rsid w:val="006616AE"/>
    <w:rsid w:val="00661916"/>
    <w:rsid w:val="0066197E"/>
    <w:rsid w:val="00661D03"/>
    <w:rsid w:val="00661F10"/>
    <w:rsid w:val="00662381"/>
    <w:rsid w:val="006627E5"/>
    <w:rsid w:val="00662882"/>
    <w:rsid w:val="00662D9D"/>
    <w:rsid w:val="006634C2"/>
    <w:rsid w:val="00663630"/>
    <w:rsid w:val="0066379B"/>
    <w:rsid w:val="0066392E"/>
    <w:rsid w:val="00663E49"/>
    <w:rsid w:val="00663E70"/>
    <w:rsid w:val="006641BE"/>
    <w:rsid w:val="006644D5"/>
    <w:rsid w:val="0066463B"/>
    <w:rsid w:val="00664965"/>
    <w:rsid w:val="00664A49"/>
    <w:rsid w:val="00664BF1"/>
    <w:rsid w:val="00664C46"/>
    <w:rsid w:val="00664C55"/>
    <w:rsid w:val="006650C3"/>
    <w:rsid w:val="0066519E"/>
    <w:rsid w:val="00665744"/>
    <w:rsid w:val="0066574E"/>
    <w:rsid w:val="00665CF5"/>
    <w:rsid w:val="006663CF"/>
    <w:rsid w:val="0066647F"/>
    <w:rsid w:val="006666E1"/>
    <w:rsid w:val="00666B5D"/>
    <w:rsid w:val="00666C30"/>
    <w:rsid w:val="006670D7"/>
    <w:rsid w:val="00667358"/>
    <w:rsid w:val="0066772A"/>
    <w:rsid w:val="00667D52"/>
    <w:rsid w:val="006700FF"/>
    <w:rsid w:val="006701C8"/>
    <w:rsid w:val="00670226"/>
    <w:rsid w:val="00670274"/>
    <w:rsid w:val="0067046F"/>
    <w:rsid w:val="006706C1"/>
    <w:rsid w:val="0067085F"/>
    <w:rsid w:val="006709A2"/>
    <w:rsid w:val="00670D2C"/>
    <w:rsid w:val="00671169"/>
    <w:rsid w:val="006713CA"/>
    <w:rsid w:val="00671508"/>
    <w:rsid w:val="0067160E"/>
    <w:rsid w:val="00671782"/>
    <w:rsid w:val="00671CB4"/>
    <w:rsid w:val="0067211C"/>
    <w:rsid w:val="006722B1"/>
    <w:rsid w:val="006723CA"/>
    <w:rsid w:val="00672D6F"/>
    <w:rsid w:val="0067325A"/>
    <w:rsid w:val="0067340D"/>
    <w:rsid w:val="00673540"/>
    <w:rsid w:val="0067376A"/>
    <w:rsid w:val="006741C2"/>
    <w:rsid w:val="0067426F"/>
    <w:rsid w:val="0067440B"/>
    <w:rsid w:val="006745E0"/>
    <w:rsid w:val="0067460E"/>
    <w:rsid w:val="00674867"/>
    <w:rsid w:val="006748A3"/>
    <w:rsid w:val="006748A5"/>
    <w:rsid w:val="00674B21"/>
    <w:rsid w:val="00674E61"/>
    <w:rsid w:val="00674E6B"/>
    <w:rsid w:val="00674F86"/>
    <w:rsid w:val="006753BF"/>
    <w:rsid w:val="006753D5"/>
    <w:rsid w:val="00675941"/>
    <w:rsid w:val="00675A60"/>
    <w:rsid w:val="00676147"/>
    <w:rsid w:val="00676666"/>
    <w:rsid w:val="0067684C"/>
    <w:rsid w:val="00676EBE"/>
    <w:rsid w:val="00677387"/>
    <w:rsid w:val="006777CC"/>
    <w:rsid w:val="00677832"/>
    <w:rsid w:val="00677AD9"/>
    <w:rsid w:val="00677C88"/>
    <w:rsid w:val="00677CCC"/>
    <w:rsid w:val="00677ED9"/>
    <w:rsid w:val="006800D6"/>
    <w:rsid w:val="006801BB"/>
    <w:rsid w:val="00680215"/>
    <w:rsid w:val="006807D0"/>
    <w:rsid w:val="00680876"/>
    <w:rsid w:val="00680B1F"/>
    <w:rsid w:val="00680B52"/>
    <w:rsid w:val="006810CA"/>
    <w:rsid w:val="006811F5"/>
    <w:rsid w:val="00681328"/>
    <w:rsid w:val="00681787"/>
    <w:rsid w:val="00681D6D"/>
    <w:rsid w:val="00681D7A"/>
    <w:rsid w:val="00682121"/>
    <w:rsid w:val="006822A0"/>
    <w:rsid w:val="00682367"/>
    <w:rsid w:val="00682381"/>
    <w:rsid w:val="0068290D"/>
    <w:rsid w:val="006833DF"/>
    <w:rsid w:val="00683827"/>
    <w:rsid w:val="00683926"/>
    <w:rsid w:val="006839E7"/>
    <w:rsid w:val="0068406B"/>
    <w:rsid w:val="0068427D"/>
    <w:rsid w:val="00684595"/>
    <w:rsid w:val="006846BE"/>
    <w:rsid w:val="00684C33"/>
    <w:rsid w:val="00684D94"/>
    <w:rsid w:val="00684E0C"/>
    <w:rsid w:val="00684F2A"/>
    <w:rsid w:val="00684F63"/>
    <w:rsid w:val="006854A4"/>
    <w:rsid w:val="00685F86"/>
    <w:rsid w:val="006860B7"/>
    <w:rsid w:val="00686170"/>
    <w:rsid w:val="006864F3"/>
    <w:rsid w:val="006869DF"/>
    <w:rsid w:val="00686D80"/>
    <w:rsid w:val="00686E89"/>
    <w:rsid w:val="00686F0F"/>
    <w:rsid w:val="0068705A"/>
    <w:rsid w:val="006878A4"/>
    <w:rsid w:val="00687C74"/>
    <w:rsid w:val="00687C75"/>
    <w:rsid w:val="00687ECD"/>
    <w:rsid w:val="00690562"/>
    <w:rsid w:val="006906A7"/>
    <w:rsid w:val="00690887"/>
    <w:rsid w:val="006909A9"/>
    <w:rsid w:val="00690CD4"/>
    <w:rsid w:val="00691380"/>
    <w:rsid w:val="0069141C"/>
    <w:rsid w:val="00691533"/>
    <w:rsid w:val="006918D0"/>
    <w:rsid w:val="00691A29"/>
    <w:rsid w:val="00691B71"/>
    <w:rsid w:val="00691EC2"/>
    <w:rsid w:val="0069257D"/>
    <w:rsid w:val="0069258F"/>
    <w:rsid w:val="006929BC"/>
    <w:rsid w:val="00692AD1"/>
    <w:rsid w:val="00692B76"/>
    <w:rsid w:val="00692C8E"/>
    <w:rsid w:val="00693070"/>
    <w:rsid w:val="00693363"/>
    <w:rsid w:val="006933D6"/>
    <w:rsid w:val="00693499"/>
    <w:rsid w:val="006936E9"/>
    <w:rsid w:val="0069374F"/>
    <w:rsid w:val="00693972"/>
    <w:rsid w:val="00693B53"/>
    <w:rsid w:val="00694099"/>
    <w:rsid w:val="0069457A"/>
    <w:rsid w:val="0069489B"/>
    <w:rsid w:val="006949FC"/>
    <w:rsid w:val="00694B10"/>
    <w:rsid w:val="00694D8F"/>
    <w:rsid w:val="00694E43"/>
    <w:rsid w:val="00695070"/>
    <w:rsid w:val="0069508A"/>
    <w:rsid w:val="00695182"/>
    <w:rsid w:val="00695303"/>
    <w:rsid w:val="00695348"/>
    <w:rsid w:val="006957C8"/>
    <w:rsid w:val="0069593C"/>
    <w:rsid w:val="00695A84"/>
    <w:rsid w:val="00695B4A"/>
    <w:rsid w:val="00695F7A"/>
    <w:rsid w:val="006960BD"/>
    <w:rsid w:val="00696175"/>
    <w:rsid w:val="006964E6"/>
    <w:rsid w:val="00696945"/>
    <w:rsid w:val="00696B3E"/>
    <w:rsid w:val="00696C17"/>
    <w:rsid w:val="00696D45"/>
    <w:rsid w:val="006970F3"/>
    <w:rsid w:val="006973C6"/>
    <w:rsid w:val="006979E1"/>
    <w:rsid w:val="00697D88"/>
    <w:rsid w:val="00697F00"/>
    <w:rsid w:val="006A02D7"/>
    <w:rsid w:val="006A1938"/>
    <w:rsid w:val="006A1A98"/>
    <w:rsid w:val="006A1AE8"/>
    <w:rsid w:val="006A1F90"/>
    <w:rsid w:val="006A1FC7"/>
    <w:rsid w:val="006A20E8"/>
    <w:rsid w:val="006A2145"/>
    <w:rsid w:val="006A2224"/>
    <w:rsid w:val="006A2699"/>
    <w:rsid w:val="006A2711"/>
    <w:rsid w:val="006A2C67"/>
    <w:rsid w:val="006A2D3A"/>
    <w:rsid w:val="006A309D"/>
    <w:rsid w:val="006A33A3"/>
    <w:rsid w:val="006A3405"/>
    <w:rsid w:val="006A346B"/>
    <w:rsid w:val="006A3926"/>
    <w:rsid w:val="006A3976"/>
    <w:rsid w:val="006A3B09"/>
    <w:rsid w:val="006A449F"/>
    <w:rsid w:val="006A4785"/>
    <w:rsid w:val="006A4C70"/>
    <w:rsid w:val="006A4DE3"/>
    <w:rsid w:val="006A5055"/>
    <w:rsid w:val="006A5282"/>
    <w:rsid w:val="006A52A5"/>
    <w:rsid w:val="006A5381"/>
    <w:rsid w:val="006A5632"/>
    <w:rsid w:val="006A584C"/>
    <w:rsid w:val="006A5D4F"/>
    <w:rsid w:val="006A5F8B"/>
    <w:rsid w:val="006A6437"/>
    <w:rsid w:val="006A6A5C"/>
    <w:rsid w:val="006A6A7D"/>
    <w:rsid w:val="006A6D05"/>
    <w:rsid w:val="006A7482"/>
    <w:rsid w:val="006A756E"/>
    <w:rsid w:val="006A76C6"/>
    <w:rsid w:val="006A7879"/>
    <w:rsid w:val="006A78B4"/>
    <w:rsid w:val="006A7C29"/>
    <w:rsid w:val="006A7EE3"/>
    <w:rsid w:val="006B0002"/>
    <w:rsid w:val="006B06D7"/>
    <w:rsid w:val="006B076C"/>
    <w:rsid w:val="006B0CB1"/>
    <w:rsid w:val="006B0D63"/>
    <w:rsid w:val="006B0E4F"/>
    <w:rsid w:val="006B0E88"/>
    <w:rsid w:val="006B1024"/>
    <w:rsid w:val="006B13D6"/>
    <w:rsid w:val="006B149F"/>
    <w:rsid w:val="006B178F"/>
    <w:rsid w:val="006B1C71"/>
    <w:rsid w:val="006B1EA0"/>
    <w:rsid w:val="006B1F6E"/>
    <w:rsid w:val="006B281A"/>
    <w:rsid w:val="006B2DD3"/>
    <w:rsid w:val="006B2EFB"/>
    <w:rsid w:val="006B2F6E"/>
    <w:rsid w:val="006B33C7"/>
    <w:rsid w:val="006B3B57"/>
    <w:rsid w:val="006B42CE"/>
    <w:rsid w:val="006B4368"/>
    <w:rsid w:val="006B47B9"/>
    <w:rsid w:val="006B491B"/>
    <w:rsid w:val="006B4B92"/>
    <w:rsid w:val="006B4BA1"/>
    <w:rsid w:val="006B4FA9"/>
    <w:rsid w:val="006B55C7"/>
    <w:rsid w:val="006B57F8"/>
    <w:rsid w:val="006B5B67"/>
    <w:rsid w:val="006B5B91"/>
    <w:rsid w:val="006B5F02"/>
    <w:rsid w:val="006B60BB"/>
    <w:rsid w:val="006B62A9"/>
    <w:rsid w:val="006B6D4C"/>
    <w:rsid w:val="006B6EE7"/>
    <w:rsid w:val="006B73F3"/>
    <w:rsid w:val="006B763F"/>
    <w:rsid w:val="006B76AA"/>
    <w:rsid w:val="006B7768"/>
    <w:rsid w:val="006B7995"/>
    <w:rsid w:val="006B7B13"/>
    <w:rsid w:val="006B7EF7"/>
    <w:rsid w:val="006B7F60"/>
    <w:rsid w:val="006C0035"/>
    <w:rsid w:val="006C072A"/>
    <w:rsid w:val="006C0B19"/>
    <w:rsid w:val="006C0C3F"/>
    <w:rsid w:val="006C0C5A"/>
    <w:rsid w:val="006C0FA4"/>
    <w:rsid w:val="006C105F"/>
    <w:rsid w:val="006C1527"/>
    <w:rsid w:val="006C183C"/>
    <w:rsid w:val="006C19CD"/>
    <w:rsid w:val="006C1EB0"/>
    <w:rsid w:val="006C1FAE"/>
    <w:rsid w:val="006C2376"/>
    <w:rsid w:val="006C2B2C"/>
    <w:rsid w:val="006C2B7C"/>
    <w:rsid w:val="006C2DDB"/>
    <w:rsid w:val="006C2EF5"/>
    <w:rsid w:val="006C2F43"/>
    <w:rsid w:val="006C2F96"/>
    <w:rsid w:val="006C3004"/>
    <w:rsid w:val="006C3275"/>
    <w:rsid w:val="006C3975"/>
    <w:rsid w:val="006C3FB3"/>
    <w:rsid w:val="006C40BC"/>
    <w:rsid w:val="006C40FF"/>
    <w:rsid w:val="006C424D"/>
    <w:rsid w:val="006C43EF"/>
    <w:rsid w:val="006C4441"/>
    <w:rsid w:val="006C484F"/>
    <w:rsid w:val="006C4A67"/>
    <w:rsid w:val="006C4CCC"/>
    <w:rsid w:val="006C4DD3"/>
    <w:rsid w:val="006C4F39"/>
    <w:rsid w:val="006C5370"/>
    <w:rsid w:val="006C5564"/>
    <w:rsid w:val="006C577D"/>
    <w:rsid w:val="006C5EA0"/>
    <w:rsid w:val="006C60D6"/>
    <w:rsid w:val="006C6238"/>
    <w:rsid w:val="006C632D"/>
    <w:rsid w:val="006C636D"/>
    <w:rsid w:val="006C63B4"/>
    <w:rsid w:val="006C66D5"/>
    <w:rsid w:val="006C6A45"/>
    <w:rsid w:val="006C6CAC"/>
    <w:rsid w:val="006C6ED8"/>
    <w:rsid w:val="006C70A1"/>
    <w:rsid w:val="006C72C1"/>
    <w:rsid w:val="006C7445"/>
    <w:rsid w:val="006C7611"/>
    <w:rsid w:val="006C7B52"/>
    <w:rsid w:val="006C7F69"/>
    <w:rsid w:val="006D08C0"/>
    <w:rsid w:val="006D0E96"/>
    <w:rsid w:val="006D0F1B"/>
    <w:rsid w:val="006D11A3"/>
    <w:rsid w:val="006D133B"/>
    <w:rsid w:val="006D182F"/>
    <w:rsid w:val="006D1F31"/>
    <w:rsid w:val="006D21AA"/>
    <w:rsid w:val="006D2338"/>
    <w:rsid w:val="006D2403"/>
    <w:rsid w:val="006D28E7"/>
    <w:rsid w:val="006D2975"/>
    <w:rsid w:val="006D2A61"/>
    <w:rsid w:val="006D2BE7"/>
    <w:rsid w:val="006D2FBE"/>
    <w:rsid w:val="006D3174"/>
    <w:rsid w:val="006D327A"/>
    <w:rsid w:val="006D3446"/>
    <w:rsid w:val="006D3583"/>
    <w:rsid w:val="006D394B"/>
    <w:rsid w:val="006D3A00"/>
    <w:rsid w:val="006D3AD1"/>
    <w:rsid w:val="006D3CC3"/>
    <w:rsid w:val="006D42CE"/>
    <w:rsid w:val="006D4522"/>
    <w:rsid w:val="006D459F"/>
    <w:rsid w:val="006D4777"/>
    <w:rsid w:val="006D4952"/>
    <w:rsid w:val="006D4958"/>
    <w:rsid w:val="006D49A0"/>
    <w:rsid w:val="006D4E32"/>
    <w:rsid w:val="006D4ED5"/>
    <w:rsid w:val="006D511D"/>
    <w:rsid w:val="006D59D0"/>
    <w:rsid w:val="006D5A53"/>
    <w:rsid w:val="006D5E65"/>
    <w:rsid w:val="006D67FD"/>
    <w:rsid w:val="006D6A9E"/>
    <w:rsid w:val="006D6FEA"/>
    <w:rsid w:val="006D7070"/>
    <w:rsid w:val="006D7420"/>
    <w:rsid w:val="006D744D"/>
    <w:rsid w:val="006D74D6"/>
    <w:rsid w:val="006D7589"/>
    <w:rsid w:val="006D7E70"/>
    <w:rsid w:val="006D7ED7"/>
    <w:rsid w:val="006D7F27"/>
    <w:rsid w:val="006E00FA"/>
    <w:rsid w:val="006E0126"/>
    <w:rsid w:val="006E022B"/>
    <w:rsid w:val="006E05F0"/>
    <w:rsid w:val="006E063C"/>
    <w:rsid w:val="006E0B2C"/>
    <w:rsid w:val="006E0F27"/>
    <w:rsid w:val="006E112B"/>
    <w:rsid w:val="006E1178"/>
    <w:rsid w:val="006E118C"/>
    <w:rsid w:val="006E125D"/>
    <w:rsid w:val="006E1312"/>
    <w:rsid w:val="006E1959"/>
    <w:rsid w:val="006E19D0"/>
    <w:rsid w:val="006E1AD4"/>
    <w:rsid w:val="006E1BEF"/>
    <w:rsid w:val="006E1E2D"/>
    <w:rsid w:val="006E1EED"/>
    <w:rsid w:val="006E2011"/>
    <w:rsid w:val="006E21C6"/>
    <w:rsid w:val="006E2452"/>
    <w:rsid w:val="006E248E"/>
    <w:rsid w:val="006E2927"/>
    <w:rsid w:val="006E2B2F"/>
    <w:rsid w:val="006E2DDE"/>
    <w:rsid w:val="006E3623"/>
    <w:rsid w:val="006E38EF"/>
    <w:rsid w:val="006E3DED"/>
    <w:rsid w:val="006E4070"/>
    <w:rsid w:val="006E4120"/>
    <w:rsid w:val="006E419F"/>
    <w:rsid w:val="006E441F"/>
    <w:rsid w:val="006E467E"/>
    <w:rsid w:val="006E46F7"/>
    <w:rsid w:val="006E47A6"/>
    <w:rsid w:val="006E4CD2"/>
    <w:rsid w:val="006E4DBA"/>
    <w:rsid w:val="006E4E94"/>
    <w:rsid w:val="006E51B7"/>
    <w:rsid w:val="006E5244"/>
    <w:rsid w:val="006E5679"/>
    <w:rsid w:val="006E6D01"/>
    <w:rsid w:val="006E6D68"/>
    <w:rsid w:val="006E6F48"/>
    <w:rsid w:val="006E6FF9"/>
    <w:rsid w:val="006E7135"/>
    <w:rsid w:val="006E75D3"/>
    <w:rsid w:val="006E76D1"/>
    <w:rsid w:val="006E76F4"/>
    <w:rsid w:val="006E784D"/>
    <w:rsid w:val="006E7A3F"/>
    <w:rsid w:val="006E7C88"/>
    <w:rsid w:val="006E7C8B"/>
    <w:rsid w:val="006F010B"/>
    <w:rsid w:val="006F0378"/>
    <w:rsid w:val="006F03E4"/>
    <w:rsid w:val="006F050A"/>
    <w:rsid w:val="006F0881"/>
    <w:rsid w:val="006F0A16"/>
    <w:rsid w:val="006F0BD1"/>
    <w:rsid w:val="006F0C81"/>
    <w:rsid w:val="006F0D2E"/>
    <w:rsid w:val="006F1109"/>
    <w:rsid w:val="006F112F"/>
    <w:rsid w:val="006F11D8"/>
    <w:rsid w:val="006F12B9"/>
    <w:rsid w:val="006F1404"/>
    <w:rsid w:val="006F14CB"/>
    <w:rsid w:val="006F14CD"/>
    <w:rsid w:val="006F171F"/>
    <w:rsid w:val="006F1A25"/>
    <w:rsid w:val="006F1EC8"/>
    <w:rsid w:val="006F1F80"/>
    <w:rsid w:val="006F2114"/>
    <w:rsid w:val="006F264E"/>
    <w:rsid w:val="006F2750"/>
    <w:rsid w:val="006F28CD"/>
    <w:rsid w:val="006F2C56"/>
    <w:rsid w:val="006F2F41"/>
    <w:rsid w:val="006F3136"/>
    <w:rsid w:val="006F31BB"/>
    <w:rsid w:val="006F323F"/>
    <w:rsid w:val="006F3525"/>
    <w:rsid w:val="006F35B0"/>
    <w:rsid w:val="006F39AE"/>
    <w:rsid w:val="006F39E2"/>
    <w:rsid w:val="006F3ADA"/>
    <w:rsid w:val="006F3DA8"/>
    <w:rsid w:val="006F4127"/>
    <w:rsid w:val="006F4327"/>
    <w:rsid w:val="006F4425"/>
    <w:rsid w:val="006F4633"/>
    <w:rsid w:val="006F4B44"/>
    <w:rsid w:val="006F4B9F"/>
    <w:rsid w:val="006F4F2E"/>
    <w:rsid w:val="006F4F92"/>
    <w:rsid w:val="006F5006"/>
    <w:rsid w:val="006F530E"/>
    <w:rsid w:val="006F5392"/>
    <w:rsid w:val="006F5544"/>
    <w:rsid w:val="006F592C"/>
    <w:rsid w:val="006F5D4B"/>
    <w:rsid w:val="006F60CE"/>
    <w:rsid w:val="006F63C2"/>
    <w:rsid w:val="006F63F7"/>
    <w:rsid w:val="006F64DD"/>
    <w:rsid w:val="006F6DD6"/>
    <w:rsid w:val="006F77CF"/>
    <w:rsid w:val="006F799C"/>
    <w:rsid w:val="006F7BFA"/>
    <w:rsid w:val="00700195"/>
    <w:rsid w:val="007001FC"/>
    <w:rsid w:val="00700B7F"/>
    <w:rsid w:val="00700C17"/>
    <w:rsid w:val="00700E82"/>
    <w:rsid w:val="00701097"/>
    <w:rsid w:val="00701300"/>
    <w:rsid w:val="0070135A"/>
    <w:rsid w:val="0070192D"/>
    <w:rsid w:val="00701AAD"/>
    <w:rsid w:val="00701B02"/>
    <w:rsid w:val="00701B5A"/>
    <w:rsid w:val="00701E4F"/>
    <w:rsid w:val="00701F30"/>
    <w:rsid w:val="007028C1"/>
    <w:rsid w:val="00702C32"/>
    <w:rsid w:val="00702F66"/>
    <w:rsid w:val="00702FE3"/>
    <w:rsid w:val="007030DC"/>
    <w:rsid w:val="00703126"/>
    <w:rsid w:val="00703146"/>
    <w:rsid w:val="00703269"/>
    <w:rsid w:val="007034AB"/>
    <w:rsid w:val="00703637"/>
    <w:rsid w:val="00703B02"/>
    <w:rsid w:val="00703D9C"/>
    <w:rsid w:val="00703E1C"/>
    <w:rsid w:val="00703F92"/>
    <w:rsid w:val="00704004"/>
    <w:rsid w:val="0070416F"/>
    <w:rsid w:val="00704500"/>
    <w:rsid w:val="00704B77"/>
    <w:rsid w:val="00704E8F"/>
    <w:rsid w:val="00704EF6"/>
    <w:rsid w:val="0070573A"/>
    <w:rsid w:val="0070589D"/>
    <w:rsid w:val="007058BA"/>
    <w:rsid w:val="007059D6"/>
    <w:rsid w:val="007059DF"/>
    <w:rsid w:val="00705D21"/>
    <w:rsid w:val="0070601A"/>
    <w:rsid w:val="007064D1"/>
    <w:rsid w:val="007067A6"/>
    <w:rsid w:val="00706968"/>
    <w:rsid w:val="00707683"/>
    <w:rsid w:val="00707731"/>
    <w:rsid w:val="0070797D"/>
    <w:rsid w:val="00707A8B"/>
    <w:rsid w:val="00707CCF"/>
    <w:rsid w:val="00707D8D"/>
    <w:rsid w:val="00707F8E"/>
    <w:rsid w:val="0071036A"/>
    <w:rsid w:val="0071091B"/>
    <w:rsid w:val="00710E7F"/>
    <w:rsid w:val="0071145A"/>
    <w:rsid w:val="0071153E"/>
    <w:rsid w:val="007116CB"/>
    <w:rsid w:val="007116E7"/>
    <w:rsid w:val="007121CE"/>
    <w:rsid w:val="007123B6"/>
    <w:rsid w:val="007127DF"/>
    <w:rsid w:val="007130F2"/>
    <w:rsid w:val="00713551"/>
    <w:rsid w:val="007140E8"/>
    <w:rsid w:val="0071454B"/>
    <w:rsid w:val="0071470B"/>
    <w:rsid w:val="007148FE"/>
    <w:rsid w:val="007153D8"/>
    <w:rsid w:val="00715CBA"/>
    <w:rsid w:val="00716067"/>
    <w:rsid w:val="0071612D"/>
    <w:rsid w:val="007165BD"/>
    <w:rsid w:val="0071660C"/>
    <w:rsid w:val="00716623"/>
    <w:rsid w:val="007167C6"/>
    <w:rsid w:val="00716D95"/>
    <w:rsid w:val="00716DD8"/>
    <w:rsid w:val="0071750C"/>
    <w:rsid w:val="0071782D"/>
    <w:rsid w:val="00717859"/>
    <w:rsid w:val="0071787E"/>
    <w:rsid w:val="00717B56"/>
    <w:rsid w:val="00717C86"/>
    <w:rsid w:val="00717EFA"/>
    <w:rsid w:val="00717F12"/>
    <w:rsid w:val="00717FB3"/>
    <w:rsid w:val="0072009D"/>
    <w:rsid w:val="00720587"/>
    <w:rsid w:val="0072064F"/>
    <w:rsid w:val="0072069A"/>
    <w:rsid w:val="00720EFB"/>
    <w:rsid w:val="00721381"/>
    <w:rsid w:val="00721474"/>
    <w:rsid w:val="0072158D"/>
    <w:rsid w:val="007218CB"/>
    <w:rsid w:val="00721A38"/>
    <w:rsid w:val="00721AF5"/>
    <w:rsid w:val="00721B1A"/>
    <w:rsid w:val="00721C6F"/>
    <w:rsid w:val="00721C7B"/>
    <w:rsid w:val="00721EBF"/>
    <w:rsid w:val="00722419"/>
    <w:rsid w:val="0072287F"/>
    <w:rsid w:val="00722C9A"/>
    <w:rsid w:val="00723201"/>
    <w:rsid w:val="00723253"/>
    <w:rsid w:val="007234E0"/>
    <w:rsid w:val="00723A09"/>
    <w:rsid w:val="00723ADF"/>
    <w:rsid w:val="00723EC2"/>
    <w:rsid w:val="00723FA7"/>
    <w:rsid w:val="00724024"/>
    <w:rsid w:val="007240E1"/>
    <w:rsid w:val="0072422B"/>
    <w:rsid w:val="0072425F"/>
    <w:rsid w:val="00724436"/>
    <w:rsid w:val="007248F5"/>
    <w:rsid w:val="00724A75"/>
    <w:rsid w:val="00724A86"/>
    <w:rsid w:val="00724C81"/>
    <w:rsid w:val="00724DB3"/>
    <w:rsid w:val="00724DC9"/>
    <w:rsid w:val="00725051"/>
    <w:rsid w:val="007254FA"/>
    <w:rsid w:val="00725BF4"/>
    <w:rsid w:val="0072668C"/>
    <w:rsid w:val="00726731"/>
    <w:rsid w:val="00726896"/>
    <w:rsid w:val="0072696E"/>
    <w:rsid w:val="00726F22"/>
    <w:rsid w:val="007271AB"/>
    <w:rsid w:val="007277C3"/>
    <w:rsid w:val="00727B15"/>
    <w:rsid w:val="00727C9E"/>
    <w:rsid w:val="00727CE9"/>
    <w:rsid w:val="00730385"/>
    <w:rsid w:val="00730470"/>
    <w:rsid w:val="00730504"/>
    <w:rsid w:val="0073058A"/>
    <w:rsid w:val="00730E80"/>
    <w:rsid w:val="00730E92"/>
    <w:rsid w:val="00730E99"/>
    <w:rsid w:val="007313D1"/>
    <w:rsid w:val="007314A8"/>
    <w:rsid w:val="00731564"/>
    <w:rsid w:val="00731B01"/>
    <w:rsid w:val="00731E02"/>
    <w:rsid w:val="007322A5"/>
    <w:rsid w:val="00732399"/>
    <w:rsid w:val="00732B98"/>
    <w:rsid w:val="00732DCF"/>
    <w:rsid w:val="00732DE9"/>
    <w:rsid w:val="00732EC1"/>
    <w:rsid w:val="00732FD3"/>
    <w:rsid w:val="0073337C"/>
    <w:rsid w:val="007336BE"/>
    <w:rsid w:val="007336CE"/>
    <w:rsid w:val="00733C9B"/>
    <w:rsid w:val="0073415C"/>
    <w:rsid w:val="00734425"/>
    <w:rsid w:val="007345D4"/>
    <w:rsid w:val="00734C99"/>
    <w:rsid w:val="00734DEF"/>
    <w:rsid w:val="0073508F"/>
    <w:rsid w:val="007356A4"/>
    <w:rsid w:val="0073582B"/>
    <w:rsid w:val="00735931"/>
    <w:rsid w:val="0073595C"/>
    <w:rsid w:val="00735D27"/>
    <w:rsid w:val="00735D3A"/>
    <w:rsid w:val="00735E61"/>
    <w:rsid w:val="00735EAE"/>
    <w:rsid w:val="007361FD"/>
    <w:rsid w:val="00736480"/>
    <w:rsid w:val="00736C9F"/>
    <w:rsid w:val="00736CBA"/>
    <w:rsid w:val="00736EC6"/>
    <w:rsid w:val="007373AA"/>
    <w:rsid w:val="0073797E"/>
    <w:rsid w:val="00737B11"/>
    <w:rsid w:val="00737B1A"/>
    <w:rsid w:val="00737BD3"/>
    <w:rsid w:val="00737D2D"/>
    <w:rsid w:val="007405BF"/>
    <w:rsid w:val="0074064E"/>
    <w:rsid w:val="00740A9C"/>
    <w:rsid w:val="00740BFC"/>
    <w:rsid w:val="00740DB5"/>
    <w:rsid w:val="0074105A"/>
    <w:rsid w:val="0074163D"/>
    <w:rsid w:val="00741AAB"/>
    <w:rsid w:val="00742780"/>
    <w:rsid w:val="0074288D"/>
    <w:rsid w:val="007428CE"/>
    <w:rsid w:val="00742B34"/>
    <w:rsid w:val="007434B5"/>
    <w:rsid w:val="007437AA"/>
    <w:rsid w:val="0074381D"/>
    <w:rsid w:val="007447ED"/>
    <w:rsid w:val="007449C5"/>
    <w:rsid w:val="007449FD"/>
    <w:rsid w:val="00744D16"/>
    <w:rsid w:val="00744E91"/>
    <w:rsid w:val="00744EA1"/>
    <w:rsid w:val="00744F41"/>
    <w:rsid w:val="0074509E"/>
    <w:rsid w:val="0074513D"/>
    <w:rsid w:val="0074518B"/>
    <w:rsid w:val="00745259"/>
    <w:rsid w:val="007453DA"/>
    <w:rsid w:val="00745412"/>
    <w:rsid w:val="00745717"/>
    <w:rsid w:val="00745CBB"/>
    <w:rsid w:val="00745F99"/>
    <w:rsid w:val="0074617B"/>
    <w:rsid w:val="0074647E"/>
    <w:rsid w:val="00746549"/>
    <w:rsid w:val="007467DB"/>
    <w:rsid w:val="007468EF"/>
    <w:rsid w:val="0074709C"/>
    <w:rsid w:val="007470C3"/>
    <w:rsid w:val="00747575"/>
    <w:rsid w:val="00747A64"/>
    <w:rsid w:val="00747D60"/>
    <w:rsid w:val="00747DF6"/>
    <w:rsid w:val="00747DFC"/>
    <w:rsid w:val="00747F1D"/>
    <w:rsid w:val="00750185"/>
    <w:rsid w:val="007501A3"/>
    <w:rsid w:val="007505DF"/>
    <w:rsid w:val="007509FD"/>
    <w:rsid w:val="00750E2F"/>
    <w:rsid w:val="00750F61"/>
    <w:rsid w:val="007510D4"/>
    <w:rsid w:val="00751123"/>
    <w:rsid w:val="00751171"/>
    <w:rsid w:val="00751242"/>
    <w:rsid w:val="007512B1"/>
    <w:rsid w:val="0075147B"/>
    <w:rsid w:val="007515EA"/>
    <w:rsid w:val="007521A0"/>
    <w:rsid w:val="00752200"/>
    <w:rsid w:val="007525DD"/>
    <w:rsid w:val="00752673"/>
    <w:rsid w:val="0075272E"/>
    <w:rsid w:val="00752860"/>
    <w:rsid w:val="00752869"/>
    <w:rsid w:val="00752940"/>
    <w:rsid w:val="00752A82"/>
    <w:rsid w:val="00752D26"/>
    <w:rsid w:val="00752D65"/>
    <w:rsid w:val="007534CA"/>
    <w:rsid w:val="0075367F"/>
    <w:rsid w:val="007536E1"/>
    <w:rsid w:val="00753DAB"/>
    <w:rsid w:val="00753EAC"/>
    <w:rsid w:val="00754295"/>
    <w:rsid w:val="00754491"/>
    <w:rsid w:val="007544D0"/>
    <w:rsid w:val="00754588"/>
    <w:rsid w:val="00754811"/>
    <w:rsid w:val="00754830"/>
    <w:rsid w:val="00754B1F"/>
    <w:rsid w:val="00754E4C"/>
    <w:rsid w:val="00755082"/>
    <w:rsid w:val="0075574F"/>
    <w:rsid w:val="00755800"/>
    <w:rsid w:val="007559BD"/>
    <w:rsid w:val="00755C9D"/>
    <w:rsid w:val="00755DEC"/>
    <w:rsid w:val="00755ECD"/>
    <w:rsid w:val="00755FE1"/>
    <w:rsid w:val="0075621B"/>
    <w:rsid w:val="0075629F"/>
    <w:rsid w:val="007563F9"/>
    <w:rsid w:val="007567FF"/>
    <w:rsid w:val="00756B5B"/>
    <w:rsid w:val="00756B7F"/>
    <w:rsid w:val="00756D28"/>
    <w:rsid w:val="00756E7A"/>
    <w:rsid w:val="0075736C"/>
    <w:rsid w:val="00757427"/>
    <w:rsid w:val="00757492"/>
    <w:rsid w:val="00757681"/>
    <w:rsid w:val="007577F3"/>
    <w:rsid w:val="00757BE0"/>
    <w:rsid w:val="00757C51"/>
    <w:rsid w:val="00757D14"/>
    <w:rsid w:val="00757D8D"/>
    <w:rsid w:val="00760028"/>
    <w:rsid w:val="00760203"/>
    <w:rsid w:val="00760250"/>
    <w:rsid w:val="0076051F"/>
    <w:rsid w:val="00760840"/>
    <w:rsid w:val="00760865"/>
    <w:rsid w:val="007608FE"/>
    <w:rsid w:val="00760FE3"/>
    <w:rsid w:val="00760FE9"/>
    <w:rsid w:val="0076176D"/>
    <w:rsid w:val="007617FB"/>
    <w:rsid w:val="00761989"/>
    <w:rsid w:val="00761D4B"/>
    <w:rsid w:val="00762432"/>
    <w:rsid w:val="007624B3"/>
    <w:rsid w:val="007625AC"/>
    <w:rsid w:val="00762FBE"/>
    <w:rsid w:val="0076341E"/>
    <w:rsid w:val="00763D80"/>
    <w:rsid w:val="00763D9D"/>
    <w:rsid w:val="00763DC2"/>
    <w:rsid w:val="00764420"/>
    <w:rsid w:val="007644E7"/>
    <w:rsid w:val="007645DF"/>
    <w:rsid w:val="00764689"/>
    <w:rsid w:val="007646D1"/>
    <w:rsid w:val="007646EA"/>
    <w:rsid w:val="00764A5A"/>
    <w:rsid w:val="00764E20"/>
    <w:rsid w:val="007650BB"/>
    <w:rsid w:val="00765170"/>
    <w:rsid w:val="007655D0"/>
    <w:rsid w:val="00765B9F"/>
    <w:rsid w:val="00765D23"/>
    <w:rsid w:val="00765DF1"/>
    <w:rsid w:val="00765F92"/>
    <w:rsid w:val="00766038"/>
    <w:rsid w:val="007662A5"/>
    <w:rsid w:val="0076635F"/>
    <w:rsid w:val="007663C5"/>
    <w:rsid w:val="0076648D"/>
    <w:rsid w:val="00766856"/>
    <w:rsid w:val="00766BCF"/>
    <w:rsid w:val="00766CAA"/>
    <w:rsid w:val="00767054"/>
    <w:rsid w:val="007673AB"/>
    <w:rsid w:val="00767C36"/>
    <w:rsid w:val="00767CA4"/>
    <w:rsid w:val="00767F8D"/>
    <w:rsid w:val="0077011A"/>
    <w:rsid w:val="00770203"/>
    <w:rsid w:val="0077074D"/>
    <w:rsid w:val="00770919"/>
    <w:rsid w:val="00770AC5"/>
    <w:rsid w:val="00770C53"/>
    <w:rsid w:val="00770C87"/>
    <w:rsid w:val="00770EAB"/>
    <w:rsid w:val="00771001"/>
    <w:rsid w:val="00771317"/>
    <w:rsid w:val="00771356"/>
    <w:rsid w:val="007714A9"/>
    <w:rsid w:val="00771977"/>
    <w:rsid w:val="00771B75"/>
    <w:rsid w:val="00771B94"/>
    <w:rsid w:val="0077205A"/>
    <w:rsid w:val="0077218B"/>
    <w:rsid w:val="00772332"/>
    <w:rsid w:val="00772A66"/>
    <w:rsid w:val="00772AA0"/>
    <w:rsid w:val="00772AAA"/>
    <w:rsid w:val="00772C02"/>
    <w:rsid w:val="00772CE3"/>
    <w:rsid w:val="00772D41"/>
    <w:rsid w:val="00772E9A"/>
    <w:rsid w:val="007732ED"/>
    <w:rsid w:val="007733AC"/>
    <w:rsid w:val="00773523"/>
    <w:rsid w:val="007736E4"/>
    <w:rsid w:val="0077375D"/>
    <w:rsid w:val="007738B3"/>
    <w:rsid w:val="00773DC8"/>
    <w:rsid w:val="0077447C"/>
    <w:rsid w:val="0077464E"/>
    <w:rsid w:val="00774734"/>
    <w:rsid w:val="0077515C"/>
    <w:rsid w:val="00775990"/>
    <w:rsid w:val="007759B6"/>
    <w:rsid w:val="00775A2E"/>
    <w:rsid w:val="00775DCA"/>
    <w:rsid w:val="00776778"/>
    <w:rsid w:val="00776B07"/>
    <w:rsid w:val="00776BB3"/>
    <w:rsid w:val="00776C10"/>
    <w:rsid w:val="00776DB2"/>
    <w:rsid w:val="007772C0"/>
    <w:rsid w:val="00777400"/>
    <w:rsid w:val="007774D4"/>
    <w:rsid w:val="007776BF"/>
    <w:rsid w:val="0078074D"/>
    <w:rsid w:val="007808FA"/>
    <w:rsid w:val="00780EDF"/>
    <w:rsid w:val="00780F96"/>
    <w:rsid w:val="00781059"/>
    <w:rsid w:val="00781679"/>
    <w:rsid w:val="00781808"/>
    <w:rsid w:val="00781B04"/>
    <w:rsid w:val="00781B4C"/>
    <w:rsid w:val="00781C31"/>
    <w:rsid w:val="00781DE0"/>
    <w:rsid w:val="00781F46"/>
    <w:rsid w:val="00782140"/>
    <w:rsid w:val="00782150"/>
    <w:rsid w:val="00782265"/>
    <w:rsid w:val="0078269D"/>
    <w:rsid w:val="007828B8"/>
    <w:rsid w:val="00782A83"/>
    <w:rsid w:val="00782AA7"/>
    <w:rsid w:val="00782B1E"/>
    <w:rsid w:val="00782C47"/>
    <w:rsid w:val="00782FF7"/>
    <w:rsid w:val="00783244"/>
    <w:rsid w:val="007837FC"/>
    <w:rsid w:val="00783860"/>
    <w:rsid w:val="00783B47"/>
    <w:rsid w:val="00783D3E"/>
    <w:rsid w:val="00784526"/>
    <w:rsid w:val="007848E9"/>
    <w:rsid w:val="007856F0"/>
    <w:rsid w:val="007857DB"/>
    <w:rsid w:val="00785D1E"/>
    <w:rsid w:val="007865A4"/>
    <w:rsid w:val="00786B8C"/>
    <w:rsid w:val="00786D34"/>
    <w:rsid w:val="00787098"/>
    <w:rsid w:val="0078722A"/>
    <w:rsid w:val="007874EE"/>
    <w:rsid w:val="007876D0"/>
    <w:rsid w:val="00787723"/>
    <w:rsid w:val="00787794"/>
    <w:rsid w:val="007878C8"/>
    <w:rsid w:val="00787A1D"/>
    <w:rsid w:val="00787B7B"/>
    <w:rsid w:val="00787BEB"/>
    <w:rsid w:val="00787EFB"/>
    <w:rsid w:val="00787F63"/>
    <w:rsid w:val="00790000"/>
    <w:rsid w:val="007902D7"/>
    <w:rsid w:val="0079036B"/>
    <w:rsid w:val="007906ED"/>
    <w:rsid w:val="0079093E"/>
    <w:rsid w:val="00790E13"/>
    <w:rsid w:val="007911D8"/>
    <w:rsid w:val="0079158A"/>
    <w:rsid w:val="00791635"/>
    <w:rsid w:val="007916B3"/>
    <w:rsid w:val="00791AB7"/>
    <w:rsid w:val="00791AFC"/>
    <w:rsid w:val="00791B14"/>
    <w:rsid w:val="00791C7A"/>
    <w:rsid w:val="00791D6A"/>
    <w:rsid w:val="007922F9"/>
    <w:rsid w:val="00792509"/>
    <w:rsid w:val="00792A19"/>
    <w:rsid w:val="00792B8A"/>
    <w:rsid w:val="00792BB0"/>
    <w:rsid w:val="00792C9D"/>
    <w:rsid w:val="00792CAA"/>
    <w:rsid w:val="00792D8F"/>
    <w:rsid w:val="00793409"/>
    <w:rsid w:val="00793516"/>
    <w:rsid w:val="007939A9"/>
    <w:rsid w:val="00794C3B"/>
    <w:rsid w:val="00794CD5"/>
    <w:rsid w:val="0079542C"/>
    <w:rsid w:val="0079542F"/>
    <w:rsid w:val="00795531"/>
    <w:rsid w:val="00795976"/>
    <w:rsid w:val="007959DC"/>
    <w:rsid w:val="00795B5E"/>
    <w:rsid w:val="00795CE0"/>
    <w:rsid w:val="00795EC3"/>
    <w:rsid w:val="00796081"/>
    <w:rsid w:val="0079651A"/>
    <w:rsid w:val="00796646"/>
    <w:rsid w:val="007966CD"/>
    <w:rsid w:val="007967DF"/>
    <w:rsid w:val="00796952"/>
    <w:rsid w:val="00796990"/>
    <w:rsid w:val="00796AD9"/>
    <w:rsid w:val="00796CEA"/>
    <w:rsid w:val="00797170"/>
    <w:rsid w:val="00797DB9"/>
    <w:rsid w:val="007A01A5"/>
    <w:rsid w:val="007A0241"/>
    <w:rsid w:val="007A043F"/>
    <w:rsid w:val="007A04B4"/>
    <w:rsid w:val="007A063C"/>
    <w:rsid w:val="007A074A"/>
    <w:rsid w:val="007A082F"/>
    <w:rsid w:val="007A090C"/>
    <w:rsid w:val="007A0A6A"/>
    <w:rsid w:val="007A175B"/>
    <w:rsid w:val="007A1A35"/>
    <w:rsid w:val="007A1CC8"/>
    <w:rsid w:val="007A1D3E"/>
    <w:rsid w:val="007A1E80"/>
    <w:rsid w:val="007A1F0D"/>
    <w:rsid w:val="007A1F4A"/>
    <w:rsid w:val="007A1FE9"/>
    <w:rsid w:val="007A2212"/>
    <w:rsid w:val="007A24C2"/>
    <w:rsid w:val="007A25CE"/>
    <w:rsid w:val="007A25D6"/>
    <w:rsid w:val="007A2941"/>
    <w:rsid w:val="007A2A0F"/>
    <w:rsid w:val="007A3175"/>
    <w:rsid w:val="007A3667"/>
    <w:rsid w:val="007A36DC"/>
    <w:rsid w:val="007A380D"/>
    <w:rsid w:val="007A39E5"/>
    <w:rsid w:val="007A3A1A"/>
    <w:rsid w:val="007A3A64"/>
    <w:rsid w:val="007A4279"/>
    <w:rsid w:val="007A44CE"/>
    <w:rsid w:val="007A47F0"/>
    <w:rsid w:val="007A4839"/>
    <w:rsid w:val="007A48EF"/>
    <w:rsid w:val="007A4ABB"/>
    <w:rsid w:val="007A50CA"/>
    <w:rsid w:val="007A5463"/>
    <w:rsid w:val="007A54C0"/>
    <w:rsid w:val="007A54E4"/>
    <w:rsid w:val="007A55D6"/>
    <w:rsid w:val="007A57FC"/>
    <w:rsid w:val="007A5BDB"/>
    <w:rsid w:val="007A5D8D"/>
    <w:rsid w:val="007A6389"/>
    <w:rsid w:val="007A63CB"/>
    <w:rsid w:val="007A663C"/>
    <w:rsid w:val="007A68BE"/>
    <w:rsid w:val="007A6E0F"/>
    <w:rsid w:val="007A74A8"/>
    <w:rsid w:val="007A74D7"/>
    <w:rsid w:val="007A7623"/>
    <w:rsid w:val="007A77C7"/>
    <w:rsid w:val="007A79D1"/>
    <w:rsid w:val="007A7D1E"/>
    <w:rsid w:val="007B01C2"/>
    <w:rsid w:val="007B0361"/>
    <w:rsid w:val="007B0644"/>
    <w:rsid w:val="007B06F6"/>
    <w:rsid w:val="007B074C"/>
    <w:rsid w:val="007B0A0C"/>
    <w:rsid w:val="007B0A20"/>
    <w:rsid w:val="007B0AE6"/>
    <w:rsid w:val="007B0F18"/>
    <w:rsid w:val="007B15AA"/>
    <w:rsid w:val="007B18D9"/>
    <w:rsid w:val="007B1E76"/>
    <w:rsid w:val="007B206B"/>
    <w:rsid w:val="007B20FB"/>
    <w:rsid w:val="007B2369"/>
    <w:rsid w:val="007B237B"/>
    <w:rsid w:val="007B23EA"/>
    <w:rsid w:val="007B257C"/>
    <w:rsid w:val="007B25E8"/>
    <w:rsid w:val="007B288F"/>
    <w:rsid w:val="007B2F78"/>
    <w:rsid w:val="007B3151"/>
    <w:rsid w:val="007B31B0"/>
    <w:rsid w:val="007B34BD"/>
    <w:rsid w:val="007B3B03"/>
    <w:rsid w:val="007B3DF8"/>
    <w:rsid w:val="007B3FBB"/>
    <w:rsid w:val="007B4007"/>
    <w:rsid w:val="007B41AF"/>
    <w:rsid w:val="007B487F"/>
    <w:rsid w:val="007B4961"/>
    <w:rsid w:val="007B4979"/>
    <w:rsid w:val="007B4A5D"/>
    <w:rsid w:val="007B4AAD"/>
    <w:rsid w:val="007B4F2A"/>
    <w:rsid w:val="007B5012"/>
    <w:rsid w:val="007B5149"/>
    <w:rsid w:val="007B527A"/>
    <w:rsid w:val="007B5442"/>
    <w:rsid w:val="007B554D"/>
    <w:rsid w:val="007B5680"/>
    <w:rsid w:val="007B56F0"/>
    <w:rsid w:val="007B5C0B"/>
    <w:rsid w:val="007B5C2A"/>
    <w:rsid w:val="007B6008"/>
    <w:rsid w:val="007B63A6"/>
    <w:rsid w:val="007B6500"/>
    <w:rsid w:val="007B6571"/>
    <w:rsid w:val="007B6583"/>
    <w:rsid w:val="007B68EB"/>
    <w:rsid w:val="007B6A6F"/>
    <w:rsid w:val="007B6E66"/>
    <w:rsid w:val="007B70CD"/>
    <w:rsid w:val="007B72E8"/>
    <w:rsid w:val="007B7308"/>
    <w:rsid w:val="007B7362"/>
    <w:rsid w:val="007B7452"/>
    <w:rsid w:val="007B74D8"/>
    <w:rsid w:val="007B757E"/>
    <w:rsid w:val="007B76AE"/>
    <w:rsid w:val="007B78BE"/>
    <w:rsid w:val="007B78F2"/>
    <w:rsid w:val="007B7C34"/>
    <w:rsid w:val="007B7FDE"/>
    <w:rsid w:val="007C03DA"/>
    <w:rsid w:val="007C05C9"/>
    <w:rsid w:val="007C05CA"/>
    <w:rsid w:val="007C075D"/>
    <w:rsid w:val="007C0822"/>
    <w:rsid w:val="007C0A2C"/>
    <w:rsid w:val="007C0AFD"/>
    <w:rsid w:val="007C0B33"/>
    <w:rsid w:val="007C0DF6"/>
    <w:rsid w:val="007C0EA9"/>
    <w:rsid w:val="007C13CC"/>
    <w:rsid w:val="007C1482"/>
    <w:rsid w:val="007C1884"/>
    <w:rsid w:val="007C1A25"/>
    <w:rsid w:val="007C1C7E"/>
    <w:rsid w:val="007C1F3C"/>
    <w:rsid w:val="007C22A0"/>
    <w:rsid w:val="007C23FC"/>
    <w:rsid w:val="007C24D4"/>
    <w:rsid w:val="007C2602"/>
    <w:rsid w:val="007C2757"/>
    <w:rsid w:val="007C2758"/>
    <w:rsid w:val="007C2775"/>
    <w:rsid w:val="007C294E"/>
    <w:rsid w:val="007C2CE6"/>
    <w:rsid w:val="007C2EEC"/>
    <w:rsid w:val="007C3105"/>
    <w:rsid w:val="007C31B4"/>
    <w:rsid w:val="007C34A8"/>
    <w:rsid w:val="007C355A"/>
    <w:rsid w:val="007C40BB"/>
    <w:rsid w:val="007C40E5"/>
    <w:rsid w:val="007C41A9"/>
    <w:rsid w:val="007C421F"/>
    <w:rsid w:val="007C48A2"/>
    <w:rsid w:val="007C4C06"/>
    <w:rsid w:val="007C4CC1"/>
    <w:rsid w:val="007C5375"/>
    <w:rsid w:val="007C5A5D"/>
    <w:rsid w:val="007C5AF3"/>
    <w:rsid w:val="007C5BE2"/>
    <w:rsid w:val="007C618F"/>
    <w:rsid w:val="007C63DC"/>
    <w:rsid w:val="007C6448"/>
    <w:rsid w:val="007C6683"/>
    <w:rsid w:val="007C6813"/>
    <w:rsid w:val="007C69A7"/>
    <w:rsid w:val="007C6BA9"/>
    <w:rsid w:val="007C6DBA"/>
    <w:rsid w:val="007C6E78"/>
    <w:rsid w:val="007C6EC7"/>
    <w:rsid w:val="007C7204"/>
    <w:rsid w:val="007C73F1"/>
    <w:rsid w:val="007C79DB"/>
    <w:rsid w:val="007C7BF7"/>
    <w:rsid w:val="007C7D5C"/>
    <w:rsid w:val="007C7D83"/>
    <w:rsid w:val="007C7EB9"/>
    <w:rsid w:val="007C7EFC"/>
    <w:rsid w:val="007C7FBB"/>
    <w:rsid w:val="007D0139"/>
    <w:rsid w:val="007D068F"/>
    <w:rsid w:val="007D075D"/>
    <w:rsid w:val="007D0A06"/>
    <w:rsid w:val="007D0A48"/>
    <w:rsid w:val="007D123E"/>
    <w:rsid w:val="007D1249"/>
    <w:rsid w:val="007D1964"/>
    <w:rsid w:val="007D19BB"/>
    <w:rsid w:val="007D1A33"/>
    <w:rsid w:val="007D1BE2"/>
    <w:rsid w:val="007D1E22"/>
    <w:rsid w:val="007D21CD"/>
    <w:rsid w:val="007D23D0"/>
    <w:rsid w:val="007D2957"/>
    <w:rsid w:val="007D29F9"/>
    <w:rsid w:val="007D2E0D"/>
    <w:rsid w:val="007D2F37"/>
    <w:rsid w:val="007D307A"/>
    <w:rsid w:val="007D332B"/>
    <w:rsid w:val="007D36D1"/>
    <w:rsid w:val="007D39C5"/>
    <w:rsid w:val="007D3A8C"/>
    <w:rsid w:val="007D4062"/>
    <w:rsid w:val="007D4458"/>
    <w:rsid w:val="007D5104"/>
    <w:rsid w:val="007D51CD"/>
    <w:rsid w:val="007D55B2"/>
    <w:rsid w:val="007D590F"/>
    <w:rsid w:val="007D5C8B"/>
    <w:rsid w:val="007D5F18"/>
    <w:rsid w:val="007D602B"/>
    <w:rsid w:val="007D6413"/>
    <w:rsid w:val="007D69CB"/>
    <w:rsid w:val="007D6B23"/>
    <w:rsid w:val="007D6FDE"/>
    <w:rsid w:val="007D7105"/>
    <w:rsid w:val="007D71BA"/>
    <w:rsid w:val="007D733A"/>
    <w:rsid w:val="007D7691"/>
    <w:rsid w:val="007D779F"/>
    <w:rsid w:val="007D7C97"/>
    <w:rsid w:val="007D7D5E"/>
    <w:rsid w:val="007E013C"/>
    <w:rsid w:val="007E01B4"/>
    <w:rsid w:val="007E0602"/>
    <w:rsid w:val="007E0680"/>
    <w:rsid w:val="007E071E"/>
    <w:rsid w:val="007E0750"/>
    <w:rsid w:val="007E0760"/>
    <w:rsid w:val="007E0AF1"/>
    <w:rsid w:val="007E0CA7"/>
    <w:rsid w:val="007E0E1F"/>
    <w:rsid w:val="007E0F8C"/>
    <w:rsid w:val="007E11AF"/>
    <w:rsid w:val="007E1416"/>
    <w:rsid w:val="007E1903"/>
    <w:rsid w:val="007E1E85"/>
    <w:rsid w:val="007E206F"/>
    <w:rsid w:val="007E2407"/>
    <w:rsid w:val="007E2651"/>
    <w:rsid w:val="007E2739"/>
    <w:rsid w:val="007E28A0"/>
    <w:rsid w:val="007E294A"/>
    <w:rsid w:val="007E29C1"/>
    <w:rsid w:val="007E2A48"/>
    <w:rsid w:val="007E2AE4"/>
    <w:rsid w:val="007E2AFE"/>
    <w:rsid w:val="007E2BD6"/>
    <w:rsid w:val="007E2CB4"/>
    <w:rsid w:val="007E2CC1"/>
    <w:rsid w:val="007E2E71"/>
    <w:rsid w:val="007E2F03"/>
    <w:rsid w:val="007E3221"/>
    <w:rsid w:val="007E3263"/>
    <w:rsid w:val="007E32C7"/>
    <w:rsid w:val="007E3467"/>
    <w:rsid w:val="007E35A5"/>
    <w:rsid w:val="007E36AE"/>
    <w:rsid w:val="007E3FF1"/>
    <w:rsid w:val="007E44B8"/>
    <w:rsid w:val="007E4712"/>
    <w:rsid w:val="007E4725"/>
    <w:rsid w:val="007E47C8"/>
    <w:rsid w:val="007E4A64"/>
    <w:rsid w:val="007E4D96"/>
    <w:rsid w:val="007E51A2"/>
    <w:rsid w:val="007E5214"/>
    <w:rsid w:val="007E5334"/>
    <w:rsid w:val="007E578D"/>
    <w:rsid w:val="007E58D4"/>
    <w:rsid w:val="007E5A42"/>
    <w:rsid w:val="007E5B3D"/>
    <w:rsid w:val="007E5D94"/>
    <w:rsid w:val="007E5FAD"/>
    <w:rsid w:val="007E5FC6"/>
    <w:rsid w:val="007E64D2"/>
    <w:rsid w:val="007E6573"/>
    <w:rsid w:val="007E6D36"/>
    <w:rsid w:val="007E6DF8"/>
    <w:rsid w:val="007E6F9A"/>
    <w:rsid w:val="007E7265"/>
    <w:rsid w:val="007E7771"/>
    <w:rsid w:val="007E7AB3"/>
    <w:rsid w:val="007E7EF7"/>
    <w:rsid w:val="007F0509"/>
    <w:rsid w:val="007F083D"/>
    <w:rsid w:val="007F0AF7"/>
    <w:rsid w:val="007F0CC8"/>
    <w:rsid w:val="007F0CE4"/>
    <w:rsid w:val="007F1589"/>
    <w:rsid w:val="007F167A"/>
    <w:rsid w:val="007F181F"/>
    <w:rsid w:val="007F1823"/>
    <w:rsid w:val="007F1C3F"/>
    <w:rsid w:val="007F1CEE"/>
    <w:rsid w:val="007F1EE1"/>
    <w:rsid w:val="007F1FCE"/>
    <w:rsid w:val="007F1FF8"/>
    <w:rsid w:val="007F1FFD"/>
    <w:rsid w:val="007F21FE"/>
    <w:rsid w:val="007F25F1"/>
    <w:rsid w:val="007F2A81"/>
    <w:rsid w:val="007F2AEA"/>
    <w:rsid w:val="007F2CB9"/>
    <w:rsid w:val="007F3003"/>
    <w:rsid w:val="007F32E1"/>
    <w:rsid w:val="007F36FB"/>
    <w:rsid w:val="007F39AF"/>
    <w:rsid w:val="007F3EA7"/>
    <w:rsid w:val="007F3F8C"/>
    <w:rsid w:val="007F43B4"/>
    <w:rsid w:val="007F4515"/>
    <w:rsid w:val="007F458E"/>
    <w:rsid w:val="007F4A72"/>
    <w:rsid w:val="007F4B05"/>
    <w:rsid w:val="007F4BAA"/>
    <w:rsid w:val="007F4DE5"/>
    <w:rsid w:val="007F4DED"/>
    <w:rsid w:val="007F5240"/>
    <w:rsid w:val="007F53D7"/>
    <w:rsid w:val="007F57D6"/>
    <w:rsid w:val="007F5BFE"/>
    <w:rsid w:val="007F5BFF"/>
    <w:rsid w:val="007F5C18"/>
    <w:rsid w:val="007F5F5E"/>
    <w:rsid w:val="007F6295"/>
    <w:rsid w:val="007F6603"/>
    <w:rsid w:val="007F660C"/>
    <w:rsid w:val="007F67BE"/>
    <w:rsid w:val="007F67C2"/>
    <w:rsid w:val="007F6A3F"/>
    <w:rsid w:val="007F7A53"/>
    <w:rsid w:val="007F7B29"/>
    <w:rsid w:val="007F7BDB"/>
    <w:rsid w:val="007F7F3E"/>
    <w:rsid w:val="007F7FD3"/>
    <w:rsid w:val="008001E3"/>
    <w:rsid w:val="00800943"/>
    <w:rsid w:val="00800A0D"/>
    <w:rsid w:val="00800A19"/>
    <w:rsid w:val="00800C58"/>
    <w:rsid w:val="00800C82"/>
    <w:rsid w:val="00801275"/>
    <w:rsid w:val="0080127F"/>
    <w:rsid w:val="0080146C"/>
    <w:rsid w:val="0080163E"/>
    <w:rsid w:val="0080195B"/>
    <w:rsid w:val="00801BC1"/>
    <w:rsid w:val="00801CE5"/>
    <w:rsid w:val="008020E0"/>
    <w:rsid w:val="008023F6"/>
    <w:rsid w:val="00802423"/>
    <w:rsid w:val="0080276E"/>
    <w:rsid w:val="00802803"/>
    <w:rsid w:val="00802D86"/>
    <w:rsid w:val="00802DF0"/>
    <w:rsid w:val="0080341F"/>
    <w:rsid w:val="0080343D"/>
    <w:rsid w:val="00803548"/>
    <w:rsid w:val="008036C1"/>
    <w:rsid w:val="0080370F"/>
    <w:rsid w:val="00803B64"/>
    <w:rsid w:val="00803BEA"/>
    <w:rsid w:val="00803D29"/>
    <w:rsid w:val="00804974"/>
    <w:rsid w:val="00804CA0"/>
    <w:rsid w:val="00804CF7"/>
    <w:rsid w:val="0080500A"/>
    <w:rsid w:val="00805530"/>
    <w:rsid w:val="008056B8"/>
    <w:rsid w:val="00805753"/>
    <w:rsid w:val="00805C9F"/>
    <w:rsid w:val="00805DAF"/>
    <w:rsid w:val="008064F2"/>
    <w:rsid w:val="008066D1"/>
    <w:rsid w:val="00806818"/>
    <w:rsid w:val="00806DF1"/>
    <w:rsid w:val="00807014"/>
    <w:rsid w:val="00807045"/>
    <w:rsid w:val="0080740C"/>
    <w:rsid w:val="00807BCC"/>
    <w:rsid w:val="00807D77"/>
    <w:rsid w:val="00807E0B"/>
    <w:rsid w:val="008103E7"/>
    <w:rsid w:val="00810466"/>
    <w:rsid w:val="008104E1"/>
    <w:rsid w:val="0081062C"/>
    <w:rsid w:val="00810788"/>
    <w:rsid w:val="008108CF"/>
    <w:rsid w:val="00810E3C"/>
    <w:rsid w:val="00810EB7"/>
    <w:rsid w:val="00810F2F"/>
    <w:rsid w:val="00810F3B"/>
    <w:rsid w:val="0081108D"/>
    <w:rsid w:val="0081115A"/>
    <w:rsid w:val="008111D3"/>
    <w:rsid w:val="00811211"/>
    <w:rsid w:val="0081157F"/>
    <w:rsid w:val="00811785"/>
    <w:rsid w:val="008117A7"/>
    <w:rsid w:val="00811969"/>
    <w:rsid w:val="00811F99"/>
    <w:rsid w:val="0081221A"/>
    <w:rsid w:val="008123AE"/>
    <w:rsid w:val="0081240D"/>
    <w:rsid w:val="0081253F"/>
    <w:rsid w:val="008129B3"/>
    <w:rsid w:val="00812A4C"/>
    <w:rsid w:val="00812FD6"/>
    <w:rsid w:val="00813BCD"/>
    <w:rsid w:val="00813C9D"/>
    <w:rsid w:val="00813CF0"/>
    <w:rsid w:val="00813ED8"/>
    <w:rsid w:val="00813FEE"/>
    <w:rsid w:val="008142A1"/>
    <w:rsid w:val="00814513"/>
    <w:rsid w:val="0081456A"/>
    <w:rsid w:val="00814862"/>
    <w:rsid w:val="00814BE0"/>
    <w:rsid w:val="00814C62"/>
    <w:rsid w:val="00814E30"/>
    <w:rsid w:val="0081503D"/>
    <w:rsid w:val="00815720"/>
    <w:rsid w:val="00815D7A"/>
    <w:rsid w:val="0081616D"/>
    <w:rsid w:val="008162AF"/>
    <w:rsid w:val="0081634F"/>
    <w:rsid w:val="0081671E"/>
    <w:rsid w:val="008169D1"/>
    <w:rsid w:val="00816A25"/>
    <w:rsid w:val="00816C6A"/>
    <w:rsid w:val="00816D28"/>
    <w:rsid w:val="00816E7D"/>
    <w:rsid w:val="00816F05"/>
    <w:rsid w:val="00816FC9"/>
    <w:rsid w:val="00817233"/>
    <w:rsid w:val="00817316"/>
    <w:rsid w:val="00817562"/>
    <w:rsid w:val="0081793C"/>
    <w:rsid w:val="00817B01"/>
    <w:rsid w:val="00817C58"/>
    <w:rsid w:val="00817D20"/>
    <w:rsid w:val="00817D8E"/>
    <w:rsid w:val="00817ED0"/>
    <w:rsid w:val="00817F45"/>
    <w:rsid w:val="00820606"/>
    <w:rsid w:val="00820764"/>
    <w:rsid w:val="0082078C"/>
    <w:rsid w:val="00820F90"/>
    <w:rsid w:val="008215D1"/>
    <w:rsid w:val="008218DA"/>
    <w:rsid w:val="00821947"/>
    <w:rsid w:val="00821B21"/>
    <w:rsid w:val="0082205B"/>
    <w:rsid w:val="0082237A"/>
    <w:rsid w:val="00822742"/>
    <w:rsid w:val="00822B24"/>
    <w:rsid w:val="00822C87"/>
    <w:rsid w:val="008231D8"/>
    <w:rsid w:val="00823B41"/>
    <w:rsid w:val="008242E1"/>
    <w:rsid w:val="00824581"/>
    <w:rsid w:val="00824A52"/>
    <w:rsid w:val="00824AB0"/>
    <w:rsid w:val="00824CAD"/>
    <w:rsid w:val="00824E55"/>
    <w:rsid w:val="00824FA6"/>
    <w:rsid w:val="00825054"/>
    <w:rsid w:val="008254FB"/>
    <w:rsid w:val="00825603"/>
    <w:rsid w:val="008256C8"/>
    <w:rsid w:val="0082577B"/>
    <w:rsid w:val="0082580C"/>
    <w:rsid w:val="00825A11"/>
    <w:rsid w:val="008263C9"/>
    <w:rsid w:val="00826507"/>
    <w:rsid w:val="00826683"/>
    <w:rsid w:val="008266CD"/>
    <w:rsid w:val="00826850"/>
    <w:rsid w:val="00826FB2"/>
    <w:rsid w:val="00827162"/>
    <w:rsid w:val="00827990"/>
    <w:rsid w:val="00827ACD"/>
    <w:rsid w:val="00827D7D"/>
    <w:rsid w:val="00827DC2"/>
    <w:rsid w:val="00827EE9"/>
    <w:rsid w:val="0083025F"/>
    <w:rsid w:val="00830675"/>
    <w:rsid w:val="0083069D"/>
    <w:rsid w:val="008308DA"/>
    <w:rsid w:val="00830EDC"/>
    <w:rsid w:val="0083114D"/>
    <w:rsid w:val="0083145F"/>
    <w:rsid w:val="00831525"/>
    <w:rsid w:val="00831A4A"/>
    <w:rsid w:val="00831AA9"/>
    <w:rsid w:val="00831E4C"/>
    <w:rsid w:val="00831EA4"/>
    <w:rsid w:val="00832237"/>
    <w:rsid w:val="00832827"/>
    <w:rsid w:val="00832AA5"/>
    <w:rsid w:val="00833026"/>
    <w:rsid w:val="008330DD"/>
    <w:rsid w:val="0083366B"/>
    <w:rsid w:val="0083386C"/>
    <w:rsid w:val="00833DA6"/>
    <w:rsid w:val="00833F0E"/>
    <w:rsid w:val="00834358"/>
    <w:rsid w:val="00834503"/>
    <w:rsid w:val="008347FA"/>
    <w:rsid w:val="00834A67"/>
    <w:rsid w:val="00834CA9"/>
    <w:rsid w:val="00834D2F"/>
    <w:rsid w:val="00834D54"/>
    <w:rsid w:val="00834E53"/>
    <w:rsid w:val="00835246"/>
    <w:rsid w:val="00835962"/>
    <w:rsid w:val="00835CD8"/>
    <w:rsid w:val="00835E19"/>
    <w:rsid w:val="0083616A"/>
    <w:rsid w:val="008364D8"/>
    <w:rsid w:val="00836780"/>
    <w:rsid w:val="00836869"/>
    <w:rsid w:val="00836928"/>
    <w:rsid w:val="008369AE"/>
    <w:rsid w:val="00836A35"/>
    <w:rsid w:val="00836DB8"/>
    <w:rsid w:val="00836E37"/>
    <w:rsid w:val="00836ECF"/>
    <w:rsid w:val="00836F68"/>
    <w:rsid w:val="00837734"/>
    <w:rsid w:val="00837813"/>
    <w:rsid w:val="00837827"/>
    <w:rsid w:val="008379AA"/>
    <w:rsid w:val="00837A12"/>
    <w:rsid w:val="00840229"/>
    <w:rsid w:val="008404E6"/>
    <w:rsid w:val="008405E8"/>
    <w:rsid w:val="008407FB"/>
    <w:rsid w:val="0084110A"/>
    <w:rsid w:val="008417BA"/>
    <w:rsid w:val="0084181F"/>
    <w:rsid w:val="008419F5"/>
    <w:rsid w:val="00841AB1"/>
    <w:rsid w:val="00841CAB"/>
    <w:rsid w:val="00841CDB"/>
    <w:rsid w:val="00841E24"/>
    <w:rsid w:val="00842039"/>
    <w:rsid w:val="0084209D"/>
    <w:rsid w:val="00842D03"/>
    <w:rsid w:val="00842E70"/>
    <w:rsid w:val="00842EFE"/>
    <w:rsid w:val="00842F15"/>
    <w:rsid w:val="008430D7"/>
    <w:rsid w:val="0084332D"/>
    <w:rsid w:val="008434FA"/>
    <w:rsid w:val="00843594"/>
    <w:rsid w:val="00843763"/>
    <w:rsid w:val="0084381C"/>
    <w:rsid w:val="00843ACB"/>
    <w:rsid w:val="00843CB5"/>
    <w:rsid w:val="00843F7B"/>
    <w:rsid w:val="0084423D"/>
    <w:rsid w:val="008444AD"/>
    <w:rsid w:val="00844560"/>
    <w:rsid w:val="008447B1"/>
    <w:rsid w:val="00844DB3"/>
    <w:rsid w:val="00844E06"/>
    <w:rsid w:val="00844EA4"/>
    <w:rsid w:val="008453D1"/>
    <w:rsid w:val="00845419"/>
    <w:rsid w:val="00845B88"/>
    <w:rsid w:val="00845ECD"/>
    <w:rsid w:val="00845FA3"/>
    <w:rsid w:val="008468BE"/>
    <w:rsid w:val="00846B59"/>
    <w:rsid w:val="00847160"/>
    <w:rsid w:val="008472A3"/>
    <w:rsid w:val="00847389"/>
    <w:rsid w:val="00847489"/>
    <w:rsid w:val="00847763"/>
    <w:rsid w:val="0085068B"/>
    <w:rsid w:val="00850775"/>
    <w:rsid w:val="00850ACD"/>
    <w:rsid w:val="00850C14"/>
    <w:rsid w:val="00850E6F"/>
    <w:rsid w:val="00851535"/>
    <w:rsid w:val="00851540"/>
    <w:rsid w:val="00851695"/>
    <w:rsid w:val="008519B9"/>
    <w:rsid w:val="008519F2"/>
    <w:rsid w:val="00851B5C"/>
    <w:rsid w:val="00851CD3"/>
    <w:rsid w:val="00851F2C"/>
    <w:rsid w:val="00851FE8"/>
    <w:rsid w:val="008520EE"/>
    <w:rsid w:val="0085211D"/>
    <w:rsid w:val="0085214F"/>
    <w:rsid w:val="0085280D"/>
    <w:rsid w:val="00852939"/>
    <w:rsid w:val="00852A13"/>
    <w:rsid w:val="00852BC4"/>
    <w:rsid w:val="00852CB4"/>
    <w:rsid w:val="00852D4C"/>
    <w:rsid w:val="00852E24"/>
    <w:rsid w:val="008530AC"/>
    <w:rsid w:val="0085335B"/>
    <w:rsid w:val="0085361E"/>
    <w:rsid w:val="00853AD9"/>
    <w:rsid w:val="00853B10"/>
    <w:rsid w:val="00853B2B"/>
    <w:rsid w:val="00853BA6"/>
    <w:rsid w:val="0085403D"/>
    <w:rsid w:val="0085426B"/>
    <w:rsid w:val="00854510"/>
    <w:rsid w:val="0085475C"/>
    <w:rsid w:val="00854879"/>
    <w:rsid w:val="00854B79"/>
    <w:rsid w:val="00854BB7"/>
    <w:rsid w:val="00854BF3"/>
    <w:rsid w:val="00854FB3"/>
    <w:rsid w:val="0085519D"/>
    <w:rsid w:val="008551DF"/>
    <w:rsid w:val="00855373"/>
    <w:rsid w:val="0085543C"/>
    <w:rsid w:val="00855C74"/>
    <w:rsid w:val="00855F33"/>
    <w:rsid w:val="0085606D"/>
    <w:rsid w:val="00856586"/>
    <w:rsid w:val="00856A21"/>
    <w:rsid w:val="00856BA4"/>
    <w:rsid w:val="00856C68"/>
    <w:rsid w:val="0085731C"/>
    <w:rsid w:val="00857485"/>
    <w:rsid w:val="00857507"/>
    <w:rsid w:val="008576DD"/>
    <w:rsid w:val="0085786F"/>
    <w:rsid w:val="00857DBE"/>
    <w:rsid w:val="00860101"/>
    <w:rsid w:val="0086074A"/>
    <w:rsid w:val="00860842"/>
    <w:rsid w:val="00860A38"/>
    <w:rsid w:val="00860AC5"/>
    <w:rsid w:val="00860BA7"/>
    <w:rsid w:val="00860E67"/>
    <w:rsid w:val="0086115B"/>
    <w:rsid w:val="0086135E"/>
    <w:rsid w:val="008613D6"/>
    <w:rsid w:val="008613E4"/>
    <w:rsid w:val="0086151B"/>
    <w:rsid w:val="00861547"/>
    <w:rsid w:val="00861A86"/>
    <w:rsid w:val="00861B29"/>
    <w:rsid w:val="00861C30"/>
    <w:rsid w:val="00861E1D"/>
    <w:rsid w:val="00861E4F"/>
    <w:rsid w:val="00861F15"/>
    <w:rsid w:val="0086206A"/>
    <w:rsid w:val="008622C8"/>
    <w:rsid w:val="0086241A"/>
    <w:rsid w:val="00862580"/>
    <w:rsid w:val="0086274F"/>
    <w:rsid w:val="008627DE"/>
    <w:rsid w:val="00862F50"/>
    <w:rsid w:val="0086308E"/>
    <w:rsid w:val="00863472"/>
    <w:rsid w:val="0086358E"/>
    <w:rsid w:val="008635CA"/>
    <w:rsid w:val="008635D5"/>
    <w:rsid w:val="00863B2A"/>
    <w:rsid w:val="00863C5E"/>
    <w:rsid w:val="00863DC6"/>
    <w:rsid w:val="0086400C"/>
    <w:rsid w:val="0086408A"/>
    <w:rsid w:val="008646FC"/>
    <w:rsid w:val="00864AAF"/>
    <w:rsid w:val="00864B3E"/>
    <w:rsid w:val="00864B55"/>
    <w:rsid w:val="00864DC5"/>
    <w:rsid w:val="008652B5"/>
    <w:rsid w:val="00865C71"/>
    <w:rsid w:val="00865CEA"/>
    <w:rsid w:val="00865F8F"/>
    <w:rsid w:val="0086612F"/>
    <w:rsid w:val="0086614E"/>
    <w:rsid w:val="00866955"/>
    <w:rsid w:val="00866A28"/>
    <w:rsid w:val="00866BB5"/>
    <w:rsid w:val="008670B8"/>
    <w:rsid w:val="0086734D"/>
    <w:rsid w:val="00867391"/>
    <w:rsid w:val="008674E5"/>
    <w:rsid w:val="008675AD"/>
    <w:rsid w:val="008679DD"/>
    <w:rsid w:val="00867B52"/>
    <w:rsid w:val="00867EB4"/>
    <w:rsid w:val="00870156"/>
    <w:rsid w:val="0087037D"/>
    <w:rsid w:val="008704E8"/>
    <w:rsid w:val="00870947"/>
    <w:rsid w:val="00870F79"/>
    <w:rsid w:val="00870FDA"/>
    <w:rsid w:val="0087105B"/>
    <w:rsid w:val="008711B5"/>
    <w:rsid w:val="008712D0"/>
    <w:rsid w:val="008712EF"/>
    <w:rsid w:val="008713C9"/>
    <w:rsid w:val="008714A1"/>
    <w:rsid w:val="008715C2"/>
    <w:rsid w:val="00871647"/>
    <w:rsid w:val="0087238F"/>
    <w:rsid w:val="008725FB"/>
    <w:rsid w:val="00872816"/>
    <w:rsid w:val="00872BB5"/>
    <w:rsid w:val="00872BD3"/>
    <w:rsid w:val="00872BD7"/>
    <w:rsid w:val="00872F83"/>
    <w:rsid w:val="00873014"/>
    <w:rsid w:val="008730ED"/>
    <w:rsid w:val="008731A1"/>
    <w:rsid w:val="008732AA"/>
    <w:rsid w:val="00873353"/>
    <w:rsid w:val="00873978"/>
    <w:rsid w:val="00873C35"/>
    <w:rsid w:val="00873C81"/>
    <w:rsid w:val="00873FCF"/>
    <w:rsid w:val="00874889"/>
    <w:rsid w:val="00874DAF"/>
    <w:rsid w:val="00874E57"/>
    <w:rsid w:val="00874EC4"/>
    <w:rsid w:val="008751A3"/>
    <w:rsid w:val="008755FA"/>
    <w:rsid w:val="00875716"/>
    <w:rsid w:val="00875B62"/>
    <w:rsid w:val="00875BEA"/>
    <w:rsid w:val="0087604B"/>
    <w:rsid w:val="008761F8"/>
    <w:rsid w:val="0087652E"/>
    <w:rsid w:val="008767B1"/>
    <w:rsid w:val="00876AC1"/>
    <w:rsid w:val="00876BE6"/>
    <w:rsid w:val="00876DAB"/>
    <w:rsid w:val="0087715E"/>
    <w:rsid w:val="008772E4"/>
    <w:rsid w:val="008779A9"/>
    <w:rsid w:val="00877ADF"/>
    <w:rsid w:val="00877B0B"/>
    <w:rsid w:val="00877B12"/>
    <w:rsid w:val="00880194"/>
    <w:rsid w:val="008802E7"/>
    <w:rsid w:val="0088064A"/>
    <w:rsid w:val="00880F44"/>
    <w:rsid w:val="008815FB"/>
    <w:rsid w:val="00881601"/>
    <w:rsid w:val="008817D9"/>
    <w:rsid w:val="00881EED"/>
    <w:rsid w:val="0088263D"/>
    <w:rsid w:val="0088280A"/>
    <w:rsid w:val="00882B8C"/>
    <w:rsid w:val="00882E68"/>
    <w:rsid w:val="00882E7F"/>
    <w:rsid w:val="00882FCE"/>
    <w:rsid w:val="00883315"/>
    <w:rsid w:val="00883378"/>
    <w:rsid w:val="008834A0"/>
    <w:rsid w:val="0088354E"/>
    <w:rsid w:val="008835A9"/>
    <w:rsid w:val="00883F12"/>
    <w:rsid w:val="00884105"/>
    <w:rsid w:val="00884721"/>
    <w:rsid w:val="0088487A"/>
    <w:rsid w:val="00884D0D"/>
    <w:rsid w:val="00884D35"/>
    <w:rsid w:val="0088536B"/>
    <w:rsid w:val="0088549C"/>
    <w:rsid w:val="00885753"/>
    <w:rsid w:val="008857C6"/>
    <w:rsid w:val="008858D2"/>
    <w:rsid w:val="00885EA9"/>
    <w:rsid w:val="0088611D"/>
    <w:rsid w:val="008861F3"/>
    <w:rsid w:val="0088629B"/>
    <w:rsid w:val="00886330"/>
    <w:rsid w:val="008868F0"/>
    <w:rsid w:val="00886B79"/>
    <w:rsid w:val="00886BEA"/>
    <w:rsid w:val="0088704E"/>
    <w:rsid w:val="008871E1"/>
    <w:rsid w:val="00887525"/>
    <w:rsid w:val="00887BA5"/>
    <w:rsid w:val="00887EBA"/>
    <w:rsid w:val="0089020C"/>
    <w:rsid w:val="00890525"/>
    <w:rsid w:val="008905BA"/>
    <w:rsid w:val="00890A06"/>
    <w:rsid w:val="00890B2C"/>
    <w:rsid w:val="00890E68"/>
    <w:rsid w:val="0089113A"/>
    <w:rsid w:val="0089158B"/>
    <w:rsid w:val="00891710"/>
    <w:rsid w:val="0089193C"/>
    <w:rsid w:val="0089197E"/>
    <w:rsid w:val="00891A84"/>
    <w:rsid w:val="00891C76"/>
    <w:rsid w:val="00891DD1"/>
    <w:rsid w:val="00892057"/>
    <w:rsid w:val="008923D5"/>
    <w:rsid w:val="00892503"/>
    <w:rsid w:val="0089287B"/>
    <w:rsid w:val="00892BE3"/>
    <w:rsid w:val="00892D80"/>
    <w:rsid w:val="00892FAC"/>
    <w:rsid w:val="00893085"/>
    <w:rsid w:val="008930A5"/>
    <w:rsid w:val="0089328F"/>
    <w:rsid w:val="0089333E"/>
    <w:rsid w:val="008933C5"/>
    <w:rsid w:val="00893488"/>
    <w:rsid w:val="008935B6"/>
    <w:rsid w:val="00893760"/>
    <w:rsid w:val="00893940"/>
    <w:rsid w:val="00893D04"/>
    <w:rsid w:val="00893D57"/>
    <w:rsid w:val="008943A6"/>
    <w:rsid w:val="00894463"/>
    <w:rsid w:val="008945F6"/>
    <w:rsid w:val="00894A5F"/>
    <w:rsid w:val="00894C40"/>
    <w:rsid w:val="00894C95"/>
    <w:rsid w:val="00894F15"/>
    <w:rsid w:val="008950A2"/>
    <w:rsid w:val="0089558F"/>
    <w:rsid w:val="008956B6"/>
    <w:rsid w:val="00895843"/>
    <w:rsid w:val="0089589C"/>
    <w:rsid w:val="00895D7D"/>
    <w:rsid w:val="008961F6"/>
    <w:rsid w:val="008965D2"/>
    <w:rsid w:val="00896D65"/>
    <w:rsid w:val="00896F2D"/>
    <w:rsid w:val="00896FAA"/>
    <w:rsid w:val="008970EC"/>
    <w:rsid w:val="00897464"/>
    <w:rsid w:val="0089748C"/>
    <w:rsid w:val="0089766C"/>
    <w:rsid w:val="00897795"/>
    <w:rsid w:val="00897BBC"/>
    <w:rsid w:val="00897C5C"/>
    <w:rsid w:val="00897C89"/>
    <w:rsid w:val="00897CA9"/>
    <w:rsid w:val="008A01B2"/>
    <w:rsid w:val="008A01E6"/>
    <w:rsid w:val="008A071B"/>
    <w:rsid w:val="008A087A"/>
    <w:rsid w:val="008A0C04"/>
    <w:rsid w:val="008A0C38"/>
    <w:rsid w:val="008A1053"/>
    <w:rsid w:val="008A165E"/>
    <w:rsid w:val="008A1B21"/>
    <w:rsid w:val="008A1DAF"/>
    <w:rsid w:val="008A24DB"/>
    <w:rsid w:val="008A24FE"/>
    <w:rsid w:val="008A267A"/>
    <w:rsid w:val="008A286B"/>
    <w:rsid w:val="008A2D57"/>
    <w:rsid w:val="008A2F1E"/>
    <w:rsid w:val="008A309A"/>
    <w:rsid w:val="008A3401"/>
    <w:rsid w:val="008A3845"/>
    <w:rsid w:val="008A3A5F"/>
    <w:rsid w:val="008A3CF0"/>
    <w:rsid w:val="008A42BD"/>
    <w:rsid w:val="008A49B3"/>
    <w:rsid w:val="008A4ABF"/>
    <w:rsid w:val="008A4F89"/>
    <w:rsid w:val="008A5082"/>
    <w:rsid w:val="008A50E0"/>
    <w:rsid w:val="008A54E4"/>
    <w:rsid w:val="008A557C"/>
    <w:rsid w:val="008A5720"/>
    <w:rsid w:val="008A5920"/>
    <w:rsid w:val="008A59D2"/>
    <w:rsid w:val="008A59E2"/>
    <w:rsid w:val="008A5A2D"/>
    <w:rsid w:val="008A5E82"/>
    <w:rsid w:val="008A6376"/>
    <w:rsid w:val="008A68E2"/>
    <w:rsid w:val="008A696C"/>
    <w:rsid w:val="008A6AB1"/>
    <w:rsid w:val="008A6EC5"/>
    <w:rsid w:val="008A6F6F"/>
    <w:rsid w:val="008A72C1"/>
    <w:rsid w:val="008A739B"/>
    <w:rsid w:val="008A7411"/>
    <w:rsid w:val="008A7789"/>
    <w:rsid w:val="008A789F"/>
    <w:rsid w:val="008A79E7"/>
    <w:rsid w:val="008A7C8A"/>
    <w:rsid w:val="008B038C"/>
    <w:rsid w:val="008B04CC"/>
    <w:rsid w:val="008B0705"/>
    <w:rsid w:val="008B0A75"/>
    <w:rsid w:val="008B0B8C"/>
    <w:rsid w:val="008B10A3"/>
    <w:rsid w:val="008B1452"/>
    <w:rsid w:val="008B1492"/>
    <w:rsid w:val="008B1888"/>
    <w:rsid w:val="008B1EE2"/>
    <w:rsid w:val="008B26E4"/>
    <w:rsid w:val="008B2BA9"/>
    <w:rsid w:val="008B2FA0"/>
    <w:rsid w:val="008B3232"/>
    <w:rsid w:val="008B3249"/>
    <w:rsid w:val="008B32B5"/>
    <w:rsid w:val="008B33B9"/>
    <w:rsid w:val="008B354C"/>
    <w:rsid w:val="008B3724"/>
    <w:rsid w:val="008B38FC"/>
    <w:rsid w:val="008B39E0"/>
    <w:rsid w:val="008B3BF4"/>
    <w:rsid w:val="008B3BFB"/>
    <w:rsid w:val="008B3C40"/>
    <w:rsid w:val="008B3D07"/>
    <w:rsid w:val="008B3F07"/>
    <w:rsid w:val="008B3F83"/>
    <w:rsid w:val="008B41F4"/>
    <w:rsid w:val="008B4210"/>
    <w:rsid w:val="008B4556"/>
    <w:rsid w:val="008B4777"/>
    <w:rsid w:val="008B4A92"/>
    <w:rsid w:val="008B4B08"/>
    <w:rsid w:val="008B51C9"/>
    <w:rsid w:val="008B525F"/>
    <w:rsid w:val="008B533C"/>
    <w:rsid w:val="008B53FB"/>
    <w:rsid w:val="008B5469"/>
    <w:rsid w:val="008B54F2"/>
    <w:rsid w:val="008B56EC"/>
    <w:rsid w:val="008B57FE"/>
    <w:rsid w:val="008B585C"/>
    <w:rsid w:val="008B59FD"/>
    <w:rsid w:val="008B5A8E"/>
    <w:rsid w:val="008B5C4B"/>
    <w:rsid w:val="008B5E7D"/>
    <w:rsid w:val="008B5E89"/>
    <w:rsid w:val="008B5EF9"/>
    <w:rsid w:val="008B5FD4"/>
    <w:rsid w:val="008B6245"/>
    <w:rsid w:val="008B6351"/>
    <w:rsid w:val="008B675B"/>
    <w:rsid w:val="008B6CBF"/>
    <w:rsid w:val="008B6F23"/>
    <w:rsid w:val="008B6FDF"/>
    <w:rsid w:val="008B717C"/>
    <w:rsid w:val="008B758B"/>
    <w:rsid w:val="008B75DE"/>
    <w:rsid w:val="008B75EE"/>
    <w:rsid w:val="008B7F73"/>
    <w:rsid w:val="008C02AA"/>
    <w:rsid w:val="008C0517"/>
    <w:rsid w:val="008C0620"/>
    <w:rsid w:val="008C0C56"/>
    <w:rsid w:val="008C0E51"/>
    <w:rsid w:val="008C0F07"/>
    <w:rsid w:val="008C1128"/>
    <w:rsid w:val="008C118A"/>
    <w:rsid w:val="008C11AD"/>
    <w:rsid w:val="008C19A3"/>
    <w:rsid w:val="008C1D45"/>
    <w:rsid w:val="008C1FB8"/>
    <w:rsid w:val="008C2114"/>
    <w:rsid w:val="008C258F"/>
    <w:rsid w:val="008C27B7"/>
    <w:rsid w:val="008C2949"/>
    <w:rsid w:val="008C2D66"/>
    <w:rsid w:val="008C31E7"/>
    <w:rsid w:val="008C3578"/>
    <w:rsid w:val="008C35AE"/>
    <w:rsid w:val="008C367C"/>
    <w:rsid w:val="008C3754"/>
    <w:rsid w:val="008C37F6"/>
    <w:rsid w:val="008C3884"/>
    <w:rsid w:val="008C3B5F"/>
    <w:rsid w:val="008C4323"/>
    <w:rsid w:val="008C437B"/>
    <w:rsid w:val="008C46B2"/>
    <w:rsid w:val="008C4F76"/>
    <w:rsid w:val="008C505E"/>
    <w:rsid w:val="008C55CF"/>
    <w:rsid w:val="008C5605"/>
    <w:rsid w:val="008C56CE"/>
    <w:rsid w:val="008C56E6"/>
    <w:rsid w:val="008C5733"/>
    <w:rsid w:val="008C5C92"/>
    <w:rsid w:val="008C614C"/>
    <w:rsid w:val="008C659A"/>
    <w:rsid w:val="008C67AC"/>
    <w:rsid w:val="008C693C"/>
    <w:rsid w:val="008C6FC2"/>
    <w:rsid w:val="008C7092"/>
    <w:rsid w:val="008C72B6"/>
    <w:rsid w:val="008C72B7"/>
    <w:rsid w:val="008C731E"/>
    <w:rsid w:val="008C73F8"/>
    <w:rsid w:val="008C744A"/>
    <w:rsid w:val="008C7552"/>
    <w:rsid w:val="008C76C4"/>
    <w:rsid w:val="008C7795"/>
    <w:rsid w:val="008C78D4"/>
    <w:rsid w:val="008C7987"/>
    <w:rsid w:val="008C7B5D"/>
    <w:rsid w:val="008D0154"/>
    <w:rsid w:val="008D01AA"/>
    <w:rsid w:val="008D0B56"/>
    <w:rsid w:val="008D0CDB"/>
    <w:rsid w:val="008D0DF4"/>
    <w:rsid w:val="008D109B"/>
    <w:rsid w:val="008D117D"/>
    <w:rsid w:val="008D123C"/>
    <w:rsid w:val="008D1631"/>
    <w:rsid w:val="008D185D"/>
    <w:rsid w:val="008D1DB5"/>
    <w:rsid w:val="008D1DEB"/>
    <w:rsid w:val="008D23C3"/>
    <w:rsid w:val="008D249D"/>
    <w:rsid w:val="008D26C1"/>
    <w:rsid w:val="008D271B"/>
    <w:rsid w:val="008D29EC"/>
    <w:rsid w:val="008D2C81"/>
    <w:rsid w:val="008D30B1"/>
    <w:rsid w:val="008D343C"/>
    <w:rsid w:val="008D3448"/>
    <w:rsid w:val="008D3D02"/>
    <w:rsid w:val="008D3D16"/>
    <w:rsid w:val="008D3D34"/>
    <w:rsid w:val="008D4226"/>
    <w:rsid w:val="008D438D"/>
    <w:rsid w:val="008D467A"/>
    <w:rsid w:val="008D46F5"/>
    <w:rsid w:val="008D4703"/>
    <w:rsid w:val="008D48D8"/>
    <w:rsid w:val="008D48E3"/>
    <w:rsid w:val="008D492E"/>
    <w:rsid w:val="008D4DA0"/>
    <w:rsid w:val="008D4EBB"/>
    <w:rsid w:val="008D5136"/>
    <w:rsid w:val="008D5316"/>
    <w:rsid w:val="008D57EA"/>
    <w:rsid w:val="008D586A"/>
    <w:rsid w:val="008D58AC"/>
    <w:rsid w:val="008D59AC"/>
    <w:rsid w:val="008D5C8C"/>
    <w:rsid w:val="008D6867"/>
    <w:rsid w:val="008D6C32"/>
    <w:rsid w:val="008D6D5F"/>
    <w:rsid w:val="008D6E40"/>
    <w:rsid w:val="008D6F68"/>
    <w:rsid w:val="008D6FB0"/>
    <w:rsid w:val="008D798B"/>
    <w:rsid w:val="008D7EA2"/>
    <w:rsid w:val="008D7F43"/>
    <w:rsid w:val="008D7F7E"/>
    <w:rsid w:val="008E0654"/>
    <w:rsid w:val="008E073D"/>
    <w:rsid w:val="008E0835"/>
    <w:rsid w:val="008E0C30"/>
    <w:rsid w:val="008E0C70"/>
    <w:rsid w:val="008E0DA1"/>
    <w:rsid w:val="008E1134"/>
    <w:rsid w:val="008E11E7"/>
    <w:rsid w:val="008E1309"/>
    <w:rsid w:val="008E13CF"/>
    <w:rsid w:val="008E1841"/>
    <w:rsid w:val="008E1900"/>
    <w:rsid w:val="008E195E"/>
    <w:rsid w:val="008E20D0"/>
    <w:rsid w:val="008E2419"/>
    <w:rsid w:val="008E29D7"/>
    <w:rsid w:val="008E2C05"/>
    <w:rsid w:val="008E331F"/>
    <w:rsid w:val="008E3841"/>
    <w:rsid w:val="008E38BD"/>
    <w:rsid w:val="008E3D62"/>
    <w:rsid w:val="008E459F"/>
    <w:rsid w:val="008E4662"/>
    <w:rsid w:val="008E4CE2"/>
    <w:rsid w:val="008E4D3C"/>
    <w:rsid w:val="008E5264"/>
    <w:rsid w:val="008E5305"/>
    <w:rsid w:val="008E5459"/>
    <w:rsid w:val="008E56C9"/>
    <w:rsid w:val="008E58DD"/>
    <w:rsid w:val="008E59C4"/>
    <w:rsid w:val="008E5D43"/>
    <w:rsid w:val="008E5D53"/>
    <w:rsid w:val="008E5FFC"/>
    <w:rsid w:val="008E60B1"/>
    <w:rsid w:val="008E63A9"/>
    <w:rsid w:val="008E6635"/>
    <w:rsid w:val="008E6A05"/>
    <w:rsid w:val="008E6B03"/>
    <w:rsid w:val="008E6CFC"/>
    <w:rsid w:val="008E705C"/>
    <w:rsid w:val="008E765F"/>
    <w:rsid w:val="008E7854"/>
    <w:rsid w:val="008F0196"/>
    <w:rsid w:val="008F0230"/>
    <w:rsid w:val="008F0957"/>
    <w:rsid w:val="008F0A90"/>
    <w:rsid w:val="008F0F20"/>
    <w:rsid w:val="008F1239"/>
    <w:rsid w:val="008F13C2"/>
    <w:rsid w:val="008F1970"/>
    <w:rsid w:val="008F1985"/>
    <w:rsid w:val="008F1C7E"/>
    <w:rsid w:val="008F1FAB"/>
    <w:rsid w:val="008F1FEE"/>
    <w:rsid w:val="008F208F"/>
    <w:rsid w:val="008F22E7"/>
    <w:rsid w:val="008F2800"/>
    <w:rsid w:val="008F2A24"/>
    <w:rsid w:val="008F2A26"/>
    <w:rsid w:val="008F2BDA"/>
    <w:rsid w:val="008F2D63"/>
    <w:rsid w:val="008F2F07"/>
    <w:rsid w:val="008F2F61"/>
    <w:rsid w:val="008F2FB3"/>
    <w:rsid w:val="008F34CC"/>
    <w:rsid w:val="008F3A03"/>
    <w:rsid w:val="008F3A26"/>
    <w:rsid w:val="008F3A6E"/>
    <w:rsid w:val="008F3C24"/>
    <w:rsid w:val="008F3D42"/>
    <w:rsid w:val="008F3E2E"/>
    <w:rsid w:val="008F3EDC"/>
    <w:rsid w:val="008F4247"/>
    <w:rsid w:val="008F483C"/>
    <w:rsid w:val="008F487E"/>
    <w:rsid w:val="008F4BC3"/>
    <w:rsid w:val="008F4BDE"/>
    <w:rsid w:val="008F4C7C"/>
    <w:rsid w:val="008F51E5"/>
    <w:rsid w:val="008F5250"/>
    <w:rsid w:val="008F53CF"/>
    <w:rsid w:val="008F540B"/>
    <w:rsid w:val="008F58D6"/>
    <w:rsid w:val="008F5F44"/>
    <w:rsid w:val="008F5FAC"/>
    <w:rsid w:val="008F681D"/>
    <w:rsid w:val="008F68BD"/>
    <w:rsid w:val="008F6B48"/>
    <w:rsid w:val="008F6C9A"/>
    <w:rsid w:val="008F6D90"/>
    <w:rsid w:val="008F6E47"/>
    <w:rsid w:val="008F7374"/>
    <w:rsid w:val="008F7408"/>
    <w:rsid w:val="008F7412"/>
    <w:rsid w:val="008F79C3"/>
    <w:rsid w:val="008F7A9A"/>
    <w:rsid w:val="008F7E3C"/>
    <w:rsid w:val="008F7E87"/>
    <w:rsid w:val="009000AC"/>
    <w:rsid w:val="00900297"/>
    <w:rsid w:val="009002B8"/>
    <w:rsid w:val="009007FE"/>
    <w:rsid w:val="00900887"/>
    <w:rsid w:val="009008A6"/>
    <w:rsid w:val="00900BE3"/>
    <w:rsid w:val="00900F14"/>
    <w:rsid w:val="00901011"/>
    <w:rsid w:val="009010C8"/>
    <w:rsid w:val="0090176B"/>
    <w:rsid w:val="00901886"/>
    <w:rsid w:val="00901BF8"/>
    <w:rsid w:val="00902018"/>
    <w:rsid w:val="009023B2"/>
    <w:rsid w:val="009025EB"/>
    <w:rsid w:val="0090271E"/>
    <w:rsid w:val="00902920"/>
    <w:rsid w:val="00902B40"/>
    <w:rsid w:val="00903281"/>
    <w:rsid w:val="00903318"/>
    <w:rsid w:val="00903421"/>
    <w:rsid w:val="009035C2"/>
    <w:rsid w:val="0090362C"/>
    <w:rsid w:val="00903666"/>
    <w:rsid w:val="009036FE"/>
    <w:rsid w:val="00903795"/>
    <w:rsid w:val="00903AD0"/>
    <w:rsid w:val="00904017"/>
    <w:rsid w:val="0090405F"/>
    <w:rsid w:val="009042B0"/>
    <w:rsid w:val="009042B3"/>
    <w:rsid w:val="0090433A"/>
    <w:rsid w:val="009043BA"/>
    <w:rsid w:val="009047C4"/>
    <w:rsid w:val="00904881"/>
    <w:rsid w:val="00904C6F"/>
    <w:rsid w:val="009050BB"/>
    <w:rsid w:val="009052B1"/>
    <w:rsid w:val="00905783"/>
    <w:rsid w:val="00905FF1"/>
    <w:rsid w:val="009060FD"/>
    <w:rsid w:val="0090626D"/>
    <w:rsid w:val="00906367"/>
    <w:rsid w:val="00906692"/>
    <w:rsid w:val="009068B3"/>
    <w:rsid w:val="00906B95"/>
    <w:rsid w:val="00906D0E"/>
    <w:rsid w:val="009073C9"/>
    <w:rsid w:val="0090771E"/>
    <w:rsid w:val="00907BD0"/>
    <w:rsid w:val="00910302"/>
    <w:rsid w:val="009104DB"/>
    <w:rsid w:val="009108A3"/>
    <w:rsid w:val="0091096C"/>
    <w:rsid w:val="00910B1E"/>
    <w:rsid w:val="00910D18"/>
    <w:rsid w:val="00910E61"/>
    <w:rsid w:val="00911134"/>
    <w:rsid w:val="00911262"/>
    <w:rsid w:val="0091149D"/>
    <w:rsid w:val="00911A5F"/>
    <w:rsid w:val="00911B73"/>
    <w:rsid w:val="00911F89"/>
    <w:rsid w:val="00912251"/>
    <w:rsid w:val="0091231B"/>
    <w:rsid w:val="0091253A"/>
    <w:rsid w:val="009125D2"/>
    <w:rsid w:val="009128CF"/>
    <w:rsid w:val="00912CB0"/>
    <w:rsid w:val="0091310C"/>
    <w:rsid w:val="009132D6"/>
    <w:rsid w:val="0091352F"/>
    <w:rsid w:val="0091389F"/>
    <w:rsid w:val="009139C4"/>
    <w:rsid w:val="00913BA9"/>
    <w:rsid w:val="009144D0"/>
    <w:rsid w:val="009147A3"/>
    <w:rsid w:val="00914871"/>
    <w:rsid w:val="00914AAB"/>
    <w:rsid w:val="00914CD0"/>
    <w:rsid w:val="00914EF5"/>
    <w:rsid w:val="00915524"/>
    <w:rsid w:val="009155CA"/>
    <w:rsid w:val="00915D15"/>
    <w:rsid w:val="00915F67"/>
    <w:rsid w:val="00916218"/>
    <w:rsid w:val="00916696"/>
    <w:rsid w:val="0091740B"/>
    <w:rsid w:val="00917484"/>
    <w:rsid w:val="00917795"/>
    <w:rsid w:val="00917A70"/>
    <w:rsid w:val="00917FBF"/>
    <w:rsid w:val="0092006E"/>
    <w:rsid w:val="00920133"/>
    <w:rsid w:val="00920286"/>
    <w:rsid w:val="00920485"/>
    <w:rsid w:val="009206E7"/>
    <w:rsid w:val="009207BE"/>
    <w:rsid w:val="009207D0"/>
    <w:rsid w:val="00920EA1"/>
    <w:rsid w:val="00920EB3"/>
    <w:rsid w:val="009212F3"/>
    <w:rsid w:val="00921754"/>
    <w:rsid w:val="00921794"/>
    <w:rsid w:val="0092182F"/>
    <w:rsid w:val="00921AF1"/>
    <w:rsid w:val="00921CF1"/>
    <w:rsid w:val="0092233A"/>
    <w:rsid w:val="0092239E"/>
    <w:rsid w:val="0092243E"/>
    <w:rsid w:val="00922594"/>
    <w:rsid w:val="0092288D"/>
    <w:rsid w:val="00922D89"/>
    <w:rsid w:val="00922EED"/>
    <w:rsid w:val="00923032"/>
    <w:rsid w:val="009233DC"/>
    <w:rsid w:val="009234B1"/>
    <w:rsid w:val="00923A64"/>
    <w:rsid w:val="00923E02"/>
    <w:rsid w:val="00923E2A"/>
    <w:rsid w:val="00923E45"/>
    <w:rsid w:val="00923FD5"/>
    <w:rsid w:val="0092412A"/>
    <w:rsid w:val="009241DB"/>
    <w:rsid w:val="00924363"/>
    <w:rsid w:val="00924B1A"/>
    <w:rsid w:val="00924B6D"/>
    <w:rsid w:val="00924DE1"/>
    <w:rsid w:val="00924E87"/>
    <w:rsid w:val="00924E93"/>
    <w:rsid w:val="00925042"/>
    <w:rsid w:val="009250D7"/>
    <w:rsid w:val="009255C9"/>
    <w:rsid w:val="00925B31"/>
    <w:rsid w:val="00926136"/>
    <w:rsid w:val="00926416"/>
    <w:rsid w:val="009264A8"/>
    <w:rsid w:val="009264FE"/>
    <w:rsid w:val="00926973"/>
    <w:rsid w:val="009269D7"/>
    <w:rsid w:val="00927023"/>
    <w:rsid w:val="00927DA3"/>
    <w:rsid w:val="00927F28"/>
    <w:rsid w:val="00927F62"/>
    <w:rsid w:val="00930114"/>
    <w:rsid w:val="009303AC"/>
    <w:rsid w:val="0093067A"/>
    <w:rsid w:val="00930CF2"/>
    <w:rsid w:val="00930D44"/>
    <w:rsid w:val="009313D3"/>
    <w:rsid w:val="009314FB"/>
    <w:rsid w:val="009319B6"/>
    <w:rsid w:val="00931C1A"/>
    <w:rsid w:val="00931D83"/>
    <w:rsid w:val="00931D9E"/>
    <w:rsid w:val="00931DE1"/>
    <w:rsid w:val="00931E8A"/>
    <w:rsid w:val="00931EDD"/>
    <w:rsid w:val="00931EE6"/>
    <w:rsid w:val="00931F47"/>
    <w:rsid w:val="00931F96"/>
    <w:rsid w:val="009321D1"/>
    <w:rsid w:val="009321E2"/>
    <w:rsid w:val="009321F7"/>
    <w:rsid w:val="009322B7"/>
    <w:rsid w:val="00932CB6"/>
    <w:rsid w:val="00932CE5"/>
    <w:rsid w:val="00932F1B"/>
    <w:rsid w:val="00933457"/>
    <w:rsid w:val="009334AB"/>
    <w:rsid w:val="00933C45"/>
    <w:rsid w:val="00933C9E"/>
    <w:rsid w:val="009342B6"/>
    <w:rsid w:val="00934684"/>
    <w:rsid w:val="00934772"/>
    <w:rsid w:val="009347E2"/>
    <w:rsid w:val="00934DC8"/>
    <w:rsid w:val="00935157"/>
    <w:rsid w:val="009351C7"/>
    <w:rsid w:val="009352FD"/>
    <w:rsid w:val="00935331"/>
    <w:rsid w:val="00935456"/>
    <w:rsid w:val="00935595"/>
    <w:rsid w:val="009359A4"/>
    <w:rsid w:val="009359A7"/>
    <w:rsid w:val="00935A1D"/>
    <w:rsid w:val="00935A57"/>
    <w:rsid w:val="00935AA4"/>
    <w:rsid w:val="00935ACB"/>
    <w:rsid w:val="00935C85"/>
    <w:rsid w:val="009361F4"/>
    <w:rsid w:val="00936673"/>
    <w:rsid w:val="009368B8"/>
    <w:rsid w:val="00936A83"/>
    <w:rsid w:val="00936CE1"/>
    <w:rsid w:val="00937026"/>
    <w:rsid w:val="00937383"/>
    <w:rsid w:val="00937574"/>
    <w:rsid w:val="00937B5A"/>
    <w:rsid w:val="00937BF5"/>
    <w:rsid w:val="00937CC0"/>
    <w:rsid w:val="0094009B"/>
    <w:rsid w:val="00940227"/>
    <w:rsid w:val="009406DB"/>
    <w:rsid w:val="00940839"/>
    <w:rsid w:val="00940871"/>
    <w:rsid w:val="00940D11"/>
    <w:rsid w:val="00940F85"/>
    <w:rsid w:val="009412F5"/>
    <w:rsid w:val="009414B6"/>
    <w:rsid w:val="00941533"/>
    <w:rsid w:val="00941638"/>
    <w:rsid w:val="009418F5"/>
    <w:rsid w:val="00941905"/>
    <w:rsid w:val="00941A26"/>
    <w:rsid w:val="00941A45"/>
    <w:rsid w:val="00941CA1"/>
    <w:rsid w:val="00941F4F"/>
    <w:rsid w:val="00942180"/>
    <w:rsid w:val="0094228C"/>
    <w:rsid w:val="0094249C"/>
    <w:rsid w:val="009425BC"/>
    <w:rsid w:val="0094265F"/>
    <w:rsid w:val="009429AF"/>
    <w:rsid w:val="0094316E"/>
    <w:rsid w:val="00943AE7"/>
    <w:rsid w:val="00943B3A"/>
    <w:rsid w:val="00943D09"/>
    <w:rsid w:val="00943E53"/>
    <w:rsid w:val="009442A9"/>
    <w:rsid w:val="009442D3"/>
    <w:rsid w:val="00944AA0"/>
    <w:rsid w:val="00944B36"/>
    <w:rsid w:val="00944B48"/>
    <w:rsid w:val="00944BD3"/>
    <w:rsid w:val="00944C04"/>
    <w:rsid w:val="00945097"/>
    <w:rsid w:val="0094540A"/>
    <w:rsid w:val="00945659"/>
    <w:rsid w:val="00945671"/>
    <w:rsid w:val="00945B8D"/>
    <w:rsid w:val="00945D30"/>
    <w:rsid w:val="00945ECE"/>
    <w:rsid w:val="0094619F"/>
    <w:rsid w:val="009468F2"/>
    <w:rsid w:val="00946AA1"/>
    <w:rsid w:val="00946C24"/>
    <w:rsid w:val="00946E7A"/>
    <w:rsid w:val="00947192"/>
    <w:rsid w:val="00947241"/>
    <w:rsid w:val="0094733E"/>
    <w:rsid w:val="009475EC"/>
    <w:rsid w:val="00947686"/>
    <w:rsid w:val="0094796A"/>
    <w:rsid w:val="00947A94"/>
    <w:rsid w:val="00947B39"/>
    <w:rsid w:val="00947BD9"/>
    <w:rsid w:val="00947D71"/>
    <w:rsid w:val="00947DBC"/>
    <w:rsid w:val="00947F60"/>
    <w:rsid w:val="009503B5"/>
    <w:rsid w:val="0095086E"/>
    <w:rsid w:val="009509E4"/>
    <w:rsid w:val="00950F3D"/>
    <w:rsid w:val="0095121E"/>
    <w:rsid w:val="00951561"/>
    <w:rsid w:val="009516B0"/>
    <w:rsid w:val="00951782"/>
    <w:rsid w:val="00951D08"/>
    <w:rsid w:val="009522B3"/>
    <w:rsid w:val="009523C3"/>
    <w:rsid w:val="00952558"/>
    <w:rsid w:val="009526D6"/>
    <w:rsid w:val="009529F2"/>
    <w:rsid w:val="00952A3E"/>
    <w:rsid w:val="00952EF7"/>
    <w:rsid w:val="00953107"/>
    <w:rsid w:val="009534CE"/>
    <w:rsid w:val="00954064"/>
    <w:rsid w:val="009540F3"/>
    <w:rsid w:val="00954370"/>
    <w:rsid w:val="00954489"/>
    <w:rsid w:val="00954715"/>
    <w:rsid w:val="00954759"/>
    <w:rsid w:val="0095488C"/>
    <w:rsid w:val="009548B9"/>
    <w:rsid w:val="00955284"/>
    <w:rsid w:val="009553C5"/>
    <w:rsid w:val="0095572F"/>
    <w:rsid w:val="00955A62"/>
    <w:rsid w:val="00956188"/>
    <w:rsid w:val="0095651B"/>
    <w:rsid w:val="009567A2"/>
    <w:rsid w:val="0095683F"/>
    <w:rsid w:val="00956859"/>
    <w:rsid w:val="00956BA2"/>
    <w:rsid w:val="00956CB0"/>
    <w:rsid w:val="00957024"/>
    <w:rsid w:val="00957DD1"/>
    <w:rsid w:val="00957FF2"/>
    <w:rsid w:val="00960100"/>
    <w:rsid w:val="00960103"/>
    <w:rsid w:val="00960254"/>
    <w:rsid w:val="0096039B"/>
    <w:rsid w:val="009607C3"/>
    <w:rsid w:val="009608DD"/>
    <w:rsid w:val="00960E74"/>
    <w:rsid w:val="00960F23"/>
    <w:rsid w:val="00961845"/>
    <w:rsid w:val="0096188B"/>
    <w:rsid w:val="009619D8"/>
    <w:rsid w:val="00961D46"/>
    <w:rsid w:val="00961E6B"/>
    <w:rsid w:val="00962016"/>
    <w:rsid w:val="00962140"/>
    <w:rsid w:val="0096261D"/>
    <w:rsid w:val="00962683"/>
    <w:rsid w:val="00962D26"/>
    <w:rsid w:val="00963689"/>
    <w:rsid w:val="00963697"/>
    <w:rsid w:val="009639B4"/>
    <w:rsid w:val="00963D8F"/>
    <w:rsid w:val="0096404A"/>
    <w:rsid w:val="00964250"/>
    <w:rsid w:val="009642A7"/>
    <w:rsid w:val="009642B0"/>
    <w:rsid w:val="0096475B"/>
    <w:rsid w:val="0096493A"/>
    <w:rsid w:val="00964951"/>
    <w:rsid w:val="0096509C"/>
    <w:rsid w:val="0096551A"/>
    <w:rsid w:val="00965565"/>
    <w:rsid w:val="00965DF2"/>
    <w:rsid w:val="00965F68"/>
    <w:rsid w:val="00966085"/>
    <w:rsid w:val="0096630B"/>
    <w:rsid w:val="0096632A"/>
    <w:rsid w:val="00966650"/>
    <w:rsid w:val="0096684D"/>
    <w:rsid w:val="00966C38"/>
    <w:rsid w:val="00966E83"/>
    <w:rsid w:val="00966E9E"/>
    <w:rsid w:val="009671C8"/>
    <w:rsid w:val="0096732E"/>
    <w:rsid w:val="00967359"/>
    <w:rsid w:val="00967719"/>
    <w:rsid w:val="009677E8"/>
    <w:rsid w:val="00967AEE"/>
    <w:rsid w:val="00967C56"/>
    <w:rsid w:val="00967D78"/>
    <w:rsid w:val="00967FDB"/>
    <w:rsid w:val="009702E7"/>
    <w:rsid w:val="00970501"/>
    <w:rsid w:val="00970931"/>
    <w:rsid w:val="00970E4B"/>
    <w:rsid w:val="009711BC"/>
    <w:rsid w:val="00971306"/>
    <w:rsid w:val="00971399"/>
    <w:rsid w:val="009718BF"/>
    <w:rsid w:val="00971934"/>
    <w:rsid w:val="009719F7"/>
    <w:rsid w:val="00971A93"/>
    <w:rsid w:val="00971F7C"/>
    <w:rsid w:val="009723FD"/>
    <w:rsid w:val="0097296E"/>
    <w:rsid w:val="00972B8C"/>
    <w:rsid w:val="00972BBF"/>
    <w:rsid w:val="00972C7D"/>
    <w:rsid w:val="0097309D"/>
    <w:rsid w:val="0097358C"/>
    <w:rsid w:val="00973733"/>
    <w:rsid w:val="00973780"/>
    <w:rsid w:val="00973847"/>
    <w:rsid w:val="00973D00"/>
    <w:rsid w:val="009744D4"/>
    <w:rsid w:val="0097465B"/>
    <w:rsid w:val="00975AAD"/>
    <w:rsid w:val="00975EAB"/>
    <w:rsid w:val="00975FD6"/>
    <w:rsid w:val="00976166"/>
    <w:rsid w:val="009761DF"/>
    <w:rsid w:val="00976512"/>
    <w:rsid w:val="00976652"/>
    <w:rsid w:val="00976737"/>
    <w:rsid w:val="009767CD"/>
    <w:rsid w:val="00976AF1"/>
    <w:rsid w:val="00976B84"/>
    <w:rsid w:val="00976D28"/>
    <w:rsid w:val="00977397"/>
    <w:rsid w:val="009775EE"/>
    <w:rsid w:val="009778A9"/>
    <w:rsid w:val="00977BC3"/>
    <w:rsid w:val="00980029"/>
    <w:rsid w:val="009806C5"/>
    <w:rsid w:val="0098089F"/>
    <w:rsid w:val="00980B39"/>
    <w:rsid w:val="00980B41"/>
    <w:rsid w:val="00980C71"/>
    <w:rsid w:val="00980D64"/>
    <w:rsid w:val="00980D9B"/>
    <w:rsid w:val="009818FE"/>
    <w:rsid w:val="00981A30"/>
    <w:rsid w:val="00981BA0"/>
    <w:rsid w:val="00981BA1"/>
    <w:rsid w:val="00981D7C"/>
    <w:rsid w:val="00981E2E"/>
    <w:rsid w:val="00981FA7"/>
    <w:rsid w:val="0098245C"/>
    <w:rsid w:val="00982999"/>
    <w:rsid w:val="00982BFA"/>
    <w:rsid w:val="00982FB2"/>
    <w:rsid w:val="00983036"/>
    <w:rsid w:val="00983136"/>
    <w:rsid w:val="00983165"/>
    <w:rsid w:val="00983457"/>
    <w:rsid w:val="00983727"/>
    <w:rsid w:val="00983AA0"/>
    <w:rsid w:val="00984271"/>
    <w:rsid w:val="009848FA"/>
    <w:rsid w:val="00984BAA"/>
    <w:rsid w:val="00984CB1"/>
    <w:rsid w:val="00984DDC"/>
    <w:rsid w:val="00985522"/>
    <w:rsid w:val="0098553D"/>
    <w:rsid w:val="009857F3"/>
    <w:rsid w:val="009859EB"/>
    <w:rsid w:val="00985BFF"/>
    <w:rsid w:val="009862C8"/>
    <w:rsid w:val="00986CC6"/>
    <w:rsid w:val="00987137"/>
    <w:rsid w:val="009871DD"/>
    <w:rsid w:val="00987384"/>
    <w:rsid w:val="00987387"/>
    <w:rsid w:val="00987561"/>
    <w:rsid w:val="009876BA"/>
    <w:rsid w:val="00987A6D"/>
    <w:rsid w:val="00987E89"/>
    <w:rsid w:val="009903F4"/>
    <w:rsid w:val="009906F7"/>
    <w:rsid w:val="00990C0D"/>
    <w:rsid w:val="00990C46"/>
    <w:rsid w:val="00990CA6"/>
    <w:rsid w:val="00990DC7"/>
    <w:rsid w:val="00990FF9"/>
    <w:rsid w:val="00991467"/>
    <w:rsid w:val="00991592"/>
    <w:rsid w:val="009916F5"/>
    <w:rsid w:val="00991863"/>
    <w:rsid w:val="00991996"/>
    <w:rsid w:val="00991B9C"/>
    <w:rsid w:val="00991C81"/>
    <w:rsid w:val="00991EE7"/>
    <w:rsid w:val="00991F23"/>
    <w:rsid w:val="00991F86"/>
    <w:rsid w:val="009920EF"/>
    <w:rsid w:val="009927A8"/>
    <w:rsid w:val="00992A7C"/>
    <w:rsid w:val="00992D4E"/>
    <w:rsid w:val="00992D51"/>
    <w:rsid w:val="00992D5A"/>
    <w:rsid w:val="0099323D"/>
    <w:rsid w:val="00993354"/>
    <w:rsid w:val="009933BE"/>
    <w:rsid w:val="00993405"/>
    <w:rsid w:val="00993985"/>
    <w:rsid w:val="00993DA2"/>
    <w:rsid w:val="00993DCD"/>
    <w:rsid w:val="00993E7B"/>
    <w:rsid w:val="00993F72"/>
    <w:rsid w:val="00994030"/>
    <w:rsid w:val="009944BE"/>
    <w:rsid w:val="00994517"/>
    <w:rsid w:val="00994700"/>
    <w:rsid w:val="009947BD"/>
    <w:rsid w:val="009947C9"/>
    <w:rsid w:val="00994E7E"/>
    <w:rsid w:val="00994FC9"/>
    <w:rsid w:val="009953EB"/>
    <w:rsid w:val="0099550A"/>
    <w:rsid w:val="009956B9"/>
    <w:rsid w:val="00995718"/>
    <w:rsid w:val="009959B6"/>
    <w:rsid w:val="00995D34"/>
    <w:rsid w:val="00995D59"/>
    <w:rsid w:val="0099631A"/>
    <w:rsid w:val="009964A9"/>
    <w:rsid w:val="00996833"/>
    <w:rsid w:val="009968EC"/>
    <w:rsid w:val="009969E5"/>
    <w:rsid w:val="00996F27"/>
    <w:rsid w:val="0099712A"/>
    <w:rsid w:val="00997154"/>
    <w:rsid w:val="009972B4"/>
    <w:rsid w:val="00997656"/>
    <w:rsid w:val="00997BB2"/>
    <w:rsid w:val="00997D81"/>
    <w:rsid w:val="00997E6D"/>
    <w:rsid w:val="009A09C5"/>
    <w:rsid w:val="009A0BCE"/>
    <w:rsid w:val="009A0F03"/>
    <w:rsid w:val="009A116A"/>
    <w:rsid w:val="009A11DC"/>
    <w:rsid w:val="009A124E"/>
    <w:rsid w:val="009A1906"/>
    <w:rsid w:val="009A1BD8"/>
    <w:rsid w:val="009A1BF9"/>
    <w:rsid w:val="009A1C9E"/>
    <w:rsid w:val="009A1F11"/>
    <w:rsid w:val="009A1F54"/>
    <w:rsid w:val="009A2104"/>
    <w:rsid w:val="009A2205"/>
    <w:rsid w:val="009A2690"/>
    <w:rsid w:val="009A2894"/>
    <w:rsid w:val="009A31A8"/>
    <w:rsid w:val="009A347B"/>
    <w:rsid w:val="009A368A"/>
    <w:rsid w:val="009A3E1C"/>
    <w:rsid w:val="009A3F0B"/>
    <w:rsid w:val="009A41CD"/>
    <w:rsid w:val="009A4AF5"/>
    <w:rsid w:val="009A4DA4"/>
    <w:rsid w:val="009A5759"/>
    <w:rsid w:val="009A5E6D"/>
    <w:rsid w:val="009A63E9"/>
    <w:rsid w:val="009A69D7"/>
    <w:rsid w:val="009A6AD5"/>
    <w:rsid w:val="009A6CB5"/>
    <w:rsid w:val="009A7593"/>
    <w:rsid w:val="009B048C"/>
    <w:rsid w:val="009B058D"/>
    <w:rsid w:val="009B0827"/>
    <w:rsid w:val="009B0BE1"/>
    <w:rsid w:val="009B0C86"/>
    <w:rsid w:val="009B0CA5"/>
    <w:rsid w:val="009B0D2F"/>
    <w:rsid w:val="009B0DE4"/>
    <w:rsid w:val="009B10D5"/>
    <w:rsid w:val="009B1AF6"/>
    <w:rsid w:val="009B1C66"/>
    <w:rsid w:val="009B26BE"/>
    <w:rsid w:val="009B283F"/>
    <w:rsid w:val="009B2B65"/>
    <w:rsid w:val="009B3595"/>
    <w:rsid w:val="009B371A"/>
    <w:rsid w:val="009B4095"/>
    <w:rsid w:val="009B40BF"/>
    <w:rsid w:val="009B4146"/>
    <w:rsid w:val="009B43E5"/>
    <w:rsid w:val="009B4680"/>
    <w:rsid w:val="009B476C"/>
    <w:rsid w:val="009B4904"/>
    <w:rsid w:val="009B4EED"/>
    <w:rsid w:val="009B4F7A"/>
    <w:rsid w:val="009B53CC"/>
    <w:rsid w:val="009B5731"/>
    <w:rsid w:val="009B6172"/>
    <w:rsid w:val="009B61B6"/>
    <w:rsid w:val="009B6312"/>
    <w:rsid w:val="009B6417"/>
    <w:rsid w:val="009B6790"/>
    <w:rsid w:val="009B6CFA"/>
    <w:rsid w:val="009B6F7A"/>
    <w:rsid w:val="009B703E"/>
    <w:rsid w:val="009B7077"/>
    <w:rsid w:val="009B70FF"/>
    <w:rsid w:val="009B73C4"/>
    <w:rsid w:val="009B73CB"/>
    <w:rsid w:val="009B77D6"/>
    <w:rsid w:val="009B79D8"/>
    <w:rsid w:val="009B7D24"/>
    <w:rsid w:val="009C012D"/>
    <w:rsid w:val="009C09EE"/>
    <w:rsid w:val="009C0D07"/>
    <w:rsid w:val="009C0DAF"/>
    <w:rsid w:val="009C0DE4"/>
    <w:rsid w:val="009C0F0C"/>
    <w:rsid w:val="009C114B"/>
    <w:rsid w:val="009C1480"/>
    <w:rsid w:val="009C1833"/>
    <w:rsid w:val="009C1984"/>
    <w:rsid w:val="009C19ED"/>
    <w:rsid w:val="009C2104"/>
    <w:rsid w:val="009C23E5"/>
    <w:rsid w:val="009C25C2"/>
    <w:rsid w:val="009C26F4"/>
    <w:rsid w:val="009C2E7B"/>
    <w:rsid w:val="009C2F59"/>
    <w:rsid w:val="009C32E8"/>
    <w:rsid w:val="009C332E"/>
    <w:rsid w:val="009C3507"/>
    <w:rsid w:val="009C39AE"/>
    <w:rsid w:val="009C3B4D"/>
    <w:rsid w:val="009C3D52"/>
    <w:rsid w:val="009C3DCC"/>
    <w:rsid w:val="009C42B3"/>
    <w:rsid w:val="009C430E"/>
    <w:rsid w:val="009C47CE"/>
    <w:rsid w:val="009C4878"/>
    <w:rsid w:val="009C4898"/>
    <w:rsid w:val="009C4C5E"/>
    <w:rsid w:val="009C4DEC"/>
    <w:rsid w:val="009C52C7"/>
    <w:rsid w:val="009C5455"/>
    <w:rsid w:val="009C5935"/>
    <w:rsid w:val="009C6089"/>
    <w:rsid w:val="009C622E"/>
    <w:rsid w:val="009C62D9"/>
    <w:rsid w:val="009C638B"/>
    <w:rsid w:val="009C638D"/>
    <w:rsid w:val="009C6AE2"/>
    <w:rsid w:val="009C6C6E"/>
    <w:rsid w:val="009C6CFD"/>
    <w:rsid w:val="009C6D44"/>
    <w:rsid w:val="009C6DCA"/>
    <w:rsid w:val="009C6F76"/>
    <w:rsid w:val="009C70A6"/>
    <w:rsid w:val="009C70E0"/>
    <w:rsid w:val="009C757C"/>
    <w:rsid w:val="009C76BD"/>
    <w:rsid w:val="009C7CFD"/>
    <w:rsid w:val="009C7D5D"/>
    <w:rsid w:val="009C7D7E"/>
    <w:rsid w:val="009D00BB"/>
    <w:rsid w:val="009D0544"/>
    <w:rsid w:val="009D05DE"/>
    <w:rsid w:val="009D0A5D"/>
    <w:rsid w:val="009D0DF1"/>
    <w:rsid w:val="009D1844"/>
    <w:rsid w:val="009D1F11"/>
    <w:rsid w:val="009D236E"/>
    <w:rsid w:val="009D2522"/>
    <w:rsid w:val="009D27ED"/>
    <w:rsid w:val="009D2877"/>
    <w:rsid w:val="009D3085"/>
    <w:rsid w:val="009D3271"/>
    <w:rsid w:val="009D35CB"/>
    <w:rsid w:val="009D389D"/>
    <w:rsid w:val="009D395E"/>
    <w:rsid w:val="009D3EDF"/>
    <w:rsid w:val="009D415C"/>
    <w:rsid w:val="009D420C"/>
    <w:rsid w:val="009D4428"/>
    <w:rsid w:val="009D45C7"/>
    <w:rsid w:val="009D4650"/>
    <w:rsid w:val="009D4973"/>
    <w:rsid w:val="009D4980"/>
    <w:rsid w:val="009D4DA2"/>
    <w:rsid w:val="009D524F"/>
    <w:rsid w:val="009D5292"/>
    <w:rsid w:val="009D544B"/>
    <w:rsid w:val="009D5530"/>
    <w:rsid w:val="009D5737"/>
    <w:rsid w:val="009D5899"/>
    <w:rsid w:val="009D593B"/>
    <w:rsid w:val="009D59D5"/>
    <w:rsid w:val="009D5D9D"/>
    <w:rsid w:val="009D5FC0"/>
    <w:rsid w:val="009D61DE"/>
    <w:rsid w:val="009D62DF"/>
    <w:rsid w:val="009D663E"/>
    <w:rsid w:val="009D6672"/>
    <w:rsid w:val="009D6994"/>
    <w:rsid w:val="009D6A44"/>
    <w:rsid w:val="009D6D93"/>
    <w:rsid w:val="009D6E22"/>
    <w:rsid w:val="009D6F29"/>
    <w:rsid w:val="009D6FBB"/>
    <w:rsid w:val="009D743E"/>
    <w:rsid w:val="009D74C7"/>
    <w:rsid w:val="009D774B"/>
    <w:rsid w:val="009D7969"/>
    <w:rsid w:val="009D7E84"/>
    <w:rsid w:val="009E00FC"/>
    <w:rsid w:val="009E05D0"/>
    <w:rsid w:val="009E0803"/>
    <w:rsid w:val="009E0846"/>
    <w:rsid w:val="009E08C9"/>
    <w:rsid w:val="009E16F0"/>
    <w:rsid w:val="009E191E"/>
    <w:rsid w:val="009E1CB6"/>
    <w:rsid w:val="009E1D94"/>
    <w:rsid w:val="009E2245"/>
    <w:rsid w:val="009E230D"/>
    <w:rsid w:val="009E24AB"/>
    <w:rsid w:val="009E25D8"/>
    <w:rsid w:val="009E2AA5"/>
    <w:rsid w:val="009E2D1B"/>
    <w:rsid w:val="009E2E70"/>
    <w:rsid w:val="009E3047"/>
    <w:rsid w:val="009E39AB"/>
    <w:rsid w:val="009E3E93"/>
    <w:rsid w:val="009E3F29"/>
    <w:rsid w:val="009E3F6C"/>
    <w:rsid w:val="009E3F91"/>
    <w:rsid w:val="009E3F9A"/>
    <w:rsid w:val="009E3FB8"/>
    <w:rsid w:val="009E46AA"/>
    <w:rsid w:val="009E47EE"/>
    <w:rsid w:val="009E4A44"/>
    <w:rsid w:val="009E4D26"/>
    <w:rsid w:val="009E53CF"/>
    <w:rsid w:val="009E56A1"/>
    <w:rsid w:val="009E5B05"/>
    <w:rsid w:val="009E62AA"/>
    <w:rsid w:val="009E65E5"/>
    <w:rsid w:val="009E67A8"/>
    <w:rsid w:val="009E695B"/>
    <w:rsid w:val="009E6C07"/>
    <w:rsid w:val="009E6D18"/>
    <w:rsid w:val="009E6DF1"/>
    <w:rsid w:val="009E6EE8"/>
    <w:rsid w:val="009E72C2"/>
    <w:rsid w:val="009E7384"/>
    <w:rsid w:val="009E750E"/>
    <w:rsid w:val="009E7D6F"/>
    <w:rsid w:val="009E7DAD"/>
    <w:rsid w:val="009E7F0E"/>
    <w:rsid w:val="009F0ECD"/>
    <w:rsid w:val="009F0FA1"/>
    <w:rsid w:val="009F114E"/>
    <w:rsid w:val="009F131D"/>
    <w:rsid w:val="009F1575"/>
    <w:rsid w:val="009F1605"/>
    <w:rsid w:val="009F16BF"/>
    <w:rsid w:val="009F1B09"/>
    <w:rsid w:val="009F1B41"/>
    <w:rsid w:val="009F1C31"/>
    <w:rsid w:val="009F1E36"/>
    <w:rsid w:val="009F28AF"/>
    <w:rsid w:val="009F2E33"/>
    <w:rsid w:val="009F2F44"/>
    <w:rsid w:val="009F3152"/>
    <w:rsid w:val="009F34D1"/>
    <w:rsid w:val="009F3531"/>
    <w:rsid w:val="009F3532"/>
    <w:rsid w:val="009F3BA7"/>
    <w:rsid w:val="009F3CE8"/>
    <w:rsid w:val="009F3DA9"/>
    <w:rsid w:val="009F403B"/>
    <w:rsid w:val="009F40E8"/>
    <w:rsid w:val="009F429E"/>
    <w:rsid w:val="009F45E9"/>
    <w:rsid w:val="009F45F3"/>
    <w:rsid w:val="009F48F7"/>
    <w:rsid w:val="009F4AE4"/>
    <w:rsid w:val="009F4CD7"/>
    <w:rsid w:val="009F507F"/>
    <w:rsid w:val="009F5085"/>
    <w:rsid w:val="009F51F3"/>
    <w:rsid w:val="009F5337"/>
    <w:rsid w:val="009F5484"/>
    <w:rsid w:val="009F54B6"/>
    <w:rsid w:val="009F5860"/>
    <w:rsid w:val="009F5962"/>
    <w:rsid w:val="009F59A8"/>
    <w:rsid w:val="009F60CC"/>
    <w:rsid w:val="009F625F"/>
    <w:rsid w:val="009F6825"/>
    <w:rsid w:val="009F69D3"/>
    <w:rsid w:val="009F6B75"/>
    <w:rsid w:val="009F6E89"/>
    <w:rsid w:val="009F6EAA"/>
    <w:rsid w:val="009F6EE4"/>
    <w:rsid w:val="009F7045"/>
    <w:rsid w:val="009F763B"/>
    <w:rsid w:val="009F7686"/>
    <w:rsid w:val="009F79DE"/>
    <w:rsid w:val="009F7AF3"/>
    <w:rsid w:val="009F7CD8"/>
    <w:rsid w:val="009FC205"/>
    <w:rsid w:val="00A0004F"/>
    <w:rsid w:val="00A00169"/>
    <w:rsid w:val="00A003FA"/>
    <w:rsid w:val="00A00692"/>
    <w:rsid w:val="00A00900"/>
    <w:rsid w:val="00A00D00"/>
    <w:rsid w:val="00A00FA4"/>
    <w:rsid w:val="00A01212"/>
    <w:rsid w:val="00A016B8"/>
    <w:rsid w:val="00A01A39"/>
    <w:rsid w:val="00A01ADA"/>
    <w:rsid w:val="00A01CDD"/>
    <w:rsid w:val="00A01E10"/>
    <w:rsid w:val="00A01E15"/>
    <w:rsid w:val="00A0215D"/>
    <w:rsid w:val="00A02324"/>
    <w:rsid w:val="00A02544"/>
    <w:rsid w:val="00A0294C"/>
    <w:rsid w:val="00A02982"/>
    <w:rsid w:val="00A02CD7"/>
    <w:rsid w:val="00A02E62"/>
    <w:rsid w:val="00A0330C"/>
    <w:rsid w:val="00A03D40"/>
    <w:rsid w:val="00A03F77"/>
    <w:rsid w:val="00A042B4"/>
    <w:rsid w:val="00A04482"/>
    <w:rsid w:val="00A044D8"/>
    <w:rsid w:val="00A04592"/>
    <w:rsid w:val="00A048F4"/>
    <w:rsid w:val="00A04BF9"/>
    <w:rsid w:val="00A04F3B"/>
    <w:rsid w:val="00A05110"/>
    <w:rsid w:val="00A052C3"/>
    <w:rsid w:val="00A056EB"/>
    <w:rsid w:val="00A05863"/>
    <w:rsid w:val="00A05B6F"/>
    <w:rsid w:val="00A05C67"/>
    <w:rsid w:val="00A05EDA"/>
    <w:rsid w:val="00A05FC6"/>
    <w:rsid w:val="00A064EB"/>
    <w:rsid w:val="00A06811"/>
    <w:rsid w:val="00A068A6"/>
    <w:rsid w:val="00A06A04"/>
    <w:rsid w:val="00A06A89"/>
    <w:rsid w:val="00A06AD9"/>
    <w:rsid w:val="00A06D27"/>
    <w:rsid w:val="00A0768E"/>
    <w:rsid w:val="00A077E2"/>
    <w:rsid w:val="00A07C67"/>
    <w:rsid w:val="00A07D61"/>
    <w:rsid w:val="00A10257"/>
    <w:rsid w:val="00A103E2"/>
    <w:rsid w:val="00A1046B"/>
    <w:rsid w:val="00A10675"/>
    <w:rsid w:val="00A107F7"/>
    <w:rsid w:val="00A108E9"/>
    <w:rsid w:val="00A10C29"/>
    <w:rsid w:val="00A110D0"/>
    <w:rsid w:val="00A1135A"/>
    <w:rsid w:val="00A113AC"/>
    <w:rsid w:val="00A11601"/>
    <w:rsid w:val="00A1263C"/>
    <w:rsid w:val="00A12820"/>
    <w:rsid w:val="00A12AC7"/>
    <w:rsid w:val="00A12F57"/>
    <w:rsid w:val="00A13240"/>
    <w:rsid w:val="00A13254"/>
    <w:rsid w:val="00A133FF"/>
    <w:rsid w:val="00A1348C"/>
    <w:rsid w:val="00A1356E"/>
    <w:rsid w:val="00A1362E"/>
    <w:rsid w:val="00A1365A"/>
    <w:rsid w:val="00A137E4"/>
    <w:rsid w:val="00A13A8C"/>
    <w:rsid w:val="00A14219"/>
    <w:rsid w:val="00A14256"/>
    <w:rsid w:val="00A14395"/>
    <w:rsid w:val="00A146AC"/>
    <w:rsid w:val="00A14762"/>
    <w:rsid w:val="00A14B73"/>
    <w:rsid w:val="00A14F79"/>
    <w:rsid w:val="00A1509A"/>
    <w:rsid w:val="00A1509F"/>
    <w:rsid w:val="00A1532C"/>
    <w:rsid w:val="00A154CC"/>
    <w:rsid w:val="00A156BF"/>
    <w:rsid w:val="00A15732"/>
    <w:rsid w:val="00A15CD3"/>
    <w:rsid w:val="00A16492"/>
    <w:rsid w:val="00A16685"/>
    <w:rsid w:val="00A166BA"/>
    <w:rsid w:val="00A16B53"/>
    <w:rsid w:val="00A16BFE"/>
    <w:rsid w:val="00A16EC3"/>
    <w:rsid w:val="00A170C9"/>
    <w:rsid w:val="00A17185"/>
    <w:rsid w:val="00A179CC"/>
    <w:rsid w:val="00A17A6C"/>
    <w:rsid w:val="00A17D4E"/>
    <w:rsid w:val="00A17F24"/>
    <w:rsid w:val="00A20263"/>
    <w:rsid w:val="00A2099D"/>
    <w:rsid w:val="00A20B11"/>
    <w:rsid w:val="00A20CCA"/>
    <w:rsid w:val="00A212C8"/>
    <w:rsid w:val="00A2146F"/>
    <w:rsid w:val="00A21476"/>
    <w:rsid w:val="00A21873"/>
    <w:rsid w:val="00A21B5D"/>
    <w:rsid w:val="00A21E65"/>
    <w:rsid w:val="00A21E70"/>
    <w:rsid w:val="00A22132"/>
    <w:rsid w:val="00A2218B"/>
    <w:rsid w:val="00A221CD"/>
    <w:rsid w:val="00A22202"/>
    <w:rsid w:val="00A22549"/>
    <w:rsid w:val="00A225E8"/>
    <w:rsid w:val="00A2261C"/>
    <w:rsid w:val="00A2270F"/>
    <w:rsid w:val="00A22A7B"/>
    <w:rsid w:val="00A22AFF"/>
    <w:rsid w:val="00A22F19"/>
    <w:rsid w:val="00A23112"/>
    <w:rsid w:val="00A232E3"/>
    <w:rsid w:val="00A237A8"/>
    <w:rsid w:val="00A240C7"/>
    <w:rsid w:val="00A2453E"/>
    <w:rsid w:val="00A247FD"/>
    <w:rsid w:val="00A24A63"/>
    <w:rsid w:val="00A24C48"/>
    <w:rsid w:val="00A251F3"/>
    <w:rsid w:val="00A2545A"/>
    <w:rsid w:val="00A254EB"/>
    <w:rsid w:val="00A25D42"/>
    <w:rsid w:val="00A25FFC"/>
    <w:rsid w:val="00A262DF"/>
    <w:rsid w:val="00A26368"/>
    <w:rsid w:val="00A2687B"/>
    <w:rsid w:val="00A26BDD"/>
    <w:rsid w:val="00A26DE2"/>
    <w:rsid w:val="00A26EF7"/>
    <w:rsid w:val="00A274B1"/>
    <w:rsid w:val="00A276E8"/>
    <w:rsid w:val="00A2787C"/>
    <w:rsid w:val="00A27C24"/>
    <w:rsid w:val="00A27C84"/>
    <w:rsid w:val="00A30139"/>
    <w:rsid w:val="00A3051D"/>
    <w:rsid w:val="00A30ADA"/>
    <w:rsid w:val="00A30B57"/>
    <w:rsid w:val="00A30B98"/>
    <w:rsid w:val="00A30FF9"/>
    <w:rsid w:val="00A31029"/>
    <w:rsid w:val="00A31337"/>
    <w:rsid w:val="00A3134E"/>
    <w:rsid w:val="00A316D5"/>
    <w:rsid w:val="00A31ACA"/>
    <w:rsid w:val="00A31E12"/>
    <w:rsid w:val="00A3230F"/>
    <w:rsid w:val="00A32D29"/>
    <w:rsid w:val="00A32DF5"/>
    <w:rsid w:val="00A32FAA"/>
    <w:rsid w:val="00A3309A"/>
    <w:rsid w:val="00A330FC"/>
    <w:rsid w:val="00A331E4"/>
    <w:rsid w:val="00A3340F"/>
    <w:rsid w:val="00A337F8"/>
    <w:rsid w:val="00A33A88"/>
    <w:rsid w:val="00A33E0D"/>
    <w:rsid w:val="00A34064"/>
    <w:rsid w:val="00A34142"/>
    <w:rsid w:val="00A3417F"/>
    <w:rsid w:val="00A3450B"/>
    <w:rsid w:val="00A34570"/>
    <w:rsid w:val="00A3465A"/>
    <w:rsid w:val="00A34BAB"/>
    <w:rsid w:val="00A34FA3"/>
    <w:rsid w:val="00A350F2"/>
    <w:rsid w:val="00A35199"/>
    <w:rsid w:val="00A354A7"/>
    <w:rsid w:val="00A35A6E"/>
    <w:rsid w:val="00A35D72"/>
    <w:rsid w:val="00A361D7"/>
    <w:rsid w:val="00A3642A"/>
    <w:rsid w:val="00A36682"/>
    <w:rsid w:val="00A36D3D"/>
    <w:rsid w:val="00A36DAF"/>
    <w:rsid w:val="00A3735A"/>
    <w:rsid w:val="00A3735F"/>
    <w:rsid w:val="00A373DE"/>
    <w:rsid w:val="00A3752B"/>
    <w:rsid w:val="00A3763E"/>
    <w:rsid w:val="00A376FF"/>
    <w:rsid w:val="00A3774D"/>
    <w:rsid w:val="00A3779B"/>
    <w:rsid w:val="00A3790F"/>
    <w:rsid w:val="00A4011F"/>
    <w:rsid w:val="00A4031E"/>
    <w:rsid w:val="00A40346"/>
    <w:rsid w:val="00A4035E"/>
    <w:rsid w:val="00A4057A"/>
    <w:rsid w:val="00A40652"/>
    <w:rsid w:val="00A40F0D"/>
    <w:rsid w:val="00A410B7"/>
    <w:rsid w:val="00A4125B"/>
    <w:rsid w:val="00A412B8"/>
    <w:rsid w:val="00A413AA"/>
    <w:rsid w:val="00A413B1"/>
    <w:rsid w:val="00A41457"/>
    <w:rsid w:val="00A41559"/>
    <w:rsid w:val="00A41945"/>
    <w:rsid w:val="00A41BCA"/>
    <w:rsid w:val="00A41D99"/>
    <w:rsid w:val="00A41DBC"/>
    <w:rsid w:val="00A41E99"/>
    <w:rsid w:val="00A4201E"/>
    <w:rsid w:val="00A4239F"/>
    <w:rsid w:val="00A42826"/>
    <w:rsid w:val="00A42AB4"/>
    <w:rsid w:val="00A42D25"/>
    <w:rsid w:val="00A43125"/>
    <w:rsid w:val="00A4331F"/>
    <w:rsid w:val="00A43321"/>
    <w:rsid w:val="00A43426"/>
    <w:rsid w:val="00A43599"/>
    <w:rsid w:val="00A43A6D"/>
    <w:rsid w:val="00A444DA"/>
    <w:rsid w:val="00A44A29"/>
    <w:rsid w:val="00A44BF1"/>
    <w:rsid w:val="00A44DDB"/>
    <w:rsid w:val="00A44E04"/>
    <w:rsid w:val="00A45136"/>
    <w:rsid w:val="00A45363"/>
    <w:rsid w:val="00A453EB"/>
    <w:rsid w:val="00A45BB3"/>
    <w:rsid w:val="00A45F22"/>
    <w:rsid w:val="00A4619C"/>
    <w:rsid w:val="00A46812"/>
    <w:rsid w:val="00A46A40"/>
    <w:rsid w:val="00A46BC3"/>
    <w:rsid w:val="00A46E71"/>
    <w:rsid w:val="00A471DC"/>
    <w:rsid w:val="00A473E1"/>
    <w:rsid w:val="00A4757B"/>
    <w:rsid w:val="00A477E9"/>
    <w:rsid w:val="00A501F3"/>
    <w:rsid w:val="00A50357"/>
    <w:rsid w:val="00A50A1A"/>
    <w:rsid w:val="00A5115F"/>
    <w:rsid w:val="00A51335"/>
    <w:rsid w:val="00A515E7"/>
    <w:rsid w:val="00A51818"/>
    <w:rsid w:val="00A518DC"/>
    <w:rsid w:val="00A51E5D"/>
    <w:rsid w:val="00A52072"/>
    <w:rsid w:val="00A52243"/>
    <w:rsid w:val="00A524DE"/>
    <w:rsid w:val="00A524FB"/>
    <w:rsid w:val="00A52701"/>
    <w:rsid w:val="00A529FE"/>
    <w:rsid w:val="00A53271"/>
    <w:rsid w:val="00A53607"/>
    <w:rsid w:val="00A53A91"/>
    <w:rsid w:val="00A53B8C"/>
    <w:rsid w:val="00A53EE2"/>
    <w:rsid w:val="00A53F26"/>
    <w:rsid w:val="00A545FC"/>
    <w:rsid w:val="00A54902"/>
    <w:rsid w:val="00A549D2"/>
    <w:rsid w:val="00A54AB8"/>
    <w:rsid w:val="00A54CCD"/>
    <w:rsid w:val="00A5522D"/>
    <w:rsid w:val="00A55602"/>
    <w:rsid w:val="00A5586C"/>
    <w:rsid w:val="00A55D0C"/>
    <w:rsid w:val="00A55F01"/>
    <w:rsid w:val="00A55FAF"/>
    <w:rsid w:val="00A56074"/>
    <w:rsid w:val="00A5703E"/>
    <w:rsid w:val="00A57259"/>
    <w:rsid w:val="00A579AD"/>
    <w:rsid w:val="00A57BBF"/>
    <w:rsid w:val="00A60221"/>
    <w:rsid w:val="00A60411"/>
    <w:rsid w:val="00A604FA"/>
    <w:rsid w:val="00A6078A"/>
    <w:rsid w:val="00A609CC"/>
    <w:rsid w:val="00A60AA1"/>
    <w:rsid w:val="00A60E96"/>
    <w:rsid w:val="00A60F2D"/>
    <w:rsid w:val="00A61353"/>
    <w:rsid w:val="00A6148D"/>
    <w:rsid w:val="00A615E4"/>
    <w:rsid w:val="00A617AB"/>
    <w:rsid w:val="00A61860"/>
    <w:rsid w:val="00A618A1"/>
    <w:rsid w:val="00A61A71"/>
    <w:rsid w:val="00A61E4C"/>
    <w:rsid w:val="00A61E84"/>
    <w:rsid w:val="00A6223B"/>
    <w:rsid w:val="00A62419"/>
    <w:rsid w:val="00A62AAC"/>
    <w:rsid w:val="00A62F4F"/>
    <w:rsid w:val="00A6373B"/>
    <w:rsid w:val="00A63788"/>
    <w:rsid w:val="00A63B28"/>
    <w:rsid w:val="00A63F46"/>
    <w:rsid w:val="00A64540"/>
    <w:rsid w:val="00A646BF"/>
    <w:rsid w:val="00A64908"/>
    <w:rsid w:val="00A6495A"/>
    <w:rsid w:val="00A64B24"/>
    <w:rsid w:val="00A64FEB"/>
    <w:rsid w:val="00A650BF"/>
    <w:rsid w:val="00A65211"/>
    <w:rsid w:val="00A656E4"/>
    <w:rsid w:val="00A658FC"/>
    <w:rsid w:val="00A65CFB"/>
    <w:rsid w:val="00A6613A"/>
    <w:rsid w:val="00A664CD"/>
    <w:rsid w:val="00A66777"/>
    <w:rsid w:val="00A66818"/>
    <w:rsid w:val="00A66AC6"/>
    <w:rsid w:val="00A66F05"/>
    <w:rsid w:val="00A66F7A"/>
    <w:rsid w:val="00A70065"/>
    <w:rsid w:val="00A700D1"/>
    <w:rsid w:val="00A70243"/>
    <w:rsid w:val="00A70360"/>
    <w:rsid w:val="00A70689"/>
    <w:rsid w:val="00A708C7"/>
    <w:rsid w:val="00A70994"/>
    <w:rsid w:val="00A709F1"/>
    <w:rsid w:val="00A718D8"/>
    <w:rsid w:val="00A71989"/>
    <w:rsid w:val="00A71A31"/>
    <w:rsid w:val="00A71BD5"/>
    <w:rsid w:val="00A71C7A"/>
    <w:rsid w:val="00A71CA7"/>
    <w:rsid w:val="00A71DFA"/>
    <w:rsid w:val="00A71EDC"/>
    <w:rsid w:val="00A720DE"/>
    <w:rsid w:val="00A72170"/>
    <w:rsid w:val="00A72A08"/>
    <w:rsid w:val="00A72A36"/>
    <w:rsid w:val="00A72E2D"/>
    <w:rsid w:val="00A72EA2"/>
    <w:rsid w:val="00A730B3"/>
    <w:rsid w:val="00A73236"/>
    <w:rsid w:val="00A735F0"/>
    <w:rsid w:val="00A73917"/>
    <w:rsid w:val="00A73C3D"/>
    <w:rsid w:val="00A73CDC"/>
    <w:rsid w:val="00A73D44"/>
    <w:rsid w:val="00A7418A"/>
    <w:rsid w:val="00A74345"/>
    <w:rsid w:val="00A74507"/>
    <w:rsid w:val="00A747EF"/>
    <w:rsid w:val="00A74BC5"/>
    <w:rsid w:val="00A74F9A"/>
    <w:rsid w:val="00A7589A"/>
    <w:rsid w:val="00A75B0F"/>
    <w:rsid w:val="00A76B6F"/>
    <w:rsid w:val="00A76CD8"/>
    <w:rsid w:val="00A76CE0"/>
    <w:rsid w:val="00A772E7"/>
    <w:rsid w:val="00A77435"/>
    <w:rsid w:val="00A77653"/>
    <w:rsid w:val="00A777D6"/>
    <w:rsid w:val="00A778E3"/>
    <w:rsid w:val="00A77D09"/>
    <w:rsid w:val="00A77DEC"/>
    <w:rsid w:val="00A77F29"/>
    <w:rsid w:val="00A8012D"/>
    <w:rsid w:val="00A80323"/>
    <w:rsid w:val="00A80B24"/>
    <w:rsid w:val="00A80C74"/>
    <w:rsid w:val="00A80EBC"/>
    <w:rsid w:val="00A80F2C"/>
    <w:rsid w:val="00A813CC"/>
    <w:rsid w:val="00A8151C"/>
    <w:rsid w:val="00A816A2"/>
    <w:rsid w:val="00A81A27"/>
    <w:rsid w:val="00A81A79"/>
    <w:rsid w:val="00A81E34"/>
    <w:rsid w:val="00A82999"/>
    <w:rsid w:val="00A82F3B"/>
    <w:rsid w:val="00A83656"/>
    <w:rsid w:val="00A83669"/>
    <w:rsid w:val="00A83B4E"/>
    <w:rsid w:val="00A83B70"/>
    <w:rsid w:val="00A83B78"/>
    <w:rsid w:val="00A83E4F"/>
    <w:rsid w:val="00A84143"/>
    <w:rsid w:val="00A843DD"/>
    <w:rsid w:val="00A84840"/>
    <w:rsid w:val="00A8498C"/>
    <w:rsid w:val="00A85469"/>
    <w:rsid w:val="00A85480"/>
    <w:rsid w:val="00A8570B"/>
    <w:rsid w:val="00A8578F"/>
    <w:rsid w:val="00A85968"/>
    <w:rsid w:val="00A85BBC"/>
    <w:rsid w:val="00A85C2F"/>
    <w:rsid w:val="00A85CA4"/>
    <w:rsid w:val="00A85D6A"/>
    <w:rsid w:val="00A85DB8"/>
    <w:rsid w:val="00A85E68"/>
    <w:rsid w:val="00A85E7E"/>
    <w:rsid w:val="00A85FF6"/>
    <w:rsid w:val="00A8639E"/>
    <w:rsid w:val="00A86795"/>
    <w:rsid w:val="00A86907"/>
    <w:rsid w:val="00A86A2C"/>
    <w:rsid w:val="00A86B40"/>
    <w:rsid w:val="00A86EC3"/>
    <w:rsid w:val="00A872BF"/>
    <w:rsid w:val="00A872C9"/>
    <w:rsid w:val="00A878BA"/>
    <w:rsid w:val="00A879A4"/>
    <w:rsid w:val="00A87C12"/>
    <w:rsid w:val="00A90355"/>
    <w:rsid w:val="00A9051C"/>
    <w:rsid w:val="00A90C91"/>
    <w:rsid w:val="00A90E57"/>
    <w:rsid w:val="00A90F19"/>
    <w:rsid w:val="00A90F56"/>
    <w:rsid w:val="00A9137C"/>
    <w:rsid w:val="00A91491"/>
    <w:rsid w:val="00A915F3"/>
    <w:rsid w:val="00A91771"/>
    <w:rsid w:val="00A91C6A"/>
    <w:rsid w:val="00A91CA3"/>
    <w:rsid w:val="00A9203E"/>
    <w:rsid w:val="00A922D7"/>
    <w:rsid w:val="00A924A4"/>
    <w:rsid w:val="00A92770"/>
    <w:rsid w:val="00A92C05"/>
    <w:rsid w:val="00A93064"/>
    <w:rsid w:val="00A930E8"/>
    <w:rsid w:val="00A936F9"/>
    <w:rsid w:val="00A93874"/>
    <w:rsid w:val="00A938C3"/>
    <w:rsid w:val="00A939FF"/>
    <w:rsid w:val="00A93C27"/>
    <w:rsid w:val="00A93C99"/>
    <w:rsid w:val="00A9406A"/>
    <w:rsid w:val="00A944E5"/>
    <w:rsid w:val="00A946EF"/>
    <w:rsid w:val="00A9482D"/>
    <w:rsid w:val="00A94A1F"/>
    <w:rsid w:val="00A94C90"/>
    <w:rsid w:val="00A951CE"/>
    <w:rsid w:val="00A95255"/>
    <w:rsid w:val="00A956F0"/>
    <w:rsid w:val="00A95843"/>
    <w:rsid w:val="00A9596F"/>
    <w:rsid w:val="00A95ACA"/>
    <w:rsid w:val="00A95E57"/>
    <w:rsid w:val="00A9624B"/>
    <w:rsid w:val="00A9637F"/>
    <w:rsid w:val="00A963BB"/>
    <w:rsid w:val="00A96831"/>
    <w:rsid w:val="00A9687A"/>
    <w:rsid w:val="00A96E7C"/>
    <w:rsid w:val="00A97318"/>
    <w:rsid w:val="00A973E1"/>
    <w:rsid w:val="00A974EC"/>
    <w:rsid w:val="00A97642"/>
    <w:rsid w:val="00A9799C"/>
    <w:rsid w:val="00A97C35"/>
    <w:rsid w:val="00AA0276"/>
    <w:rsid w:val="00AA0520"/>
    <w:rsid w:val="00AA068F"/>
    <w:rsid w:val="00AA0D43"/>
    <w:rsid w:val="00AA104E"/>
    <w:rsid w:val="00AA1123"/>
    <w:rsid w:val="00AA12B6"/>
    <w:rsid w:val="00AA18D2"/>
    <w:rsid w:val="00AA1AC4"/>
    <w:rsid w:val="00AA1EB0"/>
    <w:rsid w:val="00AA1ED6"/>
    <w:rsid w:val="00AA2516"/>
    <w:rsid w:val="00AA2908"/>
    <w:rsid w:val="00AA2957"/>
    <w:rsid w:val="00AA2D2F"/>
    <w:rsid w:val="00AA2E3F"/>
    <w:rsid w:val="00AA329F"/>
    <w:rsid w:val="00AA39D3"/>
    <w:rsid w:val="00AA4470"/>
    <w:rsid w:val="00AA4799"/>
    <w:rsid w:val="00AA4B6F"/>
    <w:rsid w:val="00AA4B8B"/>
    <w:rsid w:val="00AA507C"/>
    <w:rsid w:val="00AA520A"/>
    <w:rsid w:val="00AA549F"/>
    <w:rsid w:val="00AA56E7"/>
    <w:rsid w:val="00AA575C"/>
    <w:rsid w:val="00AA5BAC"/>
    <w:rsid w:val="00AA5FF2"/>
    <w:rsid w:val="00AA6023"/>
    <w:rsid w:val="00AA60C2"/>
    <w:rsid w:val="00AA6180"/>
    <w:rsid w:val="00AA6600"/>
    <w:rsid w:val="00AA66C8"/>
    <w:rsid w:val="00AA6970"/>
    <w:rsid w:val="00AA6DF5"/>
    <w:rsid w:val="00AA6F6E"/>
    <w:rsid w:val="00AA764E"/>
    <w:rsid w:val="00AA771A"/>
    <w:rsid w:val="00AA78BD"/>
    <w:rsid w:val="00AA7FF0"/>
    <w:rsid w:val="00AB005E"/>
    <w:rsid w:val="00AB02B9"/>
    <w:rsid w:val="00AB0450"/>
    <w:rsid w:val="00AB0546"/>
    <w:rsid w:val="00AB08EA"/>
    <w:rsid w:val="00AB0C8E"/>
    <w:rsid w:val="00AB12F8"/>
    <w:rsid w:val="00AB13B4"/>
    <w:rsid w:val="00AB14B9"/>
    <w:rsid w:val="00AB1D38"/>
    <w:rsid w:val="00AB1EC2"/>
    <w:rsid w:val="00AB2398"/>
    <w:rsid w:val="00AB255C"/>
    <w:rsid w:val="00AB2A5F"/>
    <w:rsid w:val="00AB2B61"/>
    <w:rsid w:val="00AB3461"/>
    <w:rsid w:val="00AB3E95"/>
    <w:rsid w:val="00AB3EC2"/>
    <w:rsid w:val="00AB4634"/>
    <w:rsid w:val="00AB46F1"/>
    <w:rsid w:val="00AB4AD1"/>
    <w:rsid w:val="00AB4AF2"/>
    <w:rsid w:val="00AB4E63"/>
    <w:rsid w:val="00AB4E66"/>
    <w:rsid w:val="00AB4ECB"/>
    <w:rsid w:val="00AB50EC"/>
    <w:rsid w:val="00AB54A9"/>
    <w:rsid w:val="00AB5578"/>
    <w:rsid w:val="00AB5B61"/>
    <w:rsid w:val="00AB5D53"/>
    <w:rsid w:val="00AB5E70"/>
    <w:rsid w:val="00AB62D9"/>
    <w:rsid w:val="00AB6AF8"/>
    <w:rsid w:val="00AB6E8D"/>
    <w:rsid w:val="00AB6EF2"/>
    <w:rsid w:val="00AB6F13"/>
    <w:rsid w:val="00AB6F54"/>
    <w:rsid w:val="00AB7139"/>
    <w:rsid w:val="00AB78BC"/>
    <w:rsid w:val="00AB7A13"/>
    <w:rsid w:val="00AB7D05"/>
    <w:rsid w:val="00AB7E8E"/>
    <w:rsid w:val="00AC0294"/>
    <w:rsid w:val="00AC07C1"/>
    <w:rsid w:val="00AC0890"/>
    <w:rsid w:val="00AC1549"/>
    <w:rsid w:val="00AC1553"/>
    <w:rsid w:val="00AC18B0"/>
    <w:rsid w:val="00AC1C0D"/>
    <w:rsid w:val="00AC1CC1"/>
    <w:rsid w:val="00AC265A"/>
    <w:rsid w:val="00AC27FD"/>
    <w:rsid w:val="00AC29F4"/>
    <w:rsid w:val="00AC2ABA"/>
    <w:rsid w:val="00AC3162"/>
    <w:rsid w:val="00AC35F3"/>
    <w:rsid w:val="00AC375F"/>
    <w:rsid w:val="00AC37CC"/>
    <w:rsid w:val="00AC3FBC"/>
    <w:rsid w:val="00AC4488"/>
    <w:rsid w:val="00AC4694"/>
    <w:rsid w:val="00AC472E"/>
    <w:rsid w:val="00AC4767"/>
    <w:rsid w:val="00AC4903"/>
    <w:rsid w:val="00AC498E"/>
    <w:rsid w:val="00AC49BE"/>
    <w:rsid w:val="00AC4B0B"/>
    <w:rsid w:val="00AC4EA4"/>
    <w:rsid w:val="00AC51EB"/>
    <w:rsid w:val="00AC51FD"/>
    <w:rsid w:val="00AC523F"/>
    <w:rsid w:val="00AC53D7"/>
    <w:rsid w:val="00AC5887"/>
    <w:rsid w:val="00AC5B00"/>
    <w:rsid w:val="00AC5C86"/>
    <w:rsid w:val="00AC5E44"/>
    <w:rsid w:val="00AC657D"/>
    <w:rsid w:val="00AC66A5"/>
    <w:rsid w:val="00AC6A6D"/>
    <w:rsid w:val="00AC6E84"/>
    <w:rsid w:val="00AC6FCB"/>
    <w:rsid w:val="00AC72A5"/>
    <w:rsid w:val="00AC73D0"/>
    <w:rsid w:val="00AC74C9"/>
    <w:rsid w:val="00AC7669"/>
    <w:rsid w:val="00AC7B30"/>
    <w:rsid w:val="00AD0496"/>
    <w:rsid w:val="00AD062C"/>
    <w:rsid w:val="00AD06E4"/>
    <w:rsid w:val="00AD0882"/>
    <w:rsid w:val="00AD0921"/>
    <w:rsid w:val="00AD09D6"/>
    <w:rsid w:val="00AD0A33"/>
    <w:rsid w:val="00AD0ADC"/>
    <w:rsid w:val="00AD0CF9"/>
    <w:rsid w:val="00AD0DEA"/>
    <w:rsid w:val="00AD0DFB"/>
    <w:rsid w:val="00AD0ED0"/>
    <w:rsid w:val="00AD10CB"/>
    <w:rsid w:val="00AD13A0"/>
    <w:rsid w:val="00AD1682"/>
    <w:rsid w:val="00AD1B04"/>
    <w:rsid w:val="00AD1CDE"/>
    <w:rsid w:val="00AD263C"/>
    <w:rsid w:val="00AD2656"/>
    <w:rsid w:val="00AD283A"/>
    <w:rsid w:val="00AD28BB"/>
    <w:rsid w:val="00AD28DE"/>
    <w:rsid w:val="00AD29D0"/>
    <w:rsid w:val="00AD2D10"/>
    <w:rsid w:val="00AD384B"/>
    <w:rsid w:val="00AD3CCF"/>
    <w:rsid w:val="00AD4360"/>
    <w:rsid w:val="00AD463E"/>
    <w:rsid w:val="00AD47F2"/>
    <w:rsid w:val="00AD48D5"/>
    <w:rsid w:val="00AD4D2D"/>
    <w:rsid w:val="00AD50AB"/>
    <w:rsid w:val="00AD5191"/>
    <w:rsid w:val="00AD55D4"/>
    <w:rsid w:val="00AD5661"/>
    <w:rsid w:val="00AD5892"/>
    <w:rsid w:val="00AD5ABF"/>
    <w:rsid w:val="00AD5CD0"/>
    <w:rsid w:val="00AD5ECB"/>
    <w:rsid w:val="00AD5F51"/>
    <w:rsid w:val="00AD5F7E"/>
    <w:rsid w:val="00AD65D5"/>
    <w:rsid w:val="00AD67D4"/>
    <w:rsid w:val="00AD6C65"/>
    <w:rsid w:val="00AD710A"/>
    <w:rsid w:val="00AD717A"/>
    <w:rsid w:val="00AD7447"/>
    <w:rsid w:val="00AD78E7"/>
    <w:rsid w:val="00AD7991"/>
    <w:rsid w:val="00AD7ACC"/>
    <w:rsid w:val="00AE05F8"/>
    <w:rsid w:val="00AE0CDE"/>
    <w:rsid w:val="00AE0F55"/>
    <w:rsid w:val="00AE125D"/>
    <w:rsid w:val="00AE1434"/>
    <w:rsid w:val="00AE1496"/>
    <w:rsid w:val="00AE1A0F"/>
    <w:rsid w:val="00AE1A15"/>
    <w:rsid w:val="00AE1A22"/>
    <w:rsid w:val="00AE1A4E"/>
    <w:rsid w:val="00AE1E84"/>
    <w:rsid w:val="00AE20B6"/>
    <w:rsid w:val="00AE22A0"/>
    <w:rsid w:val="00AE2584"/>
    <w:rsid w:val="00AE2961"/>
    <w:rsid w:val="00AE2992"/>
    <w:rsid w:val="00AE2B74"/>
    <w:rsid w:val="00AE2CFE"/>
    <w:rsid w:val="00AE2DA1"/>
    <w:rsid w:val="00AE2E1F"/>
    <w:rsid w:val="00AE3034"/>
    <w:rsid w:val="00AE4045"/>
    <w:rsid w:val="00AE424D"/>
    <w:rsid w:val="00AE42BE"/>
    <w:rsid w:val="00AE430A"/>
    <w:rsid w:val="00AE433F"/>
    <w:rsid w:val="00AE4508"/>
    <w:rsid w:val="00AE467A"/>
    <w:rsid w:val="00AE476F"/>
    <w:rsid w:val="00AE47C4"/>
    <w:rsid w:val="00AE4A2A"/>
    <w:rsid w:val="00AE4C6E"/>
    <w:rsid w:val="00AE5691"/>
    <w:rsid w:val="00AE59CA"/>
    <w:rsid w:val="00AE5A25"/>
    <w:rsid w:val="00AE5DBB"/>
    <w:rsid w:val="00AE5FEC"/>
    <w:rsid w:val="00AE606B"/>
    <w:rsid w:val="00AE6441"/>
    <w:rsid w:val="00AE657B"/>
    <w:rsid w:val="00AE6693"/>
    <w:rsid w:val="00AE6E94"/>
    <w:rsid w:val="00AE754D"/>
    <w:rsid w:val="00AE7962"/>
    <w:rsid w:val="00AE7EEA"/>
    <w:rsid w:val="00AE7F45"/>
    <w:rsid w:val="00AF0015"/>
    <w:rsid w:val="00AF0528"/>
    <w:rsid w:val="00AF0D52"/>
    <w:rsid w:val="00AF0E58"/>
    <w:rsid w:val="00AF0E7E"/>
    <w:rsid w:val="00AF14B0"/>
    <w:rsid w:val="00AF1CCA"/>
    <w:rsid w:val="00AF207E"/>
    <w:rsid w:val="00AF2D4D"/>
    <w:rsid w:val="00AF2D8F"/>
    <w:rsid w:val="00AF2E76"/>
    <w:rsid w:val="00AF3237"/>
    <w:rsid w:val="00AF327A"/>
    <w:rsid w:val="00AF328B"/>
    <w:rsid w:val="00AF3352"/>
    <w:rsid w:val="00AF3380"/>
    <w:rsid w:val="00AF37EE"/>
    <w:rsid w:val="00AF3BCE"/>
    <w:rsid w:val="00AF3CE1"/>
    <w:rsid w:val="00AF3F92"/>
    <w:rsid w:val="00AF419F"/>
    <w:rsid w:val="00AF4282"/>
    <w:rsid w:val="00AF467F"/>
    <w:rsid w:val="00AF4765"/>
    <w:rsid w:val="00AF487E"/>
    <w:rsid w:val="00AF4DEE"/>
    <w:rsid w:val="00AF524E"/>
    <w:rsid w:val="00AF5506"/>
    <w:rsid w:val="00AF5550"/>
    <w:rsid w:val="00AF5B61"/>
    <w:rsid w:val="00AF5F34"/>
    <w:rsid w:val="00AF6151"/>
    <w:rsid w:val="00AF61D9"/>
    <w:rsid w:val="00AF668B"/>
    <w:rsid w:val="00AF6782"/>
    <w:rsid w:val="00AF6849"/>
    <w:rsid w:val="00AF69CA"/>
    <w:rsid w:val="00AF6B17"/>
    <w:rsid w:val="00AF7001"/>
    <w:rsid w:val="00AF74DF"/>
    <w:rsid w:val="00AF75A9"/>
    <w:rsid w:val="00AF7722"/>
    <w:rsid w:val="00AF7919"/>
    <w:rsid w:val="00AF791E"/>
    <w:rsid w:val="00AF7BD8"/>
    <w:rsid w:val="00AF7D18"/>
    <w:rsid w:val="00B00138"/>
    <w:rsid w:val="00B00485"/>
    <w:rsid w:val="00B006FE"/>
    <w:rsid w:val="00B0094F"/>
    <w:rsid w:val="00B009D3"/>
    <w:rsid w:val="00B00BA9"/>
    <w:rsid w:val="00B00EF5"/>
    <w:rsid w:val="00B01246"/>
    <w:rsid w:val="00B01669"/>
    <w:rsid w:val="00B01FE1"/>
    <w:rsid w:val="00B0214A"/>
    <w:rsid w:val="00B0233F"/>
    <w:rsid w:val="00B025BF"/>
    <w:rsid w:val="00B02644"/>
    <w:rsid w:val="00B02676"/>
    <w:rsid w:val="00B02B4B"/>
    <w:rsid w:val="00B02FF8"/>
    <w:rsid w:val="00B030B1"/>
    <w:rsid w:val="00B0320D"/>
    <w:rsid w:val="00B03478"/>
    <w:rsid w:val="00B037B7"/>
    <w:rsid w:val="00B03904"/>
    <w:rsid w:val="00B03AB6"/>
    <w:rsid w:val="00B03E8F"/>
    <w:rsid w:val="00B03F32"/>
    <w:rsid w:val="00B04258"/>
    <w:rsid w:val="00B04596"/>
    <w:rsid w:val="00B046C1"/>
    <w:rsid w:val="00B04931"/>
    <w:rsid w:val="00B04A33"/>
    <w:rsid w:val="00B04D6A"/>
    <w:rsid w:val="00B04FC5"/>
    <w:rsid w:val="00B050D8"/>
    <w:rsid w:val="00B05D37"/>
    <w:rsid w:val="00B05D9B"/>
    <w:rsid w:val="00B060E4"/>
    <w:rsid w:val="00B0659D"/>
    <w:rsid w:val="00B0666C"/>
    <w:rsid w:val="00B06671"/>
    <w:rsid w:val="00B06772"/>
    <w:rsid w:val="00B06832"/>
    <w:rsid w:val="00B06B40"/>
    <w:rsid w:val="00B075B7"/>
    <w:rsid w:val="00B0764D"/>
    <w:rsid w:val="00B0764E"/>
    <w:rsid w:val="00B07D61"/>
    <w:rsid w:val="00B07F66"/>
    <w:rsid w:val="00B100A6"/>
    <w:rsid w:val="00B1030B"/>
    <w:rsid w:val="00B10326"/>
    <w:rsid w:val="00B1043D"/>
    <w:rsid w:val="00B10794"/>
    <w:rsid w:val="00B109D9"/>
    <w:rsid w:val="00B10B3D"/>
    <w:rsid w:val="00B10D77"/>
    <w:rsid w:val="00B10DC5"/>
    <w:rsid w:val="00B10E10"/>
    <w:rsid w:val="00B10FF1"/>
    <w:rsid w:val="00B1162C"/>
    <w:rsid w:val="00B116FA"/>
    <w:rsid w:val="00B11821"/>
    <w:rsid w:val="00B1182E"/>
    <w:rsid w:val="00B11E5C"/>
    <w:rsid w:val="00B11FA6"/>
    <w:rsid w:val="00B12334"/>
    <w:rsid w:val="00B1235C"/>
    <w:rsid w:val="00B12D4F"/>
    <w:rsid w:val="00B12FA2"/>
    <w:rsid w:val="00B133A0"/>
    <w:rsid w:val="00B13492"/>
    <w:rsid w:val="00B1363A"/>
    <w:rsid w:val="00B13691"/>
    <w:rsid w:val="00B1369B"/>
    <w:rsid w:val="00B136C9"/>
    <w:rsid w:val="00B13820"/>
    <w:rsid w:val="00B1388F"/>
    <w:rsid w:val="00B13A8D"/>
    <w:rsid w:val="00B13B48"/>
    <w:rsid w:val="00B13D8A"/>
    <w:rsid w:val="00B13E43"/>
    <w:rsid w:val="00B1405F"/>
    <w:rsid w:val="00B1408B"/>
    <w:rsid w:val="00B1426A"/>
    <w:rsid w:val="00B1471E"/>
    <w:rsid w:val="00B14933"/>
    <w:rsid w:val="00B14E8F"/>
    <w:rsid w:val="00B15021"/>
    <w:rsid w:val="00B15127"/>
    <w:rsid w:val="00B15838"/>
    <w:rsid w:val="00B15B8C"/>
    <w:rsid w:val="00B15DF0"/>
    <w:rsid w:val="00B16054"/>
    <w:rsid w:val="00B164E2"/>
    <w:rsid w:val="00B165DB"/>
    <w:rsid w:val="00B16DC4"/>
    <w:rsid w:val="00B16EEC"/>
    <w:rsid w:val="00B17381"/>
    <w:rsid w:val="00B17A60"/>
    <w:rsid w:val="00B17C42"/>
    <w:rsid w:val="00B17C79"/>
    <w:rsid w:val="00B17E95"/>
    <w:rsid w:val="00B2013E"/>
    <w:rsid w:val="00B20271"/>
    <w:rsid w:val="00B204E6"/>
    <w:rsid w:val="00B20613"/>
    <w:rsid w:val="00B207A7"/>
    <w:rsid w:val="00B20C9B"/>
    <w:rsid w:val="00B21227"/>
    <w:rsid w:val="00B21286"/>
    <w:rsid w:val="00B212F6"/>
    <w:rsid w:val="00B214B2"/>
    <w:rsid w:val="00B21579"/>
    <w:rsid w:val="00B21848"/>
    <w:rsid w:val="00B218E4"/>
    <w:rsid w:val="00B21E0A"/>
    <w:rsid w:val="00B2283C"/>
    <w:rsid w:val="00B2290B"/>
    <w:rsid w:val="00B229A9"/>
    <w:rsid w:val="00B22A2A"/>
    <w:rsid w:val="00B22D24"/>
    <w:rsid w:val="00B22ED4"/>
    <w:rsid w:val="00B23274"/>
    <w:rsid w:val="00B2346E"/>
    <w:rsid w:val="00B234DF"/>
    <w:rsid w:val="00B2353A"/>
    <w:rsid w:val="00B2374D"/>
    <w:rsid w:val="00B23E1E"/>
    <w:rsid w:val="00B23FC3"/>
    <w:rsid w:val="00B241A3"/>
    <w:rsid w:val="00B242E7"/>
    <w:rsid w:val="00B2449D"/>
    <w:rsid w:val="00B24638"/>
    <w:rsid w:val="00B24874"/>
    <w:rsid w:val="00B24E70"/>
    <w:rsid w:val="00B24FBB"/>
    <w:rsid w:val="00B25032"/>
    <w:rsid w:val="00B251FE"/>
    <w:rsid w:val="00B2526F"/>
    <w:rsid w:val="00B25313"/>
    <w:rsid w:val="00B25777"/>
    <w:rsid w:val="00B25983"/>
    <w:rsid w:val="00B25BD9"/>
    <w:rsid w:val="00B25F43"/>
    <w:rsid w:val="00B2644D"/>
    <w:rsid w:val="00B26544"/>
    <w:rsid w:val="00B26579"/>
    <w:rsid w:val="00B2668C"/>
    <w:rsid w:val="00B267C5"/>
    <w:rsid w:val="00B26CB3"/>
    <w:rsid w:val="00B26EE6"/>
    <w:rsid w:val="00B27223"/>
    <w:rsid w:val="00B27458"/>
    <w:rsid w:val="00B275A5"/>
    <w:rsid w:val="00B27978"/>
    <w:rsid w:val="00B27AD6"/>
    <w:rsid w:val="00B27CA1"/>
    <w:rsid w:val="00B27D39"/>
    <w:rsid w:val="00B30228"/>
    <w:rsid w:val="00B302B5"/>
    <w:rsid w:val="00B30635"/>
    <w:rsid w:val="00B30665"/>
    <w:rsid w:val="00B309D0"/>
    <w:rsid w:val="00B30BD2"/>
    <w:rsid w:val="00B30DA4"/>
    <w:rsid w:val="00B30DF3"/>
    <w:rsid w:val="00B30E4A"/>
    <w:rsid w:val="00B30E98"/>
    <w:rsid w:val="00B31278"/>
    <w:rsid w:val="00B31403"/>
    <w:rsid w:val="00B314B5"/>
    <w:rsid w:val="00B31583"/>
    <w:rsid w:val="00B317EA"/>
    <w:rsid w:val="00B3192E"/>
    <w:rsid w:val="00B31BEC"/>
    <w:rsid w:val="00B31E18"/>
    <w:rsid w:val="00B3228D"/>
    <w:rsid w:val="00B324B5"/>
    <w:rsid w:val="00B3259D"/>
    <w:rsid w:val="00B325DE"/>
    <w:rsid w:val="00B32A73"/>
    <w:rsid w:val="00B32BA0"/>
    <w:rsid w:val="00B3335A"/>
    <w:rsid w:val="00B33550"/>
    <w:rsid w:val="00B336AA"/>
    <w:rsid w:val="00B33715"/>
    <w:rsid w:val="00B33B70"/>
    <w:rsid w:val="00B33B94"/>
    <w:rsid w:val="00B33BC3"/>
    <w:rsid w:val="00B33ECB"/>
    <w:rsid w:val="00B344E6"/>
    <w:rsid w:val="00B345E3"/>
    <w:rsid w:val="00B34805"/>
    <w:rsid w:val="00B34B06"/>
    <w:rsid w:val="00B34E02"/>
    <w:rsid w:val="00B34F21"/>
    <w:rsid w:val="00B354F9"/>
    <w:rsid w:val="00B35688"/>
    <w:rsid w:val="00B357A9"/>
    <w:rsid w:val="00B35AD0"/>
    <w:rsid w:val="00B35AF5"/>
    <w:rsid w:val="00B35B8A"/>
    <w:rsid w:val="00B35D76"/>
    <w:rsid w:val="00B35FDB"/>
    <w:rsid w:val="00B361C8"/>
    <w:rsid w:val="00B36217"/>
    <w:rsid w:val="00B363A6"/>
    <w:rsid w:val="00B369B0"/>
    <w:rsid w:val="00B36D91"/>
    <w:rsid w:val="00B36F36"/>
    <w:rsid w:val="00B37111"/>
    <w:rsid w:val="00B37858"/>
    <w:rsid w:val="00B378CA"/>
    <w:rsid w:val="00B379EC"/>
    <w:rsid w:val="00B40069"/>
    <w:rsid w:val="00B400B1"/>
    <w:rsid w:val="00B40150"/>
    <w:rsid w:val="00B401D6"/>
    <w:rsid w:val="00B4048D"/>
    <w:rsid w:val="00B404D9"/>
    <w:rsid w:val="00B407B1"/>
    <w:rsid w:val="00B40961"/>
    <w:rsid w:val="00B40BA8"/>
    <w:rsid w:val="00B40C10"/>
    <w:rsid w:val="00B40D8E"/>
    <w:rsid w:val="00B410FD"/>
    <w:rsid w:val="00B411A4"/>
    <w:rsid w:val="00B41595"/>
    <w:rsid w:val="00B416BB"/>
    <w:rsid w:val="00B4177A"/>
    <w:rsid w:val="00B41CD9"/>
    <w:rsid w:val="00B41F45"/>
    <w:rsid w:val="00B420A3"/>
    <w:rsid w:val="00B422A3"/>
    <w:rsid w:val="00B4260E"/>
    <w:rsid w:val="00B42694"/>
    <w:rsid w:val="00B4278A"/>
    <w:rsid w:val="00B42A75"/>
    <w:rsid w:val="00B42C32"/>
    <w:rsid w:val="00B42E1C"/>
    <w:rsid w:val="00B43338"/>
    <w:rsid w:val="00B43416"/>
    <w:rsid w:val="00B43B88"/>
    <w:rsid w:val="00B444B3"/>
    <w:rsid w:val="00B44550"/>
    <w:rsid w:val="00B44974"/>
    <w:rsid w:val="00B44B47"/>
    <w:rsid w:val="00B44CE4"/>
    <w:rsid w:val="00B44E06"/>
    <w:rsid w:val="00B45074"/>
    <w:rsid w:val="00B451E4"/>
    <w:rsid w:val="00B452EC"/>
    <w:rsid w:val="00B4541B"/>
    <w:rsid w:val="00B45A9D"/>
    <w:rsid w:val="00B45ABC"/>
    <w:rsid w:val="00B45B00"/>
    <w:rsid w:val="00B45B12"/>
    <w:rsid w:val="00B45C31"/>
    <w:rsid w:val="00B45C47"/>
    <w:rsid w:val="00B45C5D"/>
    <w:rsid w:val="00B4606F"/>
    <w:rsid w:val="00B4621C"/>
    <w:rsid w:val="00B462B7"/>
    <w:rsid w:val="00B46C30"/>
    <w:rsid w:val="00B46C38"/>
    <w:rsid w:val="00B46CE7"/>
    <w:rsid w:val="00B46F21"/>
    <w:rsid w:val="00B47067"/>
    <w:rsid w:val="00B478E2"/>
    <w:rsid w:val="00B501AC"/>
    <w:rsid w:val="00B502AA"/>
    <w:rsid w:val="00B502BE"/>
    <w:rsid w:val="00B508C3"/>
    <w:rsid w:val="00B508EE"/>
    <w:rsid w:val="00B509E7"/>
    <w:rsid w:val="00B50F93"/>
    <w:rsid w:val="00B5161A"/>
    <w:rsid w:val="00B518A8"/>
    <w:rsid w:val="00B518DB"/>
    <w:rsid w:val="00B51A8A"/>
    <w:rsid w:val="00B5213F"/>
    <w:rsid w:val="00B52457"/>
    <w:rsid w:val="00B52898"/>
    <w:rsid w:val="00B528E9"/>
    <w:rsid w:val="00B5290E"/>
    <w:rsid w:val="00B52D36"/>
    <w:rsid w:val="00B53182"/>
    <w:rsid w:val="00B537C0"/>
    <w:rsid w:val="00B53F94"/>
    <w:rsid w:val="00B54266"/>
    <w:rsid w:val="00B54361"/>
    <w:rsid w:val="00B545FE"/>
    <w:rsid w:val="00B5476D"/>
    <w:rsid w:val="00B547DB"/>
    <w:rsid w:val="00B54A4E"/>
    <w:rsid w:val="00B54B87"/>
    <w:rsid w:val="00B555D9"/>
    <w:rsid w:val="00B555EB"/>
    <w:rsid w:val="00B558E2"/>
    <w:rsid w:val="00B55BD9"/>
    <w:rsid w:val="00B55C91"/>
    <w:rsid w:val="00B55CD4"/>
    <w:rsid w:val="00B55D22"/>
    <w:rsid w:val="00B55D9B"/>
    <w:rsid w:val="00B560A1"/>
    <w:rsid w:val="00B5624D"/>
    <w:rsid w:val="00B5630A"/>
    <w:rsid w:val="00B56363"/>
    <w:rsid w:val="00B56555"/>
    <w:rsid w:val="00B56A8D"/>
    <w:rsid w:val="00B56D8B"/>
    <w:rsid w:val="00B571C7"/>
    <w:rsid w:val="00B57292"/>
    <w:rsid w:val="00B574F9"/>
    <w:rsid w:val="00B577CE"/>
    <w:rsid w:val="00B57844"/>
    <w:rsid w:val="00B578EB"/>
    <w:rsid w:val="00B57D1D"/>
    <w:rsid w:val="00B57F09"/>
    <w:rsid w:val="00B60424"/>
    <w:rsid w:val="00B60642"/>
    <w:rsid w:val="00B608E8"/>
    <w:rsid w:val="00B6096D"/>
    <w:rsid w:val="00B60CEE"/>
    <w:rsid w:val="00B61364"/>
    <w:rsid w:val="00B6155E"/>
    <w:rsid w:val="00B618E1"/>
    <w:rsid w:val="00B618F8"/>
    <w:rsid w:val="00B61998"/>
    <w:rsid w:val="00B619EB"/>
    <w:rsid w:val="00B61E37"/>
    <w:rsid w:val="00B6217A"/>
    <w:rsid w:val="00B622C8"/>
    <w:rsid w:val="00B62416"/>
    <w:rsid w:val="00B62719"/>
    <w:rsid w:val="00B627ED"/>
    <w:rsid w:val="00B6293B"/>
    <w:rsid w:val="00B62D7A"/>
    <w:rsid w:val="00B62E24"/>
    <w:rsid w:val="00B63176"/>
    <w:rsid w:val="00B63432"/>
    <w:rsid w:val="00B635E0"/>
    <w:rsid w:val="00B63652"/>
    <w:rsid w:val="00B637DC"/>
    <w:rsid w:val="00B639BA"/>
    <w:rsid w:val="00B63ABC"/>
    <w:rsid w:val="00B63C62"/>
    <w:rsid w:val="00B63E0F"/>
    <w:rsid w:val="00B64A97"/>
    <w:rsid w:val="00B64E74"/>
    <w:rsid w:val="00B6527F"/>
    <w:rsid w:val="00B65562"/>
    <w:rsid w:val="00B65C19"/>
    <w:rsid w:val="00B65D8E"/>
    <w:rsid w:val="00B66768"/>
    <w:rsid w:val="00B6687F"/>
    <w:rsid w:val="00B66B0A"/>
    <w:rsid w:val="00B66BFD"/>
    <w:rsid w:val="00B67131"/>
    <w:rsid w:val="00B6769B"/>
    <w:rsid w:val="00B67DA1"/>
    <w:rsid w:val="00B67E4A"/>
    <w:rsid w:val="00B67FDC"/>
    <w:rsid w:val="00B700B5"/>
    <w:rsid w:val="00B7043F"/>
    <w:rsid w:val="00B70663"/>
    <w:rsid w:val="00B70744"/>
    <w:rsid w:val="00B708DD"/>
    <w:rsid w:val="00B70910"/>
    <w:rsid w:val="00B70977"/>
    <w:rsid w:val="00B70AF8"/>
    <w:rsid w:val="00B70D7F"/>
    <w:rsid w:val="00B70F01"/>
    <w:rsid w:val="00B70F83"/>
    <w:rsid w:val="00B717E1"/>
    <w:rsid w:val="00B71800"/>
    <w:rsid w:val="00B719F5"/>
    <w:rsid w:val="00B71A9F"/>
    <w:rsid w:val="00B720BF"/>
    <w:rsid w:val="00B724E1"/>
    <w:rsid w:val="00B72747"/>
    <w:rsid w:val="00B727F5"/>
    <w:rsid w:val="00B72B2D"/>
    <w:rsid w:val="00B72BDB"/>
    <w:rsid w:val="00B730B7"/>
    <w:rsid w:val="00B730E3"/>
    <w:rsid w:val="00B73107"/>
    <w:rsid w:val="00B73459"/>
    <w:rsid w:val="00B74072"/>
    <w:rsid w:val="00B74387"/>
    <w:rsid w:val="00B746AE"/>
    <w:rsid w:val="00B747CE"/>
    <w:rsid w:val="00B748A8"/>
    <w:rsid w:val="00B74AC5"/>
    <w:rsid w:val="00B74B11"/>
    <w:rsid w:val="00B74B18"/>
    <w:rsid w:val="00B74CB7"/>
    <w:rsid w:val="00B752CB"/>
    <w:rsid w:val="00B75454"/>
    <w:rsid w:val="00B757CE"/>
    <w:rsid w:val="00B75974"/>
    <w:rsid w:val="00B75A73"/>
    <w:rsid w:val="00B75D21"/>
    <w:rsid w:val="00B75F82"/>
    <w:rsid w:val="00B760D2"/>
    <w:rsid w:val="00B760FC"/>
    <w:rsid w:val="00B76320"/>
    <w:rsid w:val="00B764CE"/>
    <w:rsid w:val="00B7688E"/>
    <w:rsid w:val="00B7690A"/>
    <w:rsid w:val="00B769D4"/>
    <w:rsid w:val="00B7723A"/>
    <w:rsid w:val="00B773C5"/>
    <w:rsid w:val="00B7753B"/>
    <w:rsid w:val="00B7794D"/>
    <w:rsid w:val="00B77D7B"/>
    <w:rsid w:val="00B80040"/>
    <w:rsid w:val="00B8016A"/>
    <w:rsid w:val="00B80245"/>
    <w:rsid w:val="00B80261"/>
    <w:rsid w:val="00B8027A"/>
    <w:rsid w:val="00B80565"/>
    <w:rsid w:val="00B807DF"/>
    <w:rsid w:val="00B80A6D"/>
    <w:rsid w:val="00B80C6C"/>
    <w:rsid w:val="00B80EA3"/>
    <w:rsid w:val="00B80EF8"/>
    <w:rsid w:val="00B80F2F"/>
    <w:rsid w:val="00B8121B"/>
    <w:rsid w:val="00B81236"/>
    <w:rsid w:val="00B813DD"/>
    <w:rsid w:val="00B8162A"/>
    <w:rsid w:val="00B81A25"/>
    <w:rsid w:val="00B81B0A"/>
    <w:rsid w:val="00B81B0F"/>
    <w:rsid w:val="00B81C5D"/>
    <w:rsid w:val="00B821EC"/>
    <w:rsid w:val="00B8237A"/>
    <w:rsid w:val="00B82496"/>
    <w:rsid w:val="00B824C2"/>
    <w:rsid w:val="00B825E0"/>
    <w:rsid w:val="00B82818"/>
    <w:rsid w:val="00B82F9C"/>
    <w:rsid w:val="00B83395"/>
    <w:rsid w:val="00B83917"/>
    <w:rsid w:val="00B839F9"/>
    <w:rsid w:val="00B83B3B"/>
    <w:rsid w:val="00B83BB7"/>
    <w:rsid w:val="00B83BF2"/>
    <w:rsid w:val="00B847ED"/>
    <w:rsid w:val="00B84815"/>
    <w:rsid w:val="00B84A73"/>
    <w:rsid w:val="00B84C39"/>
    <w:rsid w:val="00B84F25"/>
    <w:rsid w:val="00B85677"/>
    <w:rsid w:val="00B85678"/>
    <w:rsid w:val="00B858CB"/>
    <w:rsid w:val="00B85FAD"/>
    <w:rsid w:val="00B860DC"/>
    <w:rsid w:val="00B8630E"/>
    <w:rsid w:val="00B863D9"/>
    <w:rsid w:val="00B86A44"/>
    <w:rsid w:val="00B86BB3"/>
    <w:rsid w:val="00B8717D"/>
    <w:rsid w:val="00B872FA"/>
    <w:rsid w:val="00B8743F"/>
    <w:rsid w:val="00B87629"/>
    <w:rsid w:val="00B876CA"/>
    <w:rsid w:val="00B877A5"/>
    <w:rsid w:val="00B8792E"/>
    <w:rsid w:val="00B87F20"/>
    <w:rsid w:val="00B9064A"/>
    <w:rsid w:val="00B90E86"/>
    <w:rsid w:val="00B90EC0"/>
    <w:rsid w:val="00B91599"/>
    <w:rsid w:val="00B916DA"/>
    <w:rsid w:val="00B918DF"/>
    <w:rsid w:val="00B91F88"/>
    <w:rsid w:val="00B9246C"/>
    <w:rsid w:val="00B92790"/>
    <w:rsid w:val="00B92B3F"/>
    <w:rsid w:val="00B92D73"/>
    <w:rsid w:val="00B93137"/>
    <w:rsid w:val="00B93367"/>
    <w:rsid w:val="00B933E5"/>
    <w:rsid w:val="00B9352F"/>
    <w:rsid w:val="00B93991"/>
    <w:rsid w:val="00B93A5C"/>
    <w:rsid w:val="00B93EE7"/>
    <w:rsid w:val="00B941DF"/>
    <w:rsid w:val="00B945D9"/>
    <w:rsid w:val="00B946D0"/>
    <w:rsid w:val="00B948A5"/>
    <w:rsid w:val="00B94B19"/>
    <w:rsid w:val="00B94BCC"/>
    <w:rsid w:val="00B9501C"/>
    <w:rsid w:val="00B950CE"/>
    <w:rsid w:val="00B9532C"/>
    <w:rsid w:val="00B95BA3"/>
    <w:rsid w:val="00B95C36"/>
    <w:rsid w:val="00B95CD6"/>
    <w:rsid w:val="00B95D2D"/>
    <w:rsid w:val="00B960BB"/>
    <w:rsid w:val="00B96183"/>
    <w:rsid w:val="00B961E0"/>
    <w:rsid w:val="00B9640D"/>
    <w:rsid w:val="00B9645C"/>
    <w:rsid w:val="00B96B1E"/>
    <w:rsid w:val="00B96BD3"/>
    <w:rsid w:val="00B96DCA"/>
    <w:rsid w:val="00B97107"/>
    <w:rsid w:val="00B9755D"/>
    <w:rsid w:val="00B97876"/>
    <w:rsid w:val="00B97985"/>
    <w:rsid w:val="00B97F74"/>
    <w:rsid w:val="00BA0497"/>
    <w:rsid w:val="00BA0539"/>
    <w:rsid w:val="00BA061A"/>
    <w:rsid w:val="00BA107F"/>
    <w:rsid w:val="00BA12F3"/>
    <w:rsid w:val="00BA181A"/>
    <w:rsid w:val="00BA1E0C"/>
    <w:rsid w:val="00BA1E77"/>
    <w:rsid w:val="00BA2692"/>
    <w:rsid w:val="00BA2A93"/>
    <w:rsid w:val="00BA3000"/>
    <w:rsid w:val="00BA3109"/>
    <w:rsid w:val="00BA3297"/>
    <w:rsid w:val="00BA32CD"/>
    <w:rsid w:val="00BA32FB"/>
    <w:rsid w:val="00BA336C"/>
    <w:rsid w:val="00BA3A76"/>
    <w:rsid w:val="00BA3B00"/>
    <w:rsid w:val="00BA3CFB"/>
    <w:rsid w:val="00BA3D9D"/>
    <w:rsid w:val="00BA4466"/>
    <w:rsid w:val="00BA45F6"/>
    <w:rsid w:val="00BA46C8"/>
    <w:rsid w:val="00BA4752"/>
    <w:rsid w:val="00BA480E"/>
    <w:rsid w:val="00BA4846"/>
    <w:rsid w:val="00BA490D"/>
    <w:rsid w:val="00BA4936"/>
    <w:rsid w:val="00BA4FFF"/>
    <w:rsid w:val="00BA5709"/>
    <w:rsid w:val="00BA57DD"/>
    <w:rsid w:val="00BA592F"/>
    <w:rsid w:val="00BA5B14"/>
    <w:rsid w:val="00BA5DB0"/>
    <w:rsid w:val="00BA5E93"/>
    <w:rsid w:val="00BA5FE3"/>
    <w:rsid w:val="00BA60BF"/>
    <w:rsid w:val="00BA613C"/>
    <w:rsid w:val="00BA616E"/>
    <w:rsid w:val="00BA62DC"/>
    <w:rsid w:val="00BA640F"/>
    <w:rsid w:val="00BA64D6"/>
    <w:rsid w:val="00BA654B"/>
    <w:rsid w:val="00BA68BF"/>
    <w:rsid w:val="00BA6CD5"/>
    <w:rsid w:val="00BA6D89"/>
    <w:rsid w:val="00BA6DDD"/>
    <w:rsid w:val="00BA6EA6"/>
    <w:rsid w:val="00BA7277"/>
    <w:rsid w:val="00BA73C6"/>
    <w:rsid w:val="00BA75C8"/>
    <w:rsid w:val="00BA7A03"/>
    <w:rsid w:val="00BA7A4B"/>
    <w:rsid w:val="00BA7A8F"/>
    <w:rsid w:val="00BA7FEC"/>
    <w:rsid w:val="00BB0150"/>
    <w:rsid w:val="00BB061A"/>
    <w:rsid w:val="00BB08FB"/>
    <w:rsid w:val="00BB0B08"/>
    <w:rsid w:val="00BB0E6F"/>
    <w:rsid w:val="00BB12FB"/>
    <w:rsid w:val="00BB1334"/>
    <w:rsid w:val="00BB1545"/>
    <w:rsid w:val="00BB1A7E"/>
    <w:rsid w:val="00BB1BCC"/>
    <w:rsid w:val="00BB2175"/>
    <w:rsid w:val="00BB24DC"/>
    <w:rsid w:val="00BB28ED"/>
    <w:rsid w:val="00BB2E06"/>
    <w:rsid w:val="00BB319F"/>
    <w:rsid w:val="00BB31E2"/>
    <w:rsid w:val="00BB33BD"/>
    <w:rsid w:val="00BB33DF"/>
    <w:rsid w:val="00BB39F6"/>
    <w:rsid w:val="00BB3C6D"/>
    <w:rsid w:val="00BB3EB7"/>
    <w:rsid w:val="00BB3F86"/>
    <w:rsid w:val="00BB413D"/>
    <w:rsid w:val="00BB4253"/>
    <w:rsid w:val="00BB444C"/>
    <w:rsid w:val="00BB4A39"/>
    <w:rsid w:val="00BB4DDC"/>
    <w:rsid w:val="00BB5019"/>
    <w:rsid w:val="00BB50D8"/>
    <w:rsid w:val="00BB513F"/>
    <w:rsid w:val="00BB52E5"/>
    <w:rsid w:val="00BB5388"/>
    <w:rsid w:val="00BB5443"/>
    <w:rsid w:val="00BB5452"/>
    <w:rsid w:val="00BB59E6"/>
    <w:rsid w:val="00BB5AF5"/>
    <w:rsid w:val="00BB5C3A"/>
    <w:rsid w:val="00BB6002"/>
    <w:rsid w:val="00BB6BCB"/>
    <w:rsid w:val="00BB6C20"/>
    <w:rsid w:val="00BB6D60"/>
    <w:rsid w:val="00BB7118"/>
    <w:rsid w:val="00BB749D"/>
    <w:rsid w:val="00BB75EB"/>
    <w:rsid w:val="00BB76B5"/>
    <w:rsid w:val="00BB7DD4"/>
    <w:rsid w:val="00BBE37C"/>
    <w:rsid w:val="00BC0445"/>
    <w:rsid w:val="00BC0809"/>
    <w:rsid w:val="00BC09E6"/>
    <w:rsid w:val="00BC0A3C"/>
    <w:rsid w:val="00BC10C4"/>
    <w:rsid w:val="00BC14EE"/>
    <w:rsid w:val="00BC1F12"/>
    <w:rsid w:val="00BC241E"/>
    <w:rsid w:val="00BC27B4"/>
    <w:rsid w:val="00BC29A5"/>
    <w:rsid w:val="00BC2EE6"/>
    <w:rsid w:val="00BC3502"/>
    <w:rsid w:val="00BC3AC7"/>
    <w:rsid w:val="00BC3BC5"/>
    <w:rsid w:val="00BC3C6F"/>
    <w:rsid w:val="00BC3CAB"/>
    <w:rsid w:val="00BC4016"/>
    <w:rsid w:val="00BC44E2"/>
    <w:rsid w:val="00BC4C2C"/>
    <w:rsid w:val="00BC4CF2"/>
    <w:rsid w:val="00BC5821"/>
    <w:rsid w:val="00BC604D"/>
    <w:rsid w:val="00BC62BA"/>
    <w:rsid w:val="00BC644A"/>
    <w:rsid w:val="00BC658F"/>
    <w:rsid w:val="00BC689D"/>
    <w:rsid w:val="00BC6910"/>
    <w:rsid w:val="00BC6B71"/>
    <w:rsid w:val="00BC6CC6"/>
    <w:rsid w:val="00BC6D26"/>
    <w:rsid w:val="00BC709C"/>
    <w:rsid w:val="00BC721A"/>
    <w:rsid w:val="00BC7283"/>
    <w:rsid w:val="00BC75AB"/>
    <w:rsid w:val="00BC7657"/>
    <w:rsid w:val="00BC765D"/>
    <w:rsid w:val="00BC76CB"/>
    <w:rsid w:val="00BC77DB"/>
    <w:rsid w:val="00BC794E"/>
    <w:rsid w:val="00BC7AD3"/>
    <w:rsid w:val="00BC7F3B"/>
    <w:rsid w:val="00BD073B"/>
    <w:rsid w:val="00BD083E"/>
    <w:rsid w:val="00BD105A"/>
    <w:rsid w:val="00BD13AA"/>
    <w:rsid w:val="00BD1AB8"/>
    <w:rsid w:val="00BD1E5A"/>
    <w:rsid w:val="00BD1F2B"/>
    <w:rsid w:val="00BD21CD"/>
    <w:rsid w:val="00BD22F5"/>
    <w:rsid w:val="00BD255D"/>
    <w:rsid w:val="00BD2675"/>
    <w:rsid w:val="00BD27BC"/>
    <w:rsid w:val="00BD29F2"/>
    <w:rsid w:val="00BD2A13"/>
    <w:rsid w:val="00BD2BF7"/>
    <w:rsid w:val="00BD2E70"/>
    <w:rsid w:val="00BD2EBD"/>
    <w:rsid w:val="00BD3062"/>
    <w:rsid w:val="00BD348F"/>
    <w:rsid w:val="00BD353A"/>
    <w:rsid w:val="00BD3B10"/>
    <w:rsid w:val="00BD3F68"/>
    <w:rsid w:val="00BD4044"/>
    <w:rsid w:val="00BD447C"/>
    <w:rsid w:val="00BD45D0"/>
    <w:rsid w:val="00BD56B2"/>
    <w:rsid w:val="00BD59A4"/>
    <w:rsid w:val="00BD5C74"/>
    <w:rsid w:val="00BD5F10"/>
    <w:rsid w:val="00BD5F6E"/>
    <w:rsid w:val="00BD6020"/>
    <w:rsid w:val="00BD6050"/>
    <w:rsid w:val="00BD650A"/>
    <w:rsid w:val="00BD66AF"/>
    <w:rsid w:val="00BD6713"/>
    <w:rsid w:val="00BD6D7F"/>
    <w:rsid w:val="00BD6E8F"/>
    <w:rsid w:val="00BD7258"/>
    <w:rsid w:val="00BD7A3D"/>
    <w:rsid w:val="00BD7B07"/>
    <w:rsid w:val="00BE028B"/>
    <w:rsid w:val="00BE0662"/>
    <w:rsid w:val="00BE0686"/>
    <w:rsid w:val="00BE06F9"/>
    <w:rsid w:val="00BE07C3"/>
    <w:rsid w:val="00BE0FE5"/>
    <w:rsid w:val="00BE1253"/>
    <w:rsid w:val="00BE1741"/>
    <w:rsid w:val="00BE191F"/>
    <w:rsid w:val="00BE19AD"/>
    <w:rsid w:val="00BE1A88"/>
    <w:rsid w:val="00BE1AE4"/>
    <w:rsid w:val="00BE1BC5"/>
    <w:rsid w:val="00BE1C30"/>
    <w:rsid w:val="00BE1F9A"/>
    <w:rsid w:val="00BE2155"/>
    <w:rsid w:val="00BE2218"/>
    <w:rsid w:val="00BE28BE"/>
    <w:rsid w:val="00BE2F42"/>
    <w:rsid w:val="00BE2FFD"/>
    <w:rsid w:val="00BE3048"/>
    <w:rsid w:val="00BE3087"/>
    <w:rsid w:val="00BE327C"/>
    <w:rsid w:val="00BE35D3"/>
    <w:rsid w:val="00BE35E6"/>
    <w:rsid w:val="00BE3642"/>
    <w:rsid w:val="00BE36D2"/>
    <w:rsid w:val="00BE3932"/>
    <w:rsid w:val="00BE39EF"/>
    <w:rsid w:val="00BE3A16"/>
    <w:rsid w:val="00BE3AD3"/>
    <w:rsid w:val="00BE3AFB"/>
    <w:rsid w:val="00BE3B8F"/>
    <w:rsid w:val="00BE4603"/>
    <w:rsid w:val="00BE47E8"/>
    <w:rsid w:val="00BE4948"/>
    <w:rsid w:val="00BE4D22"/>
    <w:rsid w:val="00BE5313"/>
    <w:rsid w:val="00BE54BF"/>
    <w:rsid w:val="00BE5F94"/>
    <w:rsid w:val="00BE5FEB"/>
    <w:rsid w:val="00BE61FE"/>
    <w:rsid w:val="00BE640F"/>
    <w:rsid w:val="00BE661F"/>
    <w:rsid w:val="00BE6733"/>
    <w:rsid w:val="00BE67E0"/>
    <w:rsid w:val="00BE6C9F"/>
    <w:rsid w:val="00BE6D48"/>
    <w:rsid w:val="00BE737F"/>
    <w:rsid w:val="00BE79B0"/>
    <w:rsid w:val="00BE7B21"/>
    <w:rsid w:val="00BE7CC1"/>
    <w:rsid w:val="00BF0084"/>
    <w:rsid w:val="00BF011D"/>
    <w:rsid w:val="00BF038E"/>
    <w:rsid w:val="00BF03E4"/>
    <w:rsid w:val="00BF06AB"/>
    <w:rsid w:val="00BF0716"/>
    <w:rsid w:val="00BF07F7"/>
    <w:rsid w:val="00BF0964"/>
    <w:rsid w:val="00BF0A64"/>
    <w:rsid w:val="00BF0BFD"/>
    <w:rsid w:val="00BF0D80"/>
    <w:rsid w:val="00BF0E1E"/>
    <w:rsid w:val="00BF0E72"/>
    <w:rsid w:val="00BF0F2B"/>
    <w:rsid w:val="00BF153B"/>
    <w:rsid w:val="00BF1971"/>
    <w:rsid w:val="00BF1974"/>
    <w:rsid w:val="00BF1B2F"/>
    <w:rsid w:val="00BF1E76"/>
    <w:rsid w:val="00BF1ED5"/>
    <w:rsid w:val="00BF2122"/>
    <w:rsid w:val="00BF24EA"/>
    <w:rsid w:val="00BF2E25"/>
    <w:rsid w:val="00BF2F18"/>
    <w:rsid w:val="00BF3081"/>
    <w:rsid w:val="00BF3185"/>
    <w:rsid w:val="00BF320E"/>
    <w:rsid w:val="00BF3260"/>
    <w:rsid w:val="00BF3953"/>
    <w:rsid w:val="00BF3D27"/>
    <w:rsid w:val="00BF3EE4"/>
    <w:rsid w:val="00BF46CB"/>
    <w:rsid w:val="00BF48AD"/>
    <w:rsid w:val="00BF4FE2"/>
    <w:rsid w:val="00BF51B8"/>
    <w:rsid w:val="00BF5249"/>
    <w:rsid w:val="00BF530F"/>
    <w:rsid w:val="00BF5351"/>
    <w:rsid w:val="00BF56CD"/>
    <w:rsid w:val="00BF611B"/>
    <w:rsid w:val="00BF63E7"/>
    <w:rsid w:val="00BF6770"/>
    <w:rsid w:val="00BF68DB"/>
    <w:rsid w:val="00BF697D"/>
    <w:rsid w:val="00BF6AD7"/>
    <w:rsid w:val="00BF6C55"/>
    <w:rsid w:val="00BF7053"/>
    <w:rsid w:val="00BF72C0"/>
    <w:rsid w:val="00BF7325"/>
    <w:rsid w:val="00BF7355"/>
    <w:rsid w:val="00BF73A0"/>
    <w:rsid w:val="00BF73B0"/>
    <w:rsid w:val="00BF73B6"/>
    <w:rsid w:val="00BF7576"/>
    <w:rsid w:val="00BF7B3E"/>
    <w:rsid w:val="00BF7C8F"/>
    <w:rsid w:val="00BF7E34"/>
    <w:rsid w:val="00BF7EB9"/>
    <w:rsid w:val="00C0032C"/>
    <w:rsid w:val="00C00338"/>
    <w:rsid w:val="00C003BA"/>
    <w:rsid w:val="00C0084A"/>
    <w:rsid w:val="00C00D10"/>
    <w:rsid w:val="00C011B3"/>
    <w:rsid w:val="00C011B4"/>
    <w:rsid w:val="00C012DF"/>
    <w:rsid w:val="00C01444"/>
    <w:rsid w:val="00C017CF"/>
    <w:rsid w:val="00C0187B"/>
    <w:rsid w:val="00C0199B"/>
    <w:rsid w:val="00C01AFA"/>
    <w:rsid w:val="00C01FD9"/>
    <w:rsid w:val="00C02073"/>
    <w:rsid w:val="00C027EB"/>
    <w:rsid w:val="00C029BA"/>
    <w:rsid w:val="00C02EBA"/>
    <w:rsid w:val="00C03906"/>
    <w:rsid w:val="00C03C01"/>
    <w:rsid w:val="00C03D12"/>
    <w:rsid w:val="00C04640"/>
    <w:rsid w:val="00C04733"/>
    <w:rsid w:val="00C0483A"/>
    <w:rsid w:val="00C04891"/>
    <w:rsid w:val="00C04B7E"/>
    <w:rsid w:val="00C04C60"/>
    <w:rsid w:val="00C04E03"/>
    <w:rsid w:val="00C04F4F"/>
    <w:rsid w:val="00C04F6D"/>
    <w:rsid w:val="00C05518"/>
    <w:rsid w:val="00C05588"/>
    <w:rsid w:val="00C0597C"/>
    <w:rsid w:val="00C05BC0"/>
    <w:rsid w:val="00C05BE8"/>
    <w:rsid w:val="00C05CB2"/>
    <w:rsid w:val="00C05D48"/>
    <w:rsid w:val="00C06292"/>
    <w:rsid w:val="00C064CB"/>
    <w:rsid w:val="00C06847"/>
    <w:rsid w:val="00C068C8"/>
    <w:rsid w:val="00C068D9"/>
    <w:rsid w:val="00C06D98"/>
    <w:rsid w:val="00C07104"/>
    <w:rsid w:val="00C0733F"/>
    <w:rsid w:val="00C07BC2"/>
    <w:rsid w:val="00C07C88"/>
    <w:rsid w:val="00C10225"/>
    <w:rsid w:val="00C103A9"/>
    <w:rsid w:val="00C105C6"/>
    <w:rsid w:val="00C105EA"/>
    <w:rsid w:val="00C107BB"/>
    <w:rsid w:val="00C110C8"/>
    <w:rsid w:val="00C11547"/>
    <w:rsid w:val="00C11AF0"/>
    <w:rsid w:val="00C11C34"/>
    <w:rsid w:val="00C11D69"/>
    <w:rsid w:val="00C12053"/>
    <w:rsid w:val="00C121B5"/>
    <w:rsid w:val="00C124FB"/>
    <w:rsid w:val="00C12906"/>
    <w:rsid w:val="00C12C6B"/>
    <w:rsid w:val="00C12D77"/>
    <w:rsid w:val="00C13019"/>
    <w:rsid w:val="00C1325C"/>
    <w:rsid w:val="00C1383B"/>
    <w:rsid w:val="00C13A35"/>
    <w:rsid w:val="00C13EEC"/>
    <w:rsid w:val="00C14364"/>
    <w:rsid w:val="00C14739"/>
    <w:rsid w:val="00C14858"/>
    <w:rsid w:val="00C14E1D"/>
    <w:rsid w:val="00C14E57"/>
    <w:rsid w:val="00C14EF9"/>
    <w:rsid w:val="00C14F73"/>
    <w:rsid w:val="00C14FB4"/>
    <w:rsid w:val="00C15080"/>
    <w:rsid w:val="00C1520B"/>
    <w:rsid w:val="00C155F4"/>
    <w:rsid w:val="00C156AE"/>
    <w:rsid w:val="00C15B4F"/>
    <w:rsid w:val="00C15D13"/>
    <w:rsid w:val="00C1601D"/>
    <w:rsid w:val="00C1620D"/>
    <w:rsid w:val="00C162E9"/>
    <w:rsid w:val="00C164DC"/>
    <w:rsid w:val="00C16988"/>
    <w:rsid w:val="00C16B6C"/>
    <w:rsid w:val="00C16CF9"/>
    <w:rsid w:val="00C17082"/>
    <w:rsid w:val="00C17214"/>
    <w:rsid w:val="00C1727B"/>
    <w:rsid w:val="00C172AB"/>
    <w:rsid w:val="00C174C6"/>
    <w:rsid w:val="00C17847"/>
    <w:rsid w:val="00C17ACE"/>
    <w:rsid w:val="00C17D69"/>
    <w:rsid w:val="00C17FA1"/>
    <w:rsid w:val="00C20080"/>
    <w:rsid w:val="00C20494"/>
    <w:rsid w:val="00C2061D"/>
    <w:rsid w:val="00C2068B"/>
    <w:rsid w:val="00C20A82"/>
    <w:rsid w:val="00C20FE9"/>
    <w:rsid w:val="00C212EB"/>
    <w:rsid w:val="00C219B6"/>
    <w:rsid w:val="00C219DF"/>
    <w:rsid w:val="00C21BD3"/>
    <w:rsid w:val="00C21CEE"/>
    <w:rsid w:val="00C21DE5"/>
    <w:rsid w:val="00C21DEF"/>
    <w:rsid w:val="00C21E0F"/>
    <w:rsid w:val="00C220C2"/>
    <w:rsid w:val="00C22256"/>
    <w:rsid w:val="00C22289"/>
    <w:rsid w:val="00C223F4"/>
    <w:rsid w:val="00C22671"/>
    <w:rsid w:val="00C22C0B"/>
    <w:rsid w:val="00C22D16"/>
    <w:rsid w:val="00C22F54"/>
    <w:rsid w:val="00C23062"/>
    <w:rsid w:val="00C23253"/>
    <w:rsid w:val="00C23A0E"/>
    <w:rsid w:val="00C23F19"/>
    <w:rsid w:val="00C24124"/>
    <w:rsid w:val="00C24225"/>
    <w:rsid w:val="00C24426"/>
    <w:rsid w:val="00C246A9"/>
    <w:rsid w:val="00C247A5"/>
    <w:rsid w:val="00C24CC1"/>
    <w:rsid w:val="00C24CCF"/>
    <w:rsid w:val="00C24E4C"/>
    <w:rsid w:val="00C24F4C"/>
    <w:rsid w:val="00C25062"/>
    <w:rsid w:val="00C25129"/>
    <w:rsid w:val="00C251F5"/>
    <w:rsid w:val="00C252D1"/>
    <w:rsid w:val="00C2545D"/>
    <w:rsid w:val="00C25839"/>
    <w:rsid w:val="00C25CF8"/>
    <w:rsid w:val="00C25E7F"/>
    <w:rsid w:val="00C25F3E"/>
    <w:rsid w:val="00C2657B"/>
    <w:rsid w:val="00C265CC"/>
    <w:rsid w:val="00C26BBD"/>
    <w:rsid w:val="00C26E11"/>
    <w:rsid w:val="00C26E46"/>
    <w:rsid w:val="00C271F2"/>
    <w:rsid w:val="00C27283"/>
    <w:rsid w:val="00C276B9"/>
    <w:rsid w:val="00C279B9"/>
    <w:rsid w:val="00C27E71"/>
    <w:rsid w:val="00C27EC6"/>
    <w:rsid w:val="00C3045D"/>
    <w:rsid w:val="00C308C6"/>
    <w:rsid w:val="00C30A00"/>
    <w:rsid w:val="00C30A3D"/>
    <w:rsid w:val="00C30C44"/>
    <w:rsid w:val="00C31615"/>
    <w:rsid w:val="00C317D1"/>
    <w:rsid w:val="00C317E2"/>
    <w:rsid w:val="00C319AC"/>
    <w:rsid w:val="00C31E42"/>
    <w:rsid w:val="00C32397"/>
    <w:rsid w:val="00C324B4"/>
    <w:rsid w:val="00C32AC2"/>
    <w:rsid w:val="00C32B17"/>
    <w:rsid w:val="00C32C04"/>
    <w:rsid w:val="00C32C7C"/>
    <w:rsid w:val="00C32DFB"/>
    <w:rsid w:val="00C3338A"/>
    <w:rsid w:val="00C33A55"/>
    <w:rsid w:val="00C33AD1"/>
    <w:rsid w:val="00C33DEB"/>
    <w:rsid w:val="00C345E0"/>
    <w:rsid w:val="00C34A43"/>
    <w:rsid w:val="00C34B9F"/>
    <w:rsid w:val="00C3535E"/>
    <w:rsid w:val="00C353A5"/>
    <w:rsid w:val="00C3542C"/>
    <w:rsid w:val="00C3570B"/>
    <w:rsid w:val="00C35930"/>
    <w:rsid w:val="00C35A0B"/>
    <w:rsid w:val="00C35A82"/>
    <w:rsid w:val="00C36ACB"/>
    <w:rsid w:val="00C36B21"/>
    <w:rsid w:val="00C36D1A"/>
    <w:rsid w:val="00C36DB9"/>
    <w:rsid w:val="00C36EB3"/>
    <w:rsid w:val="00C370A6"/>
    <w:rsid w:val="00C37111"/>
    <w:rsid w:val="00C37677"/>
    <w:rsid w:val="00C37782"/>
    <w:rsid w:val="00C378D0"/>
    <w:rsid w:val="00C403ED"/>
    <w:rsid w:val="00C4051F"/>
    <w:rsid w:val="00C408A0"/>
    <w:rsid w:val="00C40C2A"/>
    <w:rsid w:val="00C40F9A"/>
    <w:rsid w:val="00C40FDB"/>
    <w:rsid w:val="00C4114B"/>
    <w:rsid w:val="00C41357"/>
    <w:rsid w:val="00C413AE"/>
    <w:rsid w:val="00C4191A"/>
    <w:rsid w:val="00C419BF"/>
    <w:rsid w:val="00C41C02"/>
    <w:rsid w:val="00C41DF7"/>
    <w:rsid w:val="00C41E19"/>
    <w:rsid w:val="00C42177"/>
    <w:rsid w:val="00C424C8"/>
    <w:rsid w:val="00C42562"/>
    <w:rsid w:val="00C42BB4"/>
    <w:rsid w:val="00C42D0B"/>
    <w:rsid w:val="00C42E94"/>
    <w:rsid w:val="00C43021"/>
    <w:rsid w:val="00C43043"/>
    <w:rsid w:val="00C43266"/>
    <w:rsid w:val="00C434AE"/>
    <w:rsid w:val="00C43609"/>
    <w:rsid w:val="00C436D7"/>
    <w:rsid w:val="00C43994"/>
    <w:rsid w:val="00C43A4F"/>
    <w:rsid w:val="00C43B2C"/>
    <w:rsid w:val="00C43B8E"/>
    <w:rsid w:val="00C43C8F"/>
    <w:rsid w:val="00C442F7"/>
    <w:rsid w:val="00C44685"/>
    <w:rsid w:val="00C44DBA"/>
    <w:rsid w:val="00C4516E"/>
    <w:rsid w:val="00C451AE"/>
    <w:rsid w:val="00C453BA"/>
    <w:rsid w:val="00C45559"/>
    <w:rsid w:val="00C4560D"/>
    <w:rsid w:val="00C4569E"/>
    <w:rsid w:val="00C45925"/>
    <w:rsid w:val="00C4594D"/>
    <w:rsid w:val="00C45C26"/>
    <w:rsid w:val="00C45C8F"/>
    <w:rsid w:val="00C45D33"/>
    <w:rsid w:val="00C46087"/>
    <w:rsid w:val="00C460FD"/>
    <w:rsid w:val="00C4618A"/>
    <w:rsid w:val="00C461A5"/>
    <w:rsid w:val="00C462B7"/>
    <w:rsid w:val="00C467BD"/>
    <w:rsid w:val="00C46F12"/>
    <w:rsid w:val="00C470BA"/>
    <w:rsid w:val="00C4713A"/>
    <w:rsid w:val="00C4759E"/>
    <w:rsid w:val="00C478FB"/>
    <w:rsid w:val="00C502B9"/>
    <w:rsid w:val="00C504E7"/>
    <w:rsid w:val="00C50981"/>
    <w:rsid w:val="00C509E3"/>
    <w:rsid w:val="00C50B4D"/>
    <w:rsid w:val="00C51353"/>
    <w:rsid w:val="00C51886"/>
    <w:rsid w:val="00C51C84"/>
    <w:rsid w:val="00C51D7F"/>
    <w:rsid w:val="00C52021"/>
    <w:rsid w:val="00C52421"/>
    <w:rsid w:val="00C52439"/>
    <w:rsid w:val="00C5269E"/>
    <w:rsid w:val="00C52751"/>
    <w:rsid w:val="00C534B8"/>
    <w:rsid w:val="00C5378B"/>
    <w:rsid w:val="00C53C78"/>
    <w:rsid w:val="00C53CDF"/>
    <w:rsid w:val="00C53D03"/>
    <w:rsid w:val="00C53D6E"/>
    <w:rsid w:val="00C53DAE"/>
    <w:rsid w:val="00C53E7C"/>
    <w:rsid w:val="00C53EC8"/>
    <w:rsid w:val="00C54033"/>
    <w:rsid w:val="00C544D2"/>
    <w:rsid w:val="00C546BB"/>
    <w:rsid w:val="00C5493E"/>
    <w:rsid w:val="00C54998"/>
    <w:rsid w:val="00C55107"/>
    <w:rsid w:val="00C557B3"/>
    <w:rsid w:val="00C55CB4"/>
    <w:rsid w:val="00C55D6A"/>
    <w:rsid w:val="00C56054"/>
    <w:rsid w:val="00C56B8B"/>
    <w:rsid w:val="00C575A0"/>
    <w:rsid w:val="00C576CF"/>
    <w:rsid w:val="00C57729"/>
    <w:rsid w:val="00C57DE2"/>
    <w:rsid w:val="00C57E4C"/>
    <w:rsid w:val="00C57F08"/>
    <w:rsid w:val="00C6014B"/>
    <w:rsid w:val="00C602AD"/>
    <w:rsid w:val="00C60613"/>
    <w:rsid w:val="00C6064B"/>
    <w:rsid w:val="00C608AF"/>
    <w:rsid w:val="00C60D5F"/>
    <w:rsid w:val="00C60F22"/>
    <w:rsid w:val="00C6151D"/>
    <w:rsid w:val="00C6194D"/>
    <w:rsid w:val="00C61A2C"/>
    <w:rsid w:val="00C61BE2"/>
    <w:rsid w:val="00C61C51"/>
    <w:rsid w:val="00C623D4"/>
    <w:rsid w:val="00C6248A"/>
    <w:rsid w:val="00C62642"/>
    <w:rsid w:val="00C626D2"/>
    <w:rsid w:val="00C627EF"/>
    <w:rsid w:val="00C62AF2"/>
    <w:rsid w:val="00C62EAB"/>
    <w:rsid w:val="00C62F24"/>
    <w:rsid w:val="00C6336C"/>
    <w:rsid w:val="00C63487"/>
    <w:rsid w:val="00C6391C"/>
    <w:rsid w:val="00C63984"/>
    <w:rsid w:val="00C63B67"/>
    <w:rsid w:val="00C63E81"/>
    <w:rsid w:val="00C63E98"/>
    <w:rsid w:val="00C6403B"/>
    <w:rsid w:val="00C6426B"/>
    <w:rsid w:val="00C64502"/>
    <w:rsid w:val="00C646E2"/>
    <w:rsid w:val="00C647FA"/>
    <w:rsid w:val="00C649B3"/>
    <w:rsid w:val="00C64A5F"/>
    <w:rsid w:val="00C64E7E"/>
    <w:rsid w:val="00C65286"/>
    <w:rsid w:val="00C655CB"/>
    <w:rsid w:val="00C65714"/>
    <w:rsid w:val="00C65CB8"/>
    <w:rsid w:val="00C65D91"/>
    <w:rsid w:val="00C66151"/>
    <w:rsid w:val="00C66264"/>
    <w:rsid w:val="00C66450"/>
    <w:rsid w:val="00C664D7"/>
    <w:rsid w:val="00C66522"/>
    <w:rsid w:val="00C66CC2"/>
    <w:rsid w:val="00C66EB7"/>
    <w:rsid w:val="00C66F89"/>
    <w:rsid w:val="00C66FF5"/>
    <w:rsid w:val="00C6726C"/>
    <w:rsid w:val="00C67467"/>
    <w:rsid w:val="00C6783A"/>
    <w:rsid w:val="00C67A46"/>
    <w:rsid w:val="00C67E1D"/>
    <w:rsid w:val="00C67E66"/>
    <w:rsid w:val="00C70391"/>
    <w:rsid w:val="00C706DD"/>
    <w:rsid w:val="00C70720"/>
    <w:rsid w:val="00C70C1E"/>
    <w:rsid w:val="00C70D86"/>
    <w:rsid w:val="00C70F41"/>
    <w:rsid w:val="00C70F6B"/>
    <w:rsid w:val="00C7104D"/>
    <w:rsid w:val="00C717FE"/>
    <w:rsid w:val="00C71C00"/>
    <w:rsid w:val="00C71DCF"/>
    <w:rsid w:val="00C726D2"/>
    <w:rsid w:val="00C7287B"/>
    <w:rsid w:val="00C7288C"/>
    <w:rsid w:val="00C7294F"/>
    <w:rsid w:val="00C72C4D"/>
    <w:rsid w:val="00C730A5"/>
    <w:rsid w:val="00C73578"/>
    <w:rsid w:val="00C73842"/>
    <w:rsid w:val="00C73BB1"/>
    <w:rsid w:val="00C73C5C"/>
    <w:rsid w:val="00C73F2A"/>
    <w:rsid w:val="00C73F71"/>
    <w:rsid w:val="00C74652"/>
    <w:rsid w:val="00C74699"/>
    <w:rsid w:val="00C74961"/>
    <w:rsid w:val="00C74981"/>
    <w:rsid w:val="00C74E3F"/>
    <w:rsid w:val="00C75D51"/>
    <w:rsid w:val="00C7608D"/>
    <w:rsid w:val="00C76160"/>
    <w:rsid w:val="00C76176"/>
    <w:rsid w:val="00C76247"/>
    <w:rsid w:val="00C762BB"/>
    <w:rsid w:val="00C76543"/>
    <w:rsid w:val="00C7669F"/>
    <w:rsid w:val="00C76958"/>
    <w:rsid w:val="00C76975"/>
    <w:rsid w:val="00C76C2E"/>
    <w:rsid w:val="00C76C92"/>
    <w:rsid w:val="00C76E32"/>
    <w:rsid w:val="00C76F22"/>
    <w:rsid w:val="00C771F0"/>
    <w:rsid w:val="00C77319"/>
    <w:rsid w:val="00C776A9"/>
    <w:rsid w:val="00C77AB5"/>
    <w:rsid w:val="00C77B2A"/>
    <w:rsid w:val="00C77F0D"/>
    <w:rsid w:val="00C800B9"/>
    <w:rsid w:val="00C800DE"/>
    <w:rsid w:val="00C800DF"/>
    <w:rsid w:val="00C8017F"/>
    <w:rsid w:val="00C80376"/>
    <w:rsid w:val="00C807A9"/>
    <w:rsid w:val="00C809C2"/>
    <w:rsid w:val="00C80A7F"/>
    <w:rsid w:val="00C80B47"/>
    <w:rsid w:val="00C8118C"/>
    <w:rsid w:val="00C811AC"/>
    <w:rsid w:val="00C814FE"/>
    <w:rsid w:val="00C8164D"/>
    <w:rsid w:val="00C819C5"/>
    <w:rsid w:val="00C81ADF"/>
    <w:rsid w:val="00C81B24"/>
    <w:rsid w:val="00C81D81"/>
    <w:rsid w:val="00C81F21"/>
    <w:rsid w:val="00C81FD9"/>
    <w:rsid w:val="00C82784"/>
    <w:rsid w:val="00C82BE3"/>
    <w:rsid w:val="00C82D60"/>
    <w:rsid w:val="00C82EEA"/>
    <w:rsid w:val="00C83171"/>
    <w:rsid w:val="00C8325D"/>
    <w:rsid w:val="00C8346E"/>
    <w:rsid w:val="00C837E2"/>
    <w:rsid w:val="00C8386C"/>
    <w:rsid w:val="00C838D1"/>
    <w:rsid w:val="00C839F1"/>
    <w:rsid w:val="00C83C90"/>
    <w:rsid w:val="00C83DCC"/>
    <w:rsid w:val="00C840EF"/>
    <w:rsid w:val="00C842FB"/>
    <w:rsid w:val="00C8444E"/>
    <w:rsid w:val="00C84955"/>
    <w:rsid w:val="00C854B9"/>
    <w:rsid w:val="00C8562D"/>
    <w:rsid w:val="00C85D31"/>
    <w:rsid w:val="00C86120"/>
    <w:rsid w:val="00C86311"/>
    <w:rsid w:val="00C86840"/>
    <w:rsid w:val="00C86A90"/>
    <w:rsid w:val="00C86DA1"/>
    <w:rsid w:val="00C8700F"/>
    <w:rsid w:val="00C87086"/>
    <w:rsid w:val="00C873B2"/>
    <w:rsid w:val="00C87592"/>
    <w:rsid w:val="00C875AD"/>
    <w:rsid w:val="00C877DE"/>
    <w:rsid w:val="00C878AB"/>
    <w:rsid w:val="00C879B8"/>
    <w:rsid w:val="00C87B64"/>
    <w:rsid w:val="00C87B73"/>
    <w:rsid w:val="00C9038A"/>
    <w:rsid w:val="00C905C5"/>
    <w:rsid w:val="00C907A2"/>
    <w:rsid w:val="00C90B8D"/>
    <w:rsid w:val="00C90D48"/>
    <w:rsid w:val="00C90ECD"/>
    <w:rsid w:val="00C9103A"/>
    <w:rsid w:val="00C919E9"/>
    <w:rsid w:val="00C91A81"/>
    <w:rsid w:val="00C91D59"/>
    <w:rsid w:val="00C91EA0"/>
    <w:rsid w:val="00C9208E"/>
    <w:rsid w:val="00C922FD"/>
    <w:rsid w:val="00C925D7"/>
    <w:rsid w:val="00C9276B"/>
    <w:rsid w:val="00C92A1D"/>
    <w:rsid w:val="00C92CEE"/>
    <w:rsid w:val="00C92D5B"/>
    <w:rsid w:val="00C92D6D"/>
    <w:rsid w:val="00C92DB7"/>
    <w:rsid w:val="00C92FEB"/>
    <w:rsid w:val="00C9374D"/>
    <w:rsid w:val="00C94005"/>
    <w:rsid w:val="00C9400D"/>
    <w:rsid w:val="00C940A5"/>
    <w:rsid w:val="00C942A4"/>
    <w:rsid w:val="00C94450"/>
    <w:rsid w:val="00C9452D"/>
    <w:rsid w:val="00C95093"/>
    <w:rsid w:val="00C954EF"/>
    <w:rsid w:val="00C9551A"/>
    <w:rsid w:val="00C956B5"/>
    <w:rsid w:val="00C95E27"/>
    <w:rsid w:val="00C96040"/>
    <w:rsid w:val="00C961DC"/>
    <w:rsid w:val="00C96B7D"/>
    <w:rsid w:val="00C96D88"/>
    <w:rsid w:val="00C96E8E"/>
    <w:rsid w:val="00C9755E"/>
    <w:rsid w:val="00C975E1"/>
    <w:rsid w:val="00C97717"/>
    <w:rsid w:val="00C9785A"/>
    <w:rsid w:val="00C97B8D"/>
    <w:rsid w:val="00C97CBC"/>
    <w:rsid w:val="00CA007C"/>
    <w:rsid w:val="00CA00B7"/>
    <w:rsid w:val="00CA05E1"/>
    <w:rsid w:val="00CA061F"/>
    <w:rsid w:val="00CA0714"/>
    <w:rsid w:val="00CA0B6C"/>
    <w:rsid w:val="00CA0F66"/>
    <w:rsid w:val="00CA11BC"/>
    <w:rsid w:val="00CA13E8"/>
    <w:rsid w:val="00CA1A2A"/>
    <w:rsid w:val="00CA1CEF"/>
    <w:rsid w:val="00CA1E96"/>
    <w:rsid w:val="00CA21F3"/>
    <w:rsid w:val="00CA2237"/>
    <w:rsid w:val="00CA235B"/>
    <w:rsid w:val="00CA2599"/>
    <w:rsid w:val="00CA2664"/>
    <w:rsid w:val="00CA287A"/>
    <w:rsid w:val="00CA2880"/>
    <w:rsid w:val="00CA2A45"/>
    <w:rsid w:val="00CA2D7E"/>
    <w:rsid w:val="00CA339E"/>
    <w:rsid w:val="00CA380E"/>
    <w:rsid w:val="00CA3ADC"/>
    <w:rsid w:val="00CA3CB7"/>
    <w:rsid w:val="00CA3E16"/>
    <w:rsid w:val="00CA435B"/>
    <w:rsid w:val="00CA43D4"/>
    <w:rsid w:val="00CA44FE"/>
    <w:rsid w:val="00CA45B5"/>
    <w:rsid w:val="00CA48AF"/>
    <w:rsid w:val="00CA4913"/>
    <w:rsid w:val="00CA497B"/>
    <w:rsid w:val="00CA4B37"/>
    <w:rsid w:val="00CA4B3F"/>
    <w:rsid w:val="00CA4F5E"/>
    <w:rsid w:val="00CA4F63"/>
    <w:rsid w:val="00CA51F2"/>
    <w:rsid w:val="00CA5348"/>
    <w:rsid w:val="00CA5570"/>
    <w:rsid w:val="00CA5765"/>
    <w:rsid w:val="00CA5AFA"/>
    <w:rsid w:val="00CA5B47"/>
    <w:rsid w:val="00CA5E8F"/>
    <w:rsid w:val="00CA671F"/>
    <w:rsid w:val="00CA692E"/>
    <w:rsid w:val="00CA6B0D"/>
    <w:rsid w:val="00CA6BC9"/>
    <w:rsid w:val="00CA6BEB"/>
    <w:rsid w:val="00CA6C20"/>
    <w:rsid w:val="00CA6D6A"/>
    <w:rsid w:val="00CA75CB"/>
    <w:rsid w:val="00CA7D65"/>
    <w:rsid w:val="00CA7E49"/>
    <w:rsid w:val="00CA7E83"/>
    <w:rsid w:val="00CB0018"/>
    <w:rsid w:val="00CB0125"/>
    <w:rsid w:val="00CB08E2"/>
    <w:rsid w:val="00CB091F"/>
    <w:rsid w:val="00CB0F5B"/>
    <w:rsid w:val="00CB1149"/>
    <w:rsid w:val="00CB1384"/>
    <w:rsid w:val="00CB1443"/>
    <w:rsid w:val="00CB14D3"/>
    <w:rsid w:val="00CB18A3"/>
    <w:rsid w:val="00CB18EA"/>
    <w:rsid w:val="00CB22C6"/>
    <w:rsid w:val="00CB24F4"/>
    <w:rsid w:val="00CB2A8E"/>
    <w:rsid w:val="00CB2AB4"/>
    <w:rsid w:val="00CB2B0D"/>
    <w:rsid w:val="00CB2F6F"/>
    <w:rsid w:val="00CB31AC"/>
    <w:rsid w:val="00CB33D0"/>
    <w:rsid w:val="00CB33E7"/>
    <w:rsid w:val="00CB424D"/>
    <w:rsid w:val="00CB45F0"/>
    <w:rsid w:val="00CB4846"/>
    <w:rsid w:val="00CB48C3"/>
    <w:rsid w:val="00CB48E4"/>
    <w:rsid w:val="00CB502A"/>
    <w:rsid w:val="00CB53C5"/>
    <w:rsid w:val="00CB56B5"/>
    <w:rsid w:val="00CB5B5C"/>
    <w:rsid w:val="00CB5D44"/>
    <w:rsid w:val="00CB5F59"/>
    <w:rsid w:val="00CB642F"/>
    <w:rsid w:val="00CB6802"/>
    <w:rsid w:val="00CB6A11"/>
    <w:rsid w:val="00CB6C80"/>
    <w:rsid w:val="00CB6C98"/>
    <w:rsid w:val="00CB7291"/>
    <w:rsid w:val="00CB7CF6"/>
    <w:rsid w:val="00CB7D24"/>
    <w:rsid w:val="00CC0917"/>
    <w:rsid w:val="00CC092A"/>
    <w:rsid w:val="00CC0BDC"/>
    <w:rsid w:val="00CC0DC4"/>
    <w:rsid w:val="00CC0E8B"/>
    <w:rsid w:val="00CC1053"/>
    <w:rsid w:val="00CC127A"/>
    <w:rsid w:val="00CC13D8"/>
    <w:rsid w:val="00CC161D"/>
    <w:rsid w:val="00CC18E8"/>
    <w:rsid w:val="00CC1A53"/>
    <w:rsid w:val="00CC1E39"/>
    <w:rsid w:val="00CC1E4A"/>
    <w:rsid w:val="00CC1F71"/>
    <w:rsid w:val="00CC2380"/>
    <w:rsid w:val="00CC2741"/>
    <w:rsid w:val="00CC28A1"/>
    <w:rsid w:val="00CC2BD7"/>
    <w:rsid w:val="00CC2F26"/>
    <w:rsid w:val="00CC31A0"/>
    <w:rsid w:val="00CC348B"/>
    <w:rsid w:val="00CC34B0"/>
    <w:rsid w:val="00CC354F"/>
    <w:rsid w:val="00CC3945"/>
    <w:rsid w:val="00CC44A3"/>
    <w:rsid w:val="00CC44AA"/>
    <w:rsid w:val="00CC4685"/>
    <w:rsid w:val="00CC4782"/>
    <w:rsid w:val="00CC4826"/>
    <w:rsid w:val="00CC4B24"/>
    <w:rsid w:val="00CC53C9"/>
    <w:rsid w:val="00CC55D1"/>
    <w:rsid w:val="00CC5719"/>
    <w:rsid w:val="00CC59DF"/>
    <w:rsid w:val="00CC65BF"/>
    <w:rsid w:val="00CC72DC"/>
    <w:rsid w:val="00CC77BC"/>
    <w:rsid w:val="00CC7B44"/>
    <w:rsid w:val="00CD034F"/>
    <w:rsid w:val="00CD0859"/>
    <w:rsid w:val="00CD11AD"/>
    <w:rsid w:val="00CD1204"/>
    <w:rsid w:val="00CD1536"/>
    <w:rsid w:val="00CD17A8"/>
    <w:rsid w:val="00CD1A34"/>
    <w:rsid w:val="00CD1B11"/>
    <w:rsid w:val="00CD1D2D"/>
    <w:rsid w:val="00CD1E36"/>
    <w:rsid w:val="00CD1F48"/>
    <w:rsid w:val="00CD2691"/>
    <w:rsid w:val="00CD2704"/>
    <w:rsid w:val="00CD2905"/>
    <w:rsid w:val="00CD2A07"/>
    <w:rsid w:val="00CD2A64"/>
    <w:rsid w:val="00CD312A"/>
    <w:rsid w:val="00CD3226"/>
    <w:rsid w:val="00CD3776"/>
    <w:rsid w:val="00CD3873"/>
    <w:rsid w:val="00CD3C47"/>
    <w:rsid w:val="00CD3D7F"/>
    <w:rsid w:val="00CD3EFA"/>
    <w:rsid w:val="00CD3F5B"/>
    <w:rsid w:val="00CD42E6"/>
    <w:rsid w:val="00CD44C0"/>
    <w:rsid w:val="00CD47B3"/>
    <w:rsid w:val="00CD4870"/>
    <w:rsid w:val="00CD496A"/>
    <w:rsid w:val="00CD4B10"/>
    <w:rsid w:val="00CD4ECA"/>
    <w:rsid w:val="00CD5548"/>
    <w:rsid w:val="00CD5A17"/>
    <w:rsid w:val="00CD5EA0"/>
    <w:rsid w:val="00CD5F34"/>
    <w:rsid w:val="00CD629C"/>
    <w:rsid w:val="00CD6790"/>
    <w:rsid w:val="00CD6C14"/>
    <w:rsid w:val="00CD6DC4"/>
    <w:rsid w:val="00CD7027"/>
    <w:rsid w:val="00CD7539"/>
    <w:rsid w:val="00CD7801"/>
    <w:rsid w:val="00CD7986"/>
    <w:rsid w:val="00CD7B8D"/>
    <w:rsid w:val="00CE0133"/>
    <w:rsid w:val="00CE01B7"/>
    <w:rsid w:val="00CE022E"/>
    <w:rsid w:val="00CE0582"/>
    <w:rsid w:val="00CE066F"/>
    <w:rsid w:val="00CE0D7F"/>
    <w:rsid w:val="00CE100D"/>
    <w:rsid w:val="00CE11F5"/>
    <w:rsid w:val="00CE13DC"/>
    <w:rsid w:val="00CE1483"/>
    <w:rsid w:val="00CE14AD"/>
    <w:rsid w:val="00CE1966"/>
    <w:rsid w:val="00CE1B89"/>
    <w:rsid w:val="00CE1C9E"/>
    <w:rsid w:val="00CE1E2E"/>
    <w:rsid w:val="00CE25B6"/>
    <w:rsid w:val="00CE27BA"/>
    <w:rsid w:val="00CE2C0C"/>
    <w:rsid w:val="00CE315A"/>
    <w:rsid w:val="00CE3187"/>
    <w:rsid w:val="00CE31F6"/>
    <w:rsid w:val="00CE327E"/>
    <w:rsid w:val="00CE3363"/>
    <w:rsid w:val="00CE3455"/>
    <w:rsid w:val="00CE37D8"/>
    <w:rsid w:val="00CE3CED"/>
    <w:rsid w:val="00CE3D98"/>
    <w:rsid w:val="00CE432A"/>
    <w:rsid w:val="00CE44C3"/>
    <w:rsid w:val="00CE473E"/>
    <w:rsid w:val="00CE4926"/>
    <w:rsid w:val="00CE4A93"/>
    <w:rsid w:val="00CE4CF5"/>
    <w:rsid w:val="00CE4DC9"/>
    <w:rsid w:val="00CE508E"/>
    <w:rsid w:val="00CE55ED"/>
    <w:rsid w:val="00CE5D3F"/>
    <w:rsid w:val="00CE5E45"/>
    <w:rsid w:val="00CE6048"/>
    <w:rsid w:val="00CE622C"/>
    <w:rsid w:val="00CE632D"/>
    <w:rsid w:val="00CE672E"/>
    <w:rsid w:val="00CE6DC1"/>
    <w:rsid w:val="00CE707D"/>
    <w:rsid w:val="00CE734D"/>
    <w:rsid w:val="00CE7754"/>
    <w:rsid w:val="00CE77AD"/>
    <w:rsid w:val="00CE7F66"/>
    <w:rsid w:val="00CF036D"/>
    <w:rsid w:val="00CF0925"/>
    <w:rsid w:val="00CF0BAC"/>
    <w:rsid w:val="00CF0D64"/>
    <w:rsid w:val="00CF0ED9"/>
    <w:rsid w:val="00CF0F0D"/>
    <w:rsid w:val="00CF1177"/>
    <w:rsid w:val="00CF18AA"/>
    <w:rsid w:val="00CF18B4"/>
    <w:rsid w:val="00CF1D48"/>
    <w:rsid w:val="00CF1E5E"/>
    <w:rsid w:val="00CF1FE8"/>
    <w:rsid w:val="00CF21D4"/>
    <w:rsid w:val="00CF257A"/>
    <w:rsid w:val="00CF26D0"/>
    <w:rsid w:val="00CF2D18"/>
    <w:rsid w:val="00CF2FA9"/>
    <w:rsid w:val="00CF306E"/>
    <w:rsid w:val="00CF32EE"/>
    <w:rsid w:val="00CF3650"/>
    <w:rsid w:val="00CF38A8"/>
    <w:rsid w:val="00CF3DCF"/>
    <w:rsid w:val="00CF4230"/>
    <w:rsid w:val="00CF45D1"/>
    <w:rsid w:val="00CF4B12"/>
    <w:rsid w:val="00CF50A9"/>
    <w:rsid w:val="00CF50DB"/>
    <w:rsid w:val="00CF53C4"/>
    <w:rsid w:val="00CF57B5"/>
    <w:rsid w:val="00CF5829"/>
    <w:rsid w:val="00CF5B8D"/>
    <w:rsid w:val="00CF5E86"/>
    <w:rsid w:val="00CF6293"/>
    <w:rsid w:val="00CF629F"/>
    <w:rsid w:val="00CF6494"/>
    <w:rsid w:val="00CF666A"/>
    <w:rsid w:val="00CF67C7"/>
    <w:rsid w:val="00CF6AF6"/>
    <w:rsid w:val="00CF6BFD"/>
    <w:rsid w:val="00CF6C0F"/>
    <w:rsid w:val="00CF6C9B"/>
    <w:rsid w:val="00CF6FB1"/>
    <w:rsid w:val="00CF720B"/>
    <w:rsid w:val="00CF7542"/>
    <w:rsid w:val="00CF760C"/>
    <w:rsid w:val="00CF7614"/>
    <w:rsid w:val="00CF7BD5"/>
    <w:rsid w:val="00CF7C43"/>
    <w:rsid w:val="00CF7C89"/>
    <w:rsid w:val="00CF7CEF"/>
    <w:rsid w:val="00CF7D40"/>
    <w:rsid w:val="00D00149"/>
    <w:rsid w:val="00D00236"/>
    <w:rsid w:val="00D006AF"/>
    <w:rsid w:val="00D00A6C"/>
    <w:rsid w:val="00D00BBD"/>
    <w:rsid w:val="00D00C14"/>
    <w:rsid w:val="00D00DF0"/>
    <w:rsid w:val="00D015A8"/>
    <w:rsid w:val="00D016DA"/>
    <w:rsid w:val="00D018DE"/>
    <w:rsid w:val="00D018DF"/>
    <w:rsid w:val="00D01957"/>
    <w:rsid w:val="00D019A7"/>
    <w:rsid w:val="00D01B49"/>
    <w:rsid w:val="00D01C7D"/>
    <w:rsid w:val="00D01D4A"/>
    <w:rsid w:val="00D01DD2"/>
    <w:rsid w:val="00D01E08"/>
    <w:rsid w:val="00D01E0C"/>
    <w:rsid w:val="00D0222C"/>
    <w:rsid w:val="00D024EC"/>
    <w:rsid w:val="00D02BEE"/>
    <w:rsid w:val="00D02C31"/>
    <w:rsid w:val="00D02D46"/>
    <w:rsid w:val="00D02D7F"/>
    <w:rsid w:val="00D03013"/>
    <w:rsid w:val="00D03170"/>
    <w:rsid w:val="00D03320"/>
    <w:rsid w:val="00D038D4"/>
    <w:rsid w:val="00D03B94"/>
    <w:rsid w:val="00D03C1A"/>
    <w:rsid w:val="00D03F64"/>
    <w:rsid w:val="00D04539"/>
    <w:rsid w:val="00D048D5"/>
    <w:rsid w:val="00D04A0F"/>
    <w:rsid w:val="00D051FC"/>
    <w:rsid w:val="00D05241"/>
    <w:rsid w:val="00D05249"/>
    <w:rsid w:val="00D052A9"/>
    <w:rsid w:val="00D05558"/>
    <w:rsid w:val="00D055C8"/>
    <w:rsid w:val="00D05812"/>
    <w:rsid w:val="00D0595D"/>
    <w:rsid w:val="00D061EA"/>
    <w:rsid w:val="00D065BE"/>
    <w:rsid w:val="00D06745"/>
    <w:rsid w:val="00D06A54"/>
    <w:rsid w:val="00D06BB5"/>
    <w:rsid w:val="00D07136"/>
    <w:rsid w:val="00D071EC"/>
    <w:rsid w:val="00D07256"/>
    <w:rsid w:val="00D07334"/>
    <w:rsid w:val="00D07CE3"/>
    <w:rsid w:val="00D07EB1"/>
    <w:rsid w:val="00D10541"/>
    <w:rsid w:val="00D1093B"/>
    <w:rsid w:val="00D10D84"/>
    <w:rsid w:val="00D111DC"/>
    <w:rsid w:val="00D11B89"/>
    <w:rsid w:val="00D11C03"/>
    <w:rsid w:val="00D11F7E"/>
    <w:rsid w:val="00D126B3"/>
    <w:rsid w:val="00D12723"/>
    <w:rsid w:val="00D12793"/>
    <w:rsid w:val="00D12AFF"/>
    <w:rsid w:val="00D1328C"/>
    <w:rsid w:val="00D13394"/>
    <w:rsid w:val="00D1378E"/>
    <w:rsid w:val="00D13909"/>
    <w:rsid w:val="00D13FD8"/>
    <w:rsid w:val="00D140E0"/>
    <w:rsid w:val="00D1432E"/>
    <w:rsid w:val="00D145D5"/>
    <w:rsid w:val="00D14B34"/>
    <w:rsid w:val="00D1510A"/>
    <w:rsid w:val="00D15307"/>
    <w:rsid w:val="00D1552D"/>
    <w:rsid w:val="00D15619"/>
    <w:rsid w:val="00D156B5"/>
    <w:rsid w:val="00D1592F"/>
    <w:rsid w:val="00D160C1"/>
    <w:rsid w:val="00D16A70"/>
    <w:rsid w:val="00D16FFC"/>
    <w:rsid w:val="00D17002"/>
    <w:rsid w:val="00D171CC"/>
    <w:rsid w:val="00D1721E"/>
    <w:rsid w:val="00D1722A"/>
    <w:rsid w:val="00D1733D"/>
    <w:rsid w:val="00D17387"/>
    <w:rsid w:val="00D174D6"/>
    <w:rsid w:val="00D1765B"/>
    <w:rsid w:val="00D177C4"/>
    <w:rsid w:val="00D17C09"/>
    <w:rsid w:val="00D17D76"/>
    <w:rsid w:val="00D17DED"/>
    <w:rsid w:val="00D17FAE"/>
    <w:rsid w:val="00D201CA"/>
    <w:rsid w:val="00D205AC"/>
    <w:rsid w:val="00D207B6"/>
    <w:rsid w:val="00D20CBC"/>
    <w:rsid w:val="00D20E9C"/>
    <w:rsid w:val="00D20FB2"/>
    <w:rsid w:val="00D2124D"/>
    <w:rsid w:val="00D21742"/>
    <w:rsid w:val="00D21F1D"/>
    <w:rsid w:val="00D2205C"/>
    <w:rsid w:val="00D22422"/>
    <w:rsid w:val="00D224E8"/>
    <w:rsid w:val="00D229F2"/>
    <w:rsid w:val="00D22B3C"/>
    <w:rsid w:val="00D23272"/>
    <w:rsid w:val="00D2331F"/>
    <w:rsid w:val="00D234E4"/>
    <w:rsid w:val="00D238A3"/>
    <w:rsid w:val="00D238B7"/>
    <w:rsid w:val="00D239E1"/>
    <w:rsid w:val="00D23D30"/>
    <w:rsid w:val="00D23E35"/>
    <w:rsid w:val="00D240CA"/>
    <w:rsid w:val="00D2422D"/>
    <w:rsid w:val="00D2448E"/>
    <w:rsid w:val="00D2453B"/>
    <w:rsid w:val="00D24667"/>
    <w:rsid w:val="00D2479F"/>
    <w:rsid w:val="00D247D6"/>
    <w:rsid w:val="00D248C0"/>
    <w:rsid w:val="00D24FDD"/>
    <w:rsid w:val="00D251E1"/>
    <w:rsid w:val="00D25AA8"/>
    <w:rsid w:val="00D25DBE"/>
    <w:rsid w:val="00D26146"/>
    <w:rsid w:val="00D262AA"/>
    <w:rsid w:val="00D26302"/>
    <w:rsid w:val="00D266DC"/>
    <w:rsid w:val="00D26DCE"/>
    <w:rsid w:val="00D27155"/>
    <w:rsid w:val="00D2726E"/>
    <w:rsid w:val="00D27313"/>
    <w:rsid w:val="00D27326"/>
    <w:rsid w:val="00D27582"/>
    <w:rsid w:val="00D27DC5"/>
    <w:rsid w:val="00D3044F"/>
    <w:rsid w:val="00D3073E"/>
    <w:rsid w:val="00D30FAD"/>
    <w:rsid w:val="00D30FC3"/>
    <w:rsid w:val="00D31010"/>
    <w:rsid w:val="00D31284"/>
    <w:rsid w:val="00D31326"/>
    <w:rsid w:val="00D313EC"/>
    <w:rsid w:val="00D31594"/>
    <w:rsid w:val="00D315C5"/>
    <w:rsid w:val="00D31B90"/>
    <w:rsid w:val="00D31BFD"/>
    <w:rsid w:val="00D31C7C"/>
    <w:rsid w:val="00D3218D"/>
    <w:rsid w:val="00D32198"/>
    <w:rsid w:val="00D323CA"/>
    <w:rsid w:val="00D32780"/>
    <w:rsid w:val="00D32864"/>
    <w:rsid w:val="00D3295D"/>
    <w:rsid w:val="00D32AD1"/>
    <w:rsid w:val="00D32C03"/>
    <w:rsid w:val="00D32C56"/>
    <w:rsid w:val="00D330C0"/>
    <w:rsid w:val="00D336EE"/>
    <w:rsid w:val="00D33A30"/>
    <w:rsid w:val="00D35191"/>
    <w:rsid w:val="00D351D4"/>
    <w:rsid w:val="00D352E8"/>
    <w:rsid w:val="00D3566A"/>
    <w:rsid w:val="00D35986"/>
    <w:rsid w:val="00D35AB1"/>
    <w:rsid w:val="00D35EB1"/>
    <w:rsid w:val="00D35F30"/>
    <w:rsid w:val="00D35FE8"/>
    <w:rsid w:val="00D36354"/>
    <w:rsid w:val="00D36670"/>
    <w:rsid w:val="00D36676"/>
    <w:rsid w:val="00D3671D"/>
    <w:rsid w:val="00D36A13"/>
    <w:rsid w:val="00D36A2A"/>
    <w:rsid w:val="00D36B30"/>
    <w:rsid w:val="00D36B81"/>
    <w:rsid w:val="00D36C1F"/>
    <w:rsid w:val="00D4068B"/>
    <w:rsid w:val="00D41032"/>
    <w:rsid w:val="00D411C1"/>
    <w:rsid w:val="00D416CA"/>
    <w:rsid w:val="00D42194"/>
    <w:rsid w:val="00D42269"/>
    <w:rsid w:val="00D42654"/>
    <w:rsid w:val="00D426D9"/>
    <w:rsid w:val="00D4274B"/>
    <w:rsid w:val="00D42934"/>
    <w:rsid w:val="00D42D3F"/>
    <w:rsid w:val="00D42F62"/>
    <w:rsid w:val="00D42F69"/>
    <w:rsid w:val="00D43285"/>
    <w:rsid w:val="00D435DD"/>
    <w:rsid w:val="00D437DE"/>
    <w:rsid w:val="00D437F1"/>
    <w:rsid w:val="00D43838"/>
    <w:rsid w:val="00D43986"/>
    <w:rsid w:val="00D43A68"/>
    <w:rsid w:val="00D43BD8"/>
    <w:rsid w:val="00D43C2B"/>
    <w:rsid w:val="00D43C79"/>
    <w:rsid w:val="00D43E90"/>
    <w:rsid w:val="00D44091"/>
    <w:rsid w:val="00D4438B"/>
    <w:rsid w:val="00D44462"/>
    <w:rsid w:val="00D447AE"/>
    <w:rsid w:val="00D44E28"/>
    <w:rsid w:val="00D44F14"/>
    <w:rsid w:val="00D44FB6"/>
    <w:rsid w:val="00D44FEF"/>
    <w:rsid w:val="00D44FF6"/>
    <w:rsid w:val="00D45252"/>
    <w:rsid w:val="00D45439"/>
    <w:rsid w:val="00D45455"/>
    <w:rsid w:val="00D454AA"/>
    <w:rsid w:val="00D45A1A"/>
    <w:rsid w:val="00D45A59"/>
    <w:rsid w:val="00D45B06"/>
    <w:rsid w:val="00D45B08"/>
    <w:rsid w:val="00D45C50"/>
    <w:rsid w:val="00D45C72"/>
    <w:rsid w:val="00D45C95"/>
    <w:rsid w:val="00D45D0D"/>
    <w:rsid w:val="00D45EC6"/>
    <w:rsid w:val="00D46665"/>
    <w:rsid w:val="00D46684"/>
    <w:rsid w:val="00D4674B"/>
    <w:rsid w:val="00D468C3"/>
    <w:rsid w:val="00D46B46"/>
    <w:rsid w:val="00D46D17"/>
    <w:rsid w:val="00D46E5D"/>
    <w:rsid w:val="00D46E5F"/>
    <w:rsid w:val="00D47387"/>
    <w:rsid w:val="00D477E0"/>
    <w:rsid w:val="00D478CB"/>
    <w:rsid w:val="00D47948"/>
    <w:rsid w:val="00D4795F"/>
    <w:rsid w:val="00D47A54"/>
    <w:rsid w:val="00D47ACE"/>
    <w:rsid w:val="00D47ADC"/>
    <w:rsid w:val="00D47D01"/>
    <w:rsid w:val="00D47D87"/>
    <w:rsid w:val="00D502DF"/>
    <w:rsid w:val="00D507E6"/>
    <w:rsid w:val="00D50882"/>
    <w:rsid w:val="00D50AC2"/>
    <w:rsid w:val="00D50BE7"/>
    <w:rsid w:val="00D510A0"/>
    <w:rsid w:val="00D51101"/>
    <w:rsid w:val="00D51526"/>
    <w:rsid w:val="00D517F2"/>
    <w:rsid w:val="00D519F5"/>
    <w:rsid w:val="00D51A08"/>
    <w:rsid w:val="00D51AD8"/>
    <w:rsid w:val="00D52044"/>
    <w:rsid w:val="00D52255"/>
    <w:rsid w:val="00D52346"/>
    <w:rsid w:val="00D52506"/>
    <w:rsid w:val="00D527F5"/>
    <w:rsid w:val="00D52870"/>
    <w:rsid w:val="00D529AF"/>
    <w:rsid w:val="00D529FA"/>
    <w:rsid w:val="00D52C9E"/>
    <w:rsid w:val="00D52F31"/>
    <w:rsid w:val="00D53561"/>
    <w:rsid w:val="00D53702"/>
    <w:rsid w:val="00D5402C"/>
    <w:rsid w:val="00D54158"/>
    <w:rsid w:val="00D541C8"/>
    <w:rsid w:val="00D54ADF"/>
    <w:rsid w:val="00D54D25"/>
    <w:rsid w:val="00D54E65"/>
    <w:rsid w:val="00D550E4"/>
    <w:rsid w:val="00D55871"/>
    <w:rsid w:val="00D558DD"/>
    <w:rsid w:val="00D55A74"/>
    <w:rsid w:val="00D55B1D"/>
    <w:rsid w:val="00D55EA9"/>
    <w:rsid w:val="00D56091"/>
    <w:rsid w:val="00D5617A"/>
    <w:rsid w:val="00D561E3"/>
    <w:rsid w:val="00D56255"/>
    <w:rsid w:val="00D562F0"/>
    <w:rsid w:val="00D56D37"/>
    <w:rsid w:val="00D56FB8"/>
    <w:rsid w:val="00D57058"/>
    <w:rsid w:val="00D57211"/>
    <w:rsid w:val="00D572C8"/>
    <w:rsid w:val="00D57474"/>
    <w:rsid w:val="00D57515"/>
    <w:rsid w:val="00D57A90"/>
    <w:rsid w:val="00D57BE0"/>
    <w:rsid w:val="00D57FBC"/>
    <w:rsid w:val="00D60103"/>
    <w:rsid w:val="00D6031D"/>
    <w:rsid w:val="00D6053A"/>
    <w:rsid w:val="00D60731"/>
    <w:rsid w:val="00D607AF"/>
    <w:rsid w:val="00D60A08"/>
    <w:rsid w:val="00D60AC8"/>
    <w:rsid w:val="00D60CED"/>
    <w:rsid w:val="00D60DBE"/>
    <w:rsid w:val="00D60DF8"/>
    <w:rsid w:val="00D61185"/>
    <w:rsid w:val="00D617C5"/>
    <w:rsid w:val="00D61801"/>
    <w:rsid w:val="00D61ADB"/>
    <w:rsid w:val="00D61B9A"/>
    <w:rsid w:val="00D61FA3"/>
    <w:rsid w:val="00D621EC"/>
    <w:rsid w:val="00D6222F"/>
    <w:rsid w:val="00D623FD"/>
    <w:rsid w:val="00D62F49"/>
    <w:rsid w:val="00D63218"/>
    <w:rsid w:val="00D632FF"/>
    <w:rsid w:val="00D63D38"/>
    <w:rsid w:val="00D64417"/>
    <w:rsid w:val="00D645B4"/>
    <w:rsid w:val="00D646E5"/>
    <w:rsid w:val="00D648DF"/>
    <w:rsid w:val="00D64B15"/>
    <w:rsid w:val="00D64EA9"/>
    <w:rsid w:val="00D651C1"/>
    <w:rsid w:val="00D6557F"/>
    <w:rsid w:val="00D65B5A"/>
    <w:rsid w:val="00D65CCA"/>
    <w:rsid w:val="00D65D3F"/>
    <w:rsid w:val="00D65F25"/>
    <w:rsid w:val="00D65F77"/>
    <w:rsid w:val="00D662AC"/>
    <w:rsid w:val="00D66596"/>
    <w:rsid w:val="00D6692D"/>
    <w:rsid w:val="00D6695E"/>
    <w:rsid w:val="00D66F04"/>
    <w:rsid w:val="00D67123"/>
    <w:rsid w:val="00D6717A"/>
    <w:rsid w:val="00D673D0"/>
    <w:rsid w:val="00D677CA"/>
    <w:rsid w:val="00D6785E"/>
    <w:rsid w:val="00D67A8C"/>
    <w:rsid w:val="00D7003B"/>
    <w:rsid w:val="00D708EA"/>
    <w:rsid w:val="00D7096A"/>
    <w:rsid w:val="00D70D6B"/>
    <w:rsid w:val="00D70FD0"/>
    <w:rsid w:val="00D7106D"/>
    <w:rsid w:val="00D7148C"/>
    <w:rsid w:val="00D71905"/>
    <w:rsid w:val="00D71AC1"/>
    <w:rsid w:val="00D71CCF"/>
    <w:rsid w:val="00D72303"/>
    <w:rsid w:val="00D724F9"/>
    <w:rsid w:val="00D7254C"/>
    <w:rsid w:val="00D72701"/>
    <w:rsid w:val="00D7290D"/>
    <w:rsid w:val="00D72BDA"/>
    <w:rsid w:val="00D73016"/>
    <w:rsid w:val="00D730DD"/>
    <w:rsid w:val="00D731E1"/>
    <w:rsid w:val="00D73214"/>
    <w:rsid w:val="00D73263"/>
    <w:rsid w:val="00D732D6"/>
    <w:rsid w:val="00D733A5"/>
    <w:rsid w:val="00D73794"/>
    <w:rsid w:val="00D739E4"/>
    <w:rsid w:val="00D7421A"/>
    <w:rsid w:val="00D74503"/>
    <w:rsid w:val="00D74668"/>
    <w:rsid w:val="00D74796"/>
    <w:rsid w:val="00D74F1E"/>
    <w:rsid w:val="00D75077"/>
    <w:rsid w:val="00D7528E"/>
    <w:rsid w:val="00D75546"/>
    <w:rsid w:val="00D755B5"/>
    <w:rsid w:val="00D75B19"/>
    <w:rsid w:val="00D75CA7"/>
    <w:rsid w:val="00D75CD3"/>
    <w:rsid w:val="00D75D6F"/>
    <w:rsid w:val="00D75EE0"/>
    <w:rsid w:val="00D75EF0"/>
    <w:rsid w:val="00D760D7"/>
    <w:rsid w:val="00D76171"/>
    <w:rsid w:val="00D7627B"/>
    <w:rsid w:val="00D762B1"/>
    <w:rsid w:val="00D763CD"/>
    <w:rsid w:val="00D765A3"/>
    <w:rsid w:val="00D76D3F"/>
    <w:rsid w:val="00D77179"/>
    <w:rsid w:val="00D77653"/>
    <w:rsid w:val="00D77A8B"/>
    <w:rsid w:val="00D77B1F"/>
    <w:rsid w:val="00D77DC0"/>
    <w:rsid w:val="00D77E93"/>
    <w:rsid w:val="00D801E2"/>
    <w:rsid w:val="00D80307"/>
    <w:rsid w:val="00D8087E"/>
    <w:rsid w:val="00D80B3C"/>
    <w:rsid w:val="00D80BD9"/>
    <w:rsid w:val="00D80E52"/>
    <w:rsid w:val="00D80F0B"/>
    <w:rsid w:val="00D817D9"/>
    <w:rsid w:val="00D81966"/>
    <w:rsid w:val="00D81BCC"/>
    <w:rsid w:val="00D8205B"/>
    <w:rsid w:val="00D821F5"/>
    <w:rsid w:val="00D822F3"/>
    <w:rsid w:val="00D8238B"/>
    <w:rsid w:val="00D826A0"/>
    <w:rsid w:val="00D82735"/>
    <w:rsid w:val="00D827DF"/>
    <w:rsid w:val="00D831FB"/>
    <w:rsid w:val="00D8343B"/>
    <w:rsid w:val="00D83463"/>
    <w:rsid w:val="00D83771"/>
    <w:rsid w:val="00D837E5"/>
    <w:rsid w:val="00D84299"/>
    <w:rsid w:val="00D84383"/>
    <w:rsid w:val="00D846F3"/>
    <w:rsid w:val="00D84B79"/>
    <w:rsid w:val="00D84EA8"/>
    <w:rsid w:val="00D84ED0"/>
    <w:rsid w:val="00D84F62"/>
    <w:rsid w:val="00D84F9D"/>
    <w:rsid w:val="00D850EB"/>
    <w:rsid w:val="00D85165"/>
    <w:rsid w:val="00D85728"/>
    <w:rsid w:val="00D85A65"/>
    <w:rsid w:val="00D85FDD"/>
    <w:rsid w:val="00D861D7"/>
    <w:rsid w:val="00D8644F"/>
    <w:rsid w:val="00D865EF"/>
    <w:rsid w:val="00D86960"/>
    <w:rsid w:val="00D86984"/>
    <w:rsid w:val="00D86AB0"/>
    <w:rsid w:val="00D86C89"/>
    <w:rsid w:val="00D86F5F"/>
    <w:rsid w:val="00D87286"/>
    <w:rsid w:val="00D873F1"/>
    <w:rsid w:val="00D874E7"/>
    <w:rsid w:val="00D87565"/>
    <w:rsid w:val="00D876DC"/>
    <w:rsid w:val="00D8777E"/>
    <w:rsid w:val="00D87B12"/>
    <w:rsid w:val="00D87D9C"/>
    <w:rsid w:val="00D87F11"/>
    <w:rsid w:val="00D900EE"/>
    <w:rsid w:val="00D907EA"/>
    <w:rsid w:val="00D908DE"/>
    <w:rsid w:val="00D90995"/>
    <w:rsid w:val="00D90A65"/>
    <w:rsid w:val="00D9101A"/>
    <w:rsid w:val="00D91112"/>
    <w:rsid w:val="00D9122C"/>
    <w:rsid w:val="00D9125F"/>
    <w:rsid w:val="00D912F1"/>
    <w:rsid w:val="00D915CC"/>
    <w:rsid w:val="00D91AA1"/>
    <w:rsid w:val="00D91C19"/>
    <w:rsid w:val="00D91DAC"/>
    <w:rsid w:val="00D91E63"/>
    <w:rsid w:val="00D91F6D"/>
    <w:rsid w:val="00D92214"/>
    <w:rsid w:val="00D92336"/>
    <w:rsid w:val="00D92820"/>
    <w:rsid w:val="00D92927"/>
    <w:rsid w:val="00D92B82"/>
    <w:rsid w:val="00D93009"/>
    <w:rsid w:val="00D930F6"/>
    <w:rsid w:val="00D9316D"/>
    <w:rsid w:val="00D93211"/>
    <w:rsid w:val="00D941C5"/>
    <w:rsid w:val="00D9476E"/>
    <w:rsid w:val="00D94A1B"/>
    <w:rsid w:val="00D94AAC"/>
    <w:rsid w:val="00D95A05"/>
    <w:rsid w:val="00D95C84"/>
    <w:rsid w:val="00D95F31"/>
    <w:rsid w:val="00D962CF"/>
    <w:rsid w:val="00D968CA"/>
    <w:rsid w:val="00D96939"/>
    <w:rsid w:val="00D96EA9"/>
    <w:rsid w:val="00D96EC6"/>
    <w:rsid w:val="00D97359"/>
    <w:rsid w:val="00D975E8"/>
    <w:rsid w:val="00D97935"/>
    <w:rsid w:val="00D97EEB"/>
    <w:rsid w:val="00DA000A"/>
    <w:rsid w:val="00DA01CA"/>
    <w:rsid w:val="00DA0264"/>
    <w:rsid w:val="00DA0628"/>
    <w:rsid w:val="00DA07AB"/>
    <w:rsid w:val="00DA0B00"/>
    <w:rsid w:val="00DA0B4F"/>
    <w:rsid w:val="00DA1081"/>
    <w:rsid w:val="00DA16C6"/>
    <w:rsid w:val="00DA194A"/>
    <w:rsid w:val="00DA1F31"/>
    <w:rsid w:val="00DA1FA9"/>
    <w:rsid w:val="00DA229B"/>
    <w:rsid w:val="00DA23A0"/>
    <w:rsid w:val="00DA244C"/>
    <w:rsid w:val="00DA2779"/>
    <w:rsid w:val="00DA2967"/>
    <w:rsid w:val="00DA2AB2"/>
    <w:rsid w:val="00DA2BEE"/>
    <w:rsid w:val="00DA2CCF"/>
    <w:rsid w:val="00DA302C"/>
    <w:rsid w:val="00DA315A"/>
    <w:rsid w:val="00DA33A6"/>
    <w:rsid w:val="00DA34DE"/>
    <w:rsid w:val="00DA3793"/>
    <w:rsid w:val="00DA3797"/>
    <w:rsid w:val="00DA39D6"/>
    <w:rsid w:val="00DA3A1F"/>
    <w:rsid w:val="00DA3D45"/>
    <w:rsid w:val="00DA40B2"/>
    <w:rsid w:val="00DA4236"/>
    <w:rsid w:val="00DA4698"/>
    <w:rsid w:val="00DA4BDE"/>
    <w:rsid w:val="00DA4C19"/>
    <w:rsid w:val="00DA4CCD"/>
    <w:rsid w:val="00DA4D19"/>
    <w:rsid w:val="00DA55B0"/>
    <w:rsid w:val="00DA56B3"/>
    <w:rsid w:val="00DA5F8D"/>
    <w:rsid w:val="00DA613F"/>
    <w:rsid w:val="00DA631D"/>
    <w:rsid w:val="00DA6510"/>
    <w:rsid w:val="00DA67C0"/>
    <w:rsid w:val="00DA6C06"/>
    <w:rsid w:val="00DA749F"/>
    <w:rsid w:val="00DA758C"/>
    <w:rsid w:val="00DA783F"/>
    <w:rsid w:val="00DA784B"/>
    <w:rsid w:val="00DA7A25"/>
    <w:rsid w:val="00DA7AC3"/>
    <w:rsid w:val="00DA7B48"/>
    <w:rsid w:val="00DA7C82"/>
    <w:rsid w:val="00DB00E3"/>
    <w:rsid w:val="00DB047D"/>
    <w:rsid w:val="00DB0D05"/>
    <w:rsid w:val="00DB11DB"/>
    <w:rsid w:val="00DB1516"/>
    <w:rsid w:val="00DB1747"/>
    <w:rsid w:val="00DB1B6A"/>
    <w:rsid w:val="00DB1DC7"/>
    <w:rsid w:val="00DB23DA"/>
    <w:rsid w:val="00DB3A3B"/>
    <w:rsid w:val="00DB41EB"/>
    <w:rsid w:val="00DB4761"/>
    <w:rsid w:val="00DB4DF1"/>
    <w:rsid w:val="00DB50B9"/>
    <w:rsid w:val="00DB50D5"/>
    <w:rsid w:val="00DB53F7"/>
    <w:rsid w:val="00DB5BEA"/>
    <w:rsid w:val="00DB6094"/>
    <w:rsid w:val="00DB619C"/>
    <w:rsid w:val="00DB61A1"/>
    <w:rsid w:val="00DB6368"/>
    <w:rsid w:val="00DB6400"/>
    <w:rsid w:val="00DB6609"/>
    <w:rsid w:val="00DB68D3"/>
    <w:rsid w:val="00DB6CDE"/>
    <w:rsid w:val="00DB726E"/>
    <w:rsid w:val="00DB75F5"/>
    <w:rsid w:val="00DB7C22"/>
    <w:rsid w:val="00DC0118"/>
    <w:rsid w:val="00DC016C"/>
    <w:rsid w:val="00DC01E4"/>
    <w:rsid w:val="00DC023E"/>
    <w:rsid w:val="00DC02F2"/>
    <w:rsid w:val="00DC045D"/>
    <w:rsid w:val="00DC0626"/>
    <w:rsid w:val="00DC065D"/>
    <w:rsid w:val="00DC07A1"/>
    <w:rsid w:val="00DC0CAB"/>
    <w:rsid w:val="00DC0FC0"/>
    <w:rsid w:val="00DC101B"/>
    <w:rsid w:val="00DC1701"/>
    <w:rsid w:val="00DC1E94"/>
    <w:rsid w:val="00DC20B5"/>
    <w:rsid w:val="00DC2233"/>
    <w:rsid w:val="00DC2398"/>
    <w:rsid w:val="00DC2658"/>
    <w:rsid w:val="00DC2D5D"/>
    <w:rsid w:val="00DC2E8C"/>
    <w:rsid w:val="00DC30CB"/>
    <w:rsid w:val="00DC3212"/>
    <w:rsid w:val="00DC3273"/>
    <w:rsid w:val="00DC3446"/>
    <w:rsid w:val="00DC3591"/>
    <w:rsid w:val="00DC3B8D"/>
    <w:rsid w:val="00DC3C4B"/>
    <w:rsid w:val="00DC3D92"/>
    <w:rsid w:val="00DC41B7"/>
    <w:rsid w:val="00DC41EB"/>
    <w:rsid w:val="00DC429E"/>
    <w:rsid w:val="00DC42C7"/>
    <w:rsid w:val="00DC42C9"/>
    <w:rsid w:val="00DC4EB8"/>
    <w:rsid w:val="00DC4FDB"/>
    <w:rsid w:val="00DC5810"/>
    <w:rsid w:val="00DC5932"/>
    <w:rsid w:val="00DC5A9F"/>
    <w:rsid w:val="00DC5DC4"/>
    <w:rsid w:val="00DC5F2F"/>
    <w:rsid w:val="00DC667E"/>
    <w:rsid w:val="00DC66A9"/>
    <w:rsid w:val="00DC694C"/>
    <w:rsid w:val="00DC710D"/>
    <w:rsid w:val="00DC7556"/>
    <w:rsid w:val="00DC76A0"/>
    <w:rsid w:val="00DC76B9"/>
    <w:rsid w:val="00DC7898"/>
    <w:rsid w:val="00DC7DB1"/>
    <w:rsid w:val="00DD0386"/>
    <w:rsid w:val="00DD0C21"/>
    <w:rsid w:val="00DD0D9A"/>
    <w:rsid w:val="00DD0E00"/>
    <w:rsid w:val="00DD1184"/>
    <w:rsid w:val="00DD15CE"/>
    <w:rsid w:val="00DD1CE0"/>
    <w:rsid w:val="00DD1DCC"/>
    <w:rsid w:val="00DD223D"/>
    <w:rsid w:val="00DD2676"/>
    <w:rsid w:val="00DD2993"/>
    <w:rsid w:val="00DD2BE2"/>
    <w:rsid w:val="00DD2D25"/>
    <w:rsid w:val="00DD323D"/>
    <w:rsid w:val="00DD38A2"/>
    <w:rsid w:val="00DD3B42"/>
    <w:rsid w:val="00DD3D52"/>
    <w:rsid w:val="00DD45FC"/>
    <w:rsid w:val="00DD4702"/>
    <w:rsid w:val="00DD4A46"/>
    <w:rsid w:val="00DD4C18"/>
    <w:rsid w:val="00DD4D89"/>
    <w:rsid w:val="00DD5471"/>
    <w:rsid w:val="00DD5771"/>
    <w:rsid w:val="00DD59C7"/>
    <w:rsid w:val="00DD60FE"/>
    <w:rsid w:val="00DD6554"/>
    <w:rsid w:val="00DD6563"/>
    <w:rsid w:val="00DD6A15"/>
    <w:rsid w:val="00DD6BF4"/>
    <w:rsid w:val="00DD6ED2"/>
    <w:rsid w:val="00DD726C"/>
    <w:rsid w:val="00DD7290"/>
    <w:rsid w:val="00DD7637"/>
    <w:rsid w:val="00DD7700"/>
    <w:rsid w:val="00DD785F"/>
    <w:rsid w:val="00DD7877"/>
    <w:rsid w:val="00DD7B42"/>
    <w:rsid w:val="00DD7B70"/>
    <w:rsid w:val="00DD7D68"/>
    <w:rsid w:val="00DE0147"/>
    <w:rsid w:val="00DE027E"/>
    <w:rsid w:val="00DE03DC"/>
    <w:rsid w:val="00DE0635"/>
    <w:rsid w:val="00DE0740"/>
    <w:rsid w:val="00DE0A08"/>
    <w:rsid w:val="00DE0F5A"/>
    <w:rsid w:val="00DE177C"/>
    <w:rsid w:val="00DE1C5A"/>
    <w:rsid w:val="00DE1CF6"/>
    <w:rsid w:val="00DE1E71"/>
    <w:rsid w:val="00DE234A"/>
    <w:rsid w:val="00DE24C2"/>
    <w:rsid w:val="00DE28DD"/>
    <w:rsid w:val="00DE2B5E"/>
    <w:rsid w:val="00DE2B92"/>
    <w:rsid w:val="00DE2BB2"/>
    <w:rsid w:val="00DE311C"/>
    <w:rsid w:val="00DE3373"/>
    <w:rsid w:val="00DE3418"/>
    <w:rsid w:val="00DE3580"/>
    <w:rsid w:val="00DE38D2"/>
    <w:rsid w:val="00DE38E6"/>
    <w:rsid w:val="00DE3A4A"/>
    <w:rsid w:val="00DE3C04"/>
    <w:rsid w:val="00DE3C80"/>
    <w:rsid w:val="00DE4229"/>
    <w:rsid w:val="00DE45CF"/>
    <w:rsid w:val="00DE491A"/>
    <w:rsid w:val="00DE4BEF"/>
    <w:rsid w:val="00DE4E32"/>
    <w:rsid w:val="00DE4F32"/>
    <w:rsid w:val="00DE50E7"/>
    <w:rsid w:val="00DE5AE3"/>
    <w:rsid w:val="00DE6394"/>
    <w:rsid w:val="00DE65B0"/>
    <w:rsid w:val="00DE65E1"/>
    <w:rsid w:val="00DE6797"/>
    <w:rsid w:val="00DE6821"/>
    <w:rsid w:val="00DE685B"/>
    <w:rsid w:val="00DE6AAF"/>
    <w:rsid w:val="00DE6D7C"/>
    <w:rsid w:val="00DE6DBD"/>
    <w:rsid w:val="00DE7005"/>
    <w:rsid w:val="00DE709C"/>
    <w:rsid w:val="00DE739E"/>
    <w:rsid w:val="00DE761B"/>
    <w:rsid w:val="00DE76E6"/>
    <w:rsid w:val="00DE7C18"/>
    <w:rsid w:val="00DE7D7C"/>
    <w:rsid w:val="00DE7E5C"/>
    <w:rsid w:val="00DE7F9D"/>
    <w:rsid w:val="00DF00E6"/>
    <w:rsid w:val="00DF021D"/>
    <w:rsid w:val="00DF05DB"/>
    <w:rsid w:val="00DF071C"/>
    <w:rsid w:val="00DF0768"/>
    <w:rsid w:val="00DF082C"/>
    <w:rsid w:val="00DF0860"/>
    <w:rsid w:val="00DF0890"/>
    <w:rsid w:val="00DF0898"/>
    <w:rsid w:val="00DF096C"/>
    <w:rsid w:val="00DF0981"/>
    <w:rsid w:val="00DF0DE8"/>
    <w:rsid w:val="00DF0EBD"/>
    <w:rsid w:val="00DF12AF"/>
    <w:rsid w:val="00DF13F7"/>
    <w:rsid w:val="00DF1677"/>
    <w:rsid w:val="00DF1B67"/>
    <w:rsid w:val="00DF1BCB"/>
    <w:rsid w:val="00DF1C69"/>
    <w:rsid w:val="00DF21D4"/>
    <w:rsid w:val="00DF22DC"/>
    <w:rsid w:val="00DF2724"/>
    <w:rsid w:val="00DF28E9"/>
    <w:rsid w:val="00DF2D09"/>
    <w:rsid w:val="00DF2E29"/>
    <w:rsid w:val="00DF3276"/>
    <w:rsid w:val="00DF3601"/>
    <w:rsid w:val="00DF3724"/>
    <w:rsid w:val="00DF3AFE"/>
    <w:rsid w:val="00DF3BDA"/>
    <w:rsid w:val="00DF3C01"/>
    <w:rsid w:val="00DF3D01"/>
    <w:rsid w:val="00DF3F38"/>
    <w:rsid w:val="00DF453B"/>
    <w:rsid w:val="00DF4696"/>
    <w:rsid w:val="00DF4924"/>
    <w:rsid w:val="00DF4A0B"/>
    <w:rsid w:val="00DF4F65"/>
    <w:rsid w:val="00DF4F6B"/>
    <w:rsid w:val="00DF4FC5"/>
    <w:rsid w:val="00DF567F"/>
    <w:rsid w:val="00DF5955"/>
    <w:rsid w:val="00DF5ADA"/>
    <w:rsid w:val="00DF5C33"/>
    <w:rsid w:val="00DF5C93"/>
    <w:rsid w:val="00DF5E5C"/>
    <w:rsid w:val="00DF5EB6"/>
    <w:rsid w:val="00DF5F27"/>
    <w:rsid w:val="00DF6091"/>
    <w:rsid w:val="00DF621B"/>
    <w:rsid w:val="00DF646D"/>
    <w:rsid w:val="00DF657C"/>
    <w:rsid w:val="00DF69FB"/>
    <w:rsid w:val="00DF734C"/>
    <w:rsid w:val="00DF7352"/>
    <w:rsid w:val="00DF77C9"/>
    <w:rsid w:val="00DF78F8"/>
    <w:rsid w:val="00DF79E7"/>
    <w:rsid w:val="00DF7E4B"/>
    <w:rsid w:val="00E0006C"/>
    <w:rsid w:val="00E0044F"/>
    <w:rsid w:val="00E004F1"/>
    <w:rsid w:val="00E006DD"/>
    <w:rsid w:val="00E007FC"/>
    <w:rsid w:val="00E00AC6"/>
    <w:rsid w:val="00E00C81"/>
    <w:rsid w:val="00E00F86"/>
    <w:rsid w:val="00E01684"/>
    <w:rsid w:val="00E018FB"/>
    <w:rsid w:val="00E019FF"/>
    <w:rsid w:val="00E02D33"/>
    <w:rsid w:val="00E030B9"/>
    <w:rsid w:val="00E03310"/>
    <w:rsid w:val="00E03440"/>
    <w:rsid w:val="00E0344B"/>
    <w:rsid w:val="00E03C5D"/>
    <w:rsid w:val="00E03C9F"/>
    <w:rsid w:val="00E03E22"/>
    <w:rsid w:val="00E03FDF"/>
    <w:rsid w:val="00E0405A"/>
    <w:rsid w:val="00E04660"/>
    <w:rsid w:val="00E048EA"/>
    <w:rsid w:val="00E04B8A"/>
    <w:rsid w:val="00E04E29"/>
    <w:rsid w:val="00E0502D"/>
    <w:rsid w:val="00E05207"/>
    <w:rsid w:val="00E0595D"/>
    <w:rsid w:val="00E05BF3"/>
    <w:rsid w:val="00E05CE5"/>
    <w:rsid w:val="00E05D48"/>
    <w:rsid w:val="00E05E5D"/>
    <w:rsid w:val="00E06B8A"/>
    <w:rsid w:val="00E06C3A"/>
    <w:rsid w:val="00E06CD8"/>
    <w:rsid w:val="00E06E09"/>
    <w:rsid w:val="00E06EC8"/>
    <w:rsid w:val="00E06EDD"/>
    <w:rsid w:val="00E07187"/>
    <w:rsid w:val="00E071F0"/>
    <w:rsid w:val="00E0726D"/>
    <w:rsid w:val="00E07488"/>
    <w:rsid w:val="00E07582"/>
    <w:rsid w:val="00E077FC"/>
    <w:rsid w:val="00E07927"/>
    <w:rsid w:val="00E07B6F"/>
    <w:rsid w:val="00E07CA8"/>
    <w:rsid w:val="00E07FE2"/>
    <w:rsid w:val="00E10010"/>
    <w:rsid w:val="00E1016F"/>
    <w:rsid w:val="00E109B2"/>
    <w:rsid w:val="00E10AB5"/>
    <w:rsid w:val="00E10D08"/>
    <w:rsid w:val="00E10D4E"/>
    <w:rsid w:val="00E10EC6"/>
    <w:rsid w:val="00E11276"/>
    <w:rsid w:val="00E11395"/>
    <w:rsid w:val="00E113AA"/>
    <w:rsid w:val="00E11416"/>
    <w:rsid w:val="00E1149F"/>
    <w:rsid w:val="00E117FC"/>
    <w:rsid w:val="00E121CB"/>
    <w:rsid w:val="00E122C1"/>
    <w:rsid w:val="00E127DB"/>
    <w:rsid w:val="00E12AC5"/>
    <w:rsid w:val="00E12C79"/>
    <w:rsid w:val="00E12CD0"/>
    <w:rsid w:val="00E131D1"/>
    <w:rsid w:val="00E13735"/>
    <w:rsid w:val="00E13829"/>
    <w:rsid w:val="00E138A4"/>
    <w:rsid w:val="00E13929"/>
    <w:rsid w:val="00E1394F"/>
    <w:rsid w:val="00E139EB"/>
    <w:rsid w:val="00E13AD6"/>
    <w:rsid w:val="00E13E04"/>
    <w:rsid w:val="00E141D3"/>
    <w:rsid w:val="00E14332"/>
    <w:rsid w:val="00E1439C"/>
    <w:rsid w:val="00E143C1"/>
    <w:rsid w:val="00E14DC7"/>
    <w:rsid w:val="00E15355"/>
    <w:rsid w:val="00E15757"/>
    <w:rsid w:val="00E15CAC"/>
    <w:rsid w:val="00E15DE8"/>
    <w:rsid w:val="00E161C4"/>
    <w:rsid w:val="00E16B0F"/>
    <w:rsid w:val="00E170C1"/>
    <w:rsid w:val="00E17209"/>
    <w:rsid w:val="00E17990"/>
    <w:rsid w:val="00E17A92"/>
    <w:rsid w:val="00E17AA5"/>
    <w:rsid w:val="00E17C56"/>
    <w:rsid w:val="00E17E39"/>
    <w:rsid w:val="00E203BE"/>
    <w:rsid w:val="00E2051E"/>
    <w:rsid w:val="00E20900"/>
    <w:rsid w:val="00E209F7"/>
    <w:rsid w:val="00E20A3F"/>
    <w:rsid w:val="00E20B30"/>
    <w:rsid w:val="00E20B91"/>
    <w:rsid w:val="00E21BB1"/>
    <w:rsid w:val="00E21CA4"/>
    <w:rsid w:val="00E21ED6"/>
    <w:rsid w:val="00E21FB5"/>
    <w:rsid w:val="00E2211C"/>
    <w:rsid w:val="00E2211F"/>
    <w:rsid w:val="00E2267B"/>
    <w:rsid w:val="00E226B1"/>
    <w:rsid w:val="00E22870"/>
    <w:rsid w:val="00E22896"/>
    <w:rsid w:val="00E228AA"/>
    <w:rsid w:val="00E22B87"/>
    <w:rsid w:val="00E22D0C"/>
    <w:rsid w:val="00E22EB3"/>
    <w:rsid w:val="00E23125"/>
    <w:rsid w:val="00E234FB"/>
    <w:rsid w:val="00E235E1"/>
    <w:rsid w:val="00E23760"/>
    <w:rsid w:val="00E23A99"/>
    <w:rsid w:val="00E23AA4"/>
    <w:rsid w:val="00E23EB6"/>
    <w:rsid w:val="00E2437F"/>
    <w:rsid w:val="00E24426"/>
    <w:rsid w:val="00E2464A"/>
    <w:rsid w:val="00E24685"/>
    <w:rsid w:val="00E24704"/>
    <w:rsid w:val="00E2474D"/>
    <w:rsid w:val="00E247A4"/>
    <w:rsid w:val="00E248DC"/>
    <w:rsid w:val="00E24D0C"/>
    <w:rsid w:val="00E24D19"/>
    <w:rsid w:val="00E24FAC"/>
    <w:rsid w:val="00E251F1"/>
    <w:rsid w:val="00E2556F"/>
    <w:rsid w:val="00E2586A"/>
    <w:rsid w:val="00E25B94"/>
    <w:rsid w:val="00E25CEB"/>
    <w:rsid w:val="00E25DE3"/>
    <w:rsid w:val="00E2637C"/>
    <w:rsid w:val="00E26761"/>
    <w:rsid w:val="00E26862"/>
    <w:rsid w:val="00E2687F"/>
    <w:rsid w:val="00E26B5C"/>
    <w:rsid w:val="00E26F6B"/>
    <w:rsid w:val="00E2748F"/>
    <w:rsid w:val="00E277C4"/>
    <w:rsid w:val="00E277D5"/>
    <w:rsid w:val="00E27A83"/>
    <w:rsid w:val="00E27A94"/>
    <w:rsid w:val="00E27DEC"/>
    <w:rsid w:val="00E30352"/>
    <w:rsid w:val="00E30462"/>
    <w:rsid w:val="00E30562"/>
    <w:rsid w:val="00E30650"/>
    <w:rsid w:val="00E30C16"/>
    <w:rsid w:val="00E30FAD"/>
    <w:rsid w:val="00E31389"/>
    <w:rsid w:val="00E31833"/>
    <w:rsid w:val="00E31960"/>
    <w:rsid w:val="00E31B72"/>
    <w:rsid w:val="00E31F55"/>
    <w:rsid w:val="00E320B2"/>
    <w:rsid w:val="00E32C40"/>
    <w:rsid w:val="00E32D14"/>
    <w:rsid w:val="00E3353E"/>
    <w:rsid w:val="00E33556"/>
    <w:rsid w:val="00E342A9"/>
    <w:rsid w:val="00E342AC"/>
    <w:rsid w:val="00E34D94"/>
    <w:rsid w:val="00E34E2C"/>
    <w:rsid w:val="00E34E30"/>
    <w:rsid w:val="00E3547C"/>
    <w:rsid w:val="00E3576C"/>
    <w:rsid w:val="00E35820"/>
    <w:rsid w:val="00E35BCA"/>
    <w:rsid w:val="00E365F5"/>
    <w:rsid w:val="00E36993"/>
    <w:rsid w:val="00E36A83"/>
    <w:rsid w:val="00E36C0D"/>
    <w:rsid w:val="00E36F8B"/>
    <w:rsid w:val="00E3760E"/>
    <w:rsid w:val="00E37705"/>
    <w:rsid w:val="00E37A3C"/>
    <w:rsid w:val="00E37B0B"/>
    <w:rsid w:val="00E37FF5"/>
    <w:rsid w:val="00E40194"/>
    <w:rsid w:val="00E4075C"/>
    <w:rsid w:val="00E40809"/>
    <w:rsid w:val="00E40901"/>
    <w:rsid w:val="00E4099A"/>
    <w:rsid w:val="00E40C46"/>
    <w:rsid w:val="00E40D64"/>
    <w:rsid w:val="00E4138C"/>
    <w:rsid w:val="00E41CB7"/>
    <w:rsid w:val="00E423FB"/>
    <w:rsid w:val="00E426EA"/>
    <w:rsid w:val="00E42748"/>
    <w:rsid w:val="00E43046"/>
    <w:rsid w:val="00E431DB"/>
    <w:rsid w:val="00E4321B"/>
    <w:rsid w:val="00E43396"/>
    <w:rsid w:val="00E4359F"/>
    <w:rsid w:val="00E438A8"/>
    <w:rsid w:val="00E43921"/>
    <w:rsid w:val="00E43BF6"/>
    <w:rsid w:val="00E43E34"/>
    <w:rsid w:val="00E4421E"/>
    <w:rsid w:val="00E44277"/>
    <w:rsid w:val="00E4433B"/>
    <w:rsid w:val="00E4453F"/>
    <w:rsid w:val="00E44740"/>
    <w:rsid w:val="00E449C8"/>
    <w:rsid w:val="00E44C2F"/>
    <w:rsid w:val="00E44CEF"/>
    <w:rsid w:val="00E457B9"/>
    <w:rsid w:val="00E45816"/>
    <w:rsid w:val="00E45C57"/>
    <w:rsid w:val="00E46028"/>
    <w:rsid w:val="00E464FB"/>
    <w:rsid w:val="00E46A08"/>
    <w:rsid w:val="00E46B42"/>
    <w:rsid w:val="00E46E97"/>
    <w:rsid w:val="00E46F43"/>
    <w:rsid w:val="00E46FC0"/>
    <w:rsid w:val="00E473FA"/>
    <w:rsid w:val="00E474B6"/>
    <w:rsid w:val="00E4750F"/>
    <w:rsid w:val="00E4764E"/>
    <w:rsid w:val="00E477EA"/>
    <w:rsid w:val="00E47C5B"/>
    <w:rsid w:val="00E5070F"/>
    <w:rsid w:val="00E50A01"/>
    <w:rsid w:val="00E51349"/>
    <w:rsid w:val="00E51581"/>
    <w:rsid w:val="00E51A52"/>
    <w:rsid w:val="00E51BA4"/>
    <w:rsid w:val="00E51D1B"/>
    <w:rsid w:val="00E52360"/>
    <w:rsid w:val="00E524C3"/>
    <w:rsid w:val="00E527A7"/>
    <w:rsid w:val="00E52A9F"/>
    <w:rsid w:val="00E52F37"/>
    <w:rsid w:val="00E53131"/>
    <w:rsid w:val="00E537BE"/>
    <w:rsid w:val="00E53BA0"/>
    <w:rsid w:val="00E53E6B"/>
    <w:rsid w:val="00E53EFE"/>
    <w:rsid w:val="00E540E1"/>
    <w:rsid w:val="00E541FD"/>
    <w:rsid w:val="00E5426A"/>
    <w:rsid w:val="00E54BDA"/>
    <w:rsid w:val="00E54CBB"/>
    <w:rsid w:val="00E54D54"/>
    <w:rsid w:val="00E54D8D"/>
    <w:rsid w:val="00E54E7C"/>
    <w:rsid w:val="00E551B9"/>
    <w:rsid w:val="00E55701"/>
    <w:rsid w:val="00E55A06"/>
    <w:rsid w:val="00E55AD1"/>
    <w:rsid w:val="00E55BD9"/>
    <w:rsid w:val="00E55D60"/>
    <w:rsid w:val="00E55E3C"/>
    <w:rsid w:val="00E55FA8"/>
    <w:rsid w:val="00E5646C"/>
    <w:rsid w:val="00E5663F"/>
    <w:rsid w:val="00E56C71"/>
    <w:rsid w:val="00E56D61"/>
    <w:rsid w:val="00E56E61"/>
    <w:rsid w:val="00E56F90"/>
    <w:rsid w:val="00E57B6A"/>
    <w:rsid w:val="00E605EF"/>
    <w:rsid w:val="00E606EE"/>
    <w:rsid w:val="00E60FB0"/>
    <w:rsid w:val="00E61026"/>
    <w:rsid w:val="00E61276"/>
    <w:rsid w:val="00E613E0"/>
    <w:rsid w:val="00E61672"/>
    <w:rsid w:val="00E61AEA"/>
    <w:rsid w:val="00E61B87"/>
    <w:rsid w:val="00E61C82"/>
    <w:rsid w:val="00E61DC2"/>
    <w:rsid w:val="00E62368"/>
    <w:rsid w:val="00E62387"/>
    <w:rsid w:val="00E626A4"/>
    <w:rsid w:val="00E62A23"/>
    <w:rsid w:val="00E62AB6"/>
    <w:rsid w:val="00E62BCA"/>
    <w:rsid w:val="00E63038"/>
    <w:rsid w:val="00E63155"/>
    <w:rsid w:val="00E63856"/>
    <w:rsid w:val="00E63DC5"/>
    <w:rsid w:val="00E63EF0"/>
    <w:rsid w:val="00E6404A"/>
    <w:rsid w:val="00E64063"/>
    <w:rsid w:val="00E641B1"/>
    <w:rsid w:val="00E6423E"/>
    <w:rsid w:val="00E6455A"/>
    <w:rsid w:val="00E646A0"/>
    <w:rsid w:val="00E64AF7"/>
    <w:rsid w:val="00E64C3F"/>
    <w:rsid w:val="00E64D7E"/>
    <w:rsid w:val="00E64E0C"/>
    <w:rsid w:val="00E64E15"/>
    <w:rsid w:val="00E64FEA"/>
    <w:rsid w:val="00E65029"/>
    <w:rsid w:val="00E652F1"/>
    <w:rsid w:val="00E6533E"/>
    <w:rsid w:val="00E65517"/>
    <w:rsid w:val="00E6580E"/>
    <w:rsid w:val="00E65985"/>
    <w:rsid w:val="00E65B2D"/>
    <w:rsid w:val="00E65B83"/>
    <w:rsid w:val="00E65FF7"/>
    <w:rsid w:val="00E664A4"/>
    <w:rsid w:val="00E66774"/>
    <w:rsid w:val="00E66AFF"/>
    <w:rsid w:val="00E66B02"/>
    <w:rsid w:val="00E6757B"/>
    <w:rsid w:val="00E67E03"/>
    <w:rsid w:val="00E701F3"/>
    <w:rsid w:val="00E70281"/>
    <w:rsid w:val="00E70910"/>
    <w:rsid w:val="00E7112E"/>
    <w:rsid w:val="00E714C5"/>
    <w:rsid w:val="00E71509"/>
    <w:rsid w:val="00E723F1"/>
    <w:rsid w:val="00E725DE"/>
    <w:rsid w:val="00E7263D"/>
    <w:rsid w:val="00E72903"/>
    <w:rsid w:val="00E731A7"/>
    <w:rsid w:val="00E731AD"/>
    <w:rsid w:val="00E735EC"/>
    <w:rsid w:val="00E73AEA"/>
    <w:rsid w:val="00E73B03"/>
    <w:rsid w:val="00E73C8F"/>
    <w:rsid w:val="00E73CCD"/>
    <w:rsid w:val="00E73DDC"/>
    <w:rsid w:val="00E74554"/>
    <w:rsid w:val="00E7499F"/>
    <w:rsid w:val="00E74CA8"/>
    <w:rsid w:val="00E74CD3"/>
    <w:rsid w:val="00E75589"/>
    <w:rsid w:val="00E75B73"/>
    <w:rsid w:val="00E75D94"/>
    <w:rsid w:val="00E7608E"/>
    <w:rsid w:val="00E76547"/>
    <w:rsid w:val="00E76569"/>
    <w:rsid w:val="00E76893"/>
    <w:rsid w:val="00E770E9"/>
    <w:rsid w:val="00E77339"/>
    <w:rsid w:val="00E77400"/>
    <w:rsid w:val="00E774A0"/>
    <w:rsid w:val="00E774E8"/>
    <w:rsid w:val="00E77AE4"/>
    <w:rsid w:val="00E77C30"/>
    <w:rsid w:val="00E77E7F"/>
    <w:rsid w:val="00E80810"/>
    <w:rsid w:val="00E80CFA"/>
    <w:rsid w:val="00E80EED"/>
    <w:rsid w:val="00E80FFF"/>
    <w:rsid w:val="00E8145B"/>
    <w:rsid w:val="00E819A1"/>
    <w:rsid w:val="00E819B3"/>
    <w:rsid w:val="00E81A83"/>
    <w:rsid w:val="00E81BD0"/>
    <w:rsid w:val="00E81C18"/>
    <w:rsid w:val="00E823ED"/>
    <w:rsid w:val="00E8273E"/>
    <w:rsid w:val="00E827CE"/>
    <w:rsid w:val="00E8285D"/>
    <w:rsid w:val="00E828B7"/>
    <w:rsid w:val="00E82ABF"/>
    <w:rsid w:val="00E82EB1"/>
    <w:rsid w:val="00E83236"/>
    <w:rsid w:val="00E83469"/>
    <w:rsid w:val="00E83639"/>
    <w:rsid w:val="00E8367C"/>
    <w:rsid w:val="00E836AA"/>
    <w:rsid w:val="00E838A1"/>
    <w:rsid w:val="00E83C25"/>
    <w:rsid w:val="00E83D1F"/>
    <w:rsid w:val="00E84107"/>
    <w:rsid w:val="00E8458F"/>
    <w:rsid w:val="00E8491E"/>
    <w:rsid w:val="00E85157"/>
    <w:rsid w:val="00E854A5"/>
    <w:rsid w:val="00E854AB"/>
    <w:rsid w:val="00E854D1"/>
    <w:rsid w:val="00E857BC"/>
    <w:rsid w:val="00E8599F"/>
    <w:rsid w:val="00E85B90"/>
    <w:rsid w:val="00E85BAC"/>
    <w:rsid w:val="00E85D00"/>
    <w:rsid w:val="00E863A2"/>
    <w:rsid w:val="00E869D4"/>
    <w:rsid w:val="00E86EB7"/>
    <w:rsid w:val="00E87193"/>
    <w:rsid w:val="00E87402"/>
    <w:rsid w:val="00E8776D"/>
    <w:rsid w:val="00E87A93"/>
    <w:rsid w:val="00E87AD3"/>
    <w:rsid w:val="00E90386"/>
    <w:rsid w:val="00E9052E"/>
    <w:rsid w:val="00E9082B"/>
    <w:rsid w:val="00E908B9"/>
    <w:rsid w:val="00E90A4C"/>
    <w:rsid w:val="00E90B5F"/>
    <w:rsid w:val="00E910FC"/>
    <w:rsid w:val="00E911CD"/>
    <w:rsid w:val="00E9128B"/>
    <w:rsid w:val="00E9141B"/>
    <w:rsid w:val="00E9170A"/>
    <w:rsid w:val="00E91EBF"/>
    <w:rsid w:val="00E91F2E"/>
    <w:rsid w:val="00E9223D"/>
    <w:rsid w:val="00E92426"/>
    <w:rsid w:val="00E924AA"/>
    <w:rsid w:val="00E924DF"/>
    <w:rsid w:val="00E9277D"/>
    <w:rsid w:val="00E92925"/>
    <w:rsid w:val="00E92B66"/>
    <w:rsid w:val="00E92EFB"/>
    <w:rsid w:val="00E930EF"/>
    <w:rsid w:val="00E931A6"/>
    <w:rsid w:val="00E9385C"/>
    <w:rsid w:val="00E93BE0"/>
    <w:rsid w:val="00E93BEF"/>
    <w:rsid w:val="00E93F0D"/>
    <w:rsid w:val="00E94664"/>
    <w:rsid w:val="00E94762"/>
    <w:rsid w:val="00E94B1B"/>
    <w:rsid w:val="00E94C2D"/>
    <w:rsid w:val="00E94E3C"/>
    <w:rsid w:val="00E955B5"/>
    <w:rsid w:val="00E956C1"/>
    <w:rsid w:val="00E95E8B"/>
    <w:rsid w:val="00E95FB9"/>
    <w:rsid w:val="00E960EE"/>
    <w:rsid w:val="00E9629A"/>
    <w:rsid w:val="00E962A7"/>
    <w:rsid w:val="00E96A32"/>
    <w:rsid w:val="00E96A34"/>
    <w:rsid w:val="00E96DBD"/>
    <w:rsid w:val="00E9703A"/>
    <w:rsid w:val="00E97077"/>
    <w:rsid w:val="00E970A6"/>
    <w:rsid w:val="00E97132"/>
    <w:rsid w:val="00E97B75"/>
    <w:rsid w:val="00E97DA3"/>
    <w:rsid w:val="00EA0026"/>
    <w:rsid w:val="00EA00C7"/>
    <w:rsid w:val="00EA02E7"/>
    <w:rsid w:val="00EA033E"/>
    <w:rsid w:val="00EA0345"/>
    <w:rsid w:val="00EA06BF"/>
    <w:rsid w:val="00EA0900"/>
    <w:rsid w:val="00EA0FAA"/>
    <w:rsid w:val="00EA1119"/>
    <w:rsid w:val="00EA125F"/>
    <w:rsid w:val="00EA1654"/>
    <w:rsid w:val="00EA1870"/>
    <w:rsid w:val="00EA1900"/>
    <w:rsid w:val="00EA1AC1"/>
    <w:rsid w:val="00EA1C89"/>
    <w:rsid w:val="00EA1CF4"/>
    <w:rsid w:val="00EA1DE0"/>
    <w:rsid w:val="00EA1E3E"/>
    <w:rsid w:val="00EA1FAE"/>
    <w:rsid w:val="00EA2005"/>
    <w:rsid w:val="00EA2055"/>
    <w:rsid w:val="00EA24D4"/>
    <w:rsid w:val="00EA26DC"/>
    <w:rsid w:val="00EA2763"/>
    <w:rsid w:val="00EA2ABD"/>
    <w:rsid w:val="00EA2B44"/>
    <w:rsid w:val="00EA2EA7"/>
    <w:rsid w:val="00EA2F2F"/>
    <w:rsid w:val="00EA3AE9"/>
    <w:rsid w:val="00EA3EA0"/>
    <w:rsid w:val="00EA401F"/>
    <w:rsid w:val="00EA40B4"/>
    <w:rsid w:val="00EA464E"/>
    <w:rsid w:val="00EA484E"/>
    <w:rsid w:val="00EA544B"/>
    <w:rsid w:val="00EA56A9"/>
    <w:rsid w:val="00EA5F0E"/>
    <w:rsid w:val="00EA5F91"/>
    <w:rsid w:val="00EA6292"/>
    <w:rsid w:val="00EA6A36"/>
    <w:rsid w:val="00EA6BE2"/>
    <w:rsid w:val="00EA77BA"/>
    <w:rsid w:val="00EA7819"/>
    <w:rsid w:val="00EA78A5"/>
    <w:rsid w:val="00EA7A56"/>
    <w:rsid w:val="00EA7AFE"/>
    <w:rsid w:val="00EA7C1E"/>
    <w:rsid w:val="00EA7CFC"/>
    <w:rsid w:val="00EA7EB8"/>
    <w:rsid w:val="00EA7FAA"/>
    <w:rsid w:val="00EB0202"/>
    <w:rsid w:val="00EB0661"/>
    <w:rsid w:val="00EB0670"/>
    <w:rsid w:val="00EB0A03"/>
    <w:rsid w:val="00EB0DC6"/>
    <w:rsid w:val="00EB0EAA"/>
    <w:rsid w:val="00EB0F8E"/>
    <w:rsid w:val="00EB108C"/>
    <w:rsid w:val="00EB10E5"/>
    <w:rsid w:val="00EB12E0"/>
    <w:rsid w:val="00EB157D"/>
    <w:rsid w:val="00EB18A4"/>
    <w:rsid w:val="00EB1A37"/>
    <w:rsid w:val="00EB1CEB"/>
    <w:rsid w:val="00EB1ED3"/>
    <w:rsid w:val="00EB214C"/>
    <w:rsid w:val="00EB24CB"/>
    <w:rsid w:val="00EB276D"/>
    <w:rsid w:val="00EB27FC"/>
    <w:rsid w:val="00EB2BB8"/>
    <w:rsid w:val="00EB2BEE"/>
    <w:rsid w:val="00EB2EFB"/>
    <w:rsid w:val="00EB30BA"/>
    <w:rsid w:val="00EB30BC"/>
    <w:rsid w:val="00EB3722"/>
    <w:rsid w:val="00EB3800"/>
    <w:rsid w:val="00EB3AC2"/>
    <w:rsid w:val="00EB3BF2"/>
    <w:rsid w:val="00EB3C82"/>
    <w:rsid w:val="00EB40C6"/>
    <w:rsid w:val="00EB410C"/>
    <w:rsid w:val="00EB44A3"/>
    <w:rsid w:val="00EB455C"/>
    <w:rsid w:val="00EB45E7"/>
    <w:rsid w:val="00EB4697"/>
    <w:rsid w:val="00EB4733"/>
    <w:rsid w:val="00EB481A"/>
    <w:rsid w:val="00EB4F92"/>
    <w:rsid w:val="00EB50BB"/>
    <w:rsid w:val="00EB516B"/>
    <w:rsid w:val="00EB5249"/>
    <w:rsid w:val="00EB52AF"/>
    <w:rsid w:val="00EB53D3"/>
    <w:rsid w:val="00EB53FA"/>
    <w:rsid w:val="00EB54CB"/>
    <w:rsid w:val="00EB59C5"/>
    <w:rsid w:val="00EB59D1"/>
    <w:rsid w:val="00EB5ADB"/>
    <w:rsid w:val="00EB5EA6"/>
    <w:rsid w:val="00EB5F32"/>
    <w:rsid w:val="00EB60F8"/>
    <w:rsid w:val="00EB63D0"/>
    <w:rsid w:val="00EB658C"/>
    <w:rsid w:val="00EB6593"/>
    <w:rsid w:val="00EB6688"/>
    <w:rsid w:val="00EB6720"/>
    <w:rsid w:val="00EB6997"/>
    <w:rsid w:val="00EB6A50"/>
    <w:rsid w:val="00EB6CD8"/>
    <w:rsid w:val="00EB7335"/>
    <w:rsid w:val="00EB73D6"/>
    <w:rsid w:val="00EB75D4"/>
    <w:rsid w:val="00EB7BDE"/>
    <w:rsid w:val="00EB7FCA"/>
    <w:rsid w:val="00EC0206"/>
    <w:rsid w:val="00EC053C"/>
    <w:rsid w:val="00EC06E8"/>
    <w:rsid w:val="00EC0798"/>
    <w:rsid w:val="00EC081E"/>
    <w:rsid w:val="00EC0E10"/>
    <w:rsid w:val="00EC11C3"/>
    <w:rsid w:val="00EC155C"/>
    <w:rsid w:val="00EC1701"/>
    <w:rsid w:val="00EC1D8B"/>
    <w:rsid w:val="00EC1DCB"/>
    <w:rsid w:val="00EC1EF6"/>
    <w:rsid w:val="00EC1F28"/>
    <w:rsid w:val="00EC24F3"/>
    <w:rsid w:val="00EC2A2C"/>
    <w:rsid w:val="00EC2B4B"/>
    <w:rsid w:val="00EC3445"/>
    <w:rsid w:val="00EC3651"/>
    <w:rsid w:val="00EC3995"/>
    <w:rsid w:val="00EC3BBA"/>
    <w:rsid w:val="00EC3EE4"/>
    <w:rsid w:val="00EC3FAA"/>
    <w:rsid w:val="00EC4045"/>
    <w:rsid w:val="00EC45C6"/>
    <w:rsid w:val="00EC48C1"/>
    <w:rsid w:val="00EC4928"/>
    <w:rsid w:val="00EC4B00"/>
    <w:rsid w:val="00EC4B1A"/>
    <w:rsid w:val="00EC4BCF"/>
    <w:rsid w:val="00EC4C68"/>
    <w:rsid w:val="00EC4D33"/>
    <w:rsid w:val="00EC5598"/>
    <w:rsid w:val="00EC56DE"/>
    <w:rsid w:val="00EC5795"/>
    <w:rsid w:val="00EC5B25"/>
    <w:rsid w:val="00EC5C22"/>
    <w:rsid w:val="00EC5C96"/>
    <w:rsid w:val="00EC5CA9"/>
    <w:rsid w:val="00EC5E5F"/>
    <w:rsid w:val="00EC6319"/>
    <w:rsid w:val="00EC6477"/>
    <w:rsid w:val="00EC6525"/>
    <w:rsid w:val="00EC67FF"/>
    <w:rsid w:val="00EC6C05"/>
    <w:rsid w:val="00EC7064"/>
    <w:rsid w:val="00EC709A"/>
    <w:rsid w:val="00EC7459"/>
    <w:rsid w:val="00EC779C"/>
    <w:rsid w:val="00EC7CEA"/>
    <w:rsid w:val="00EC7D98"/>
    <w:rsid w:val="00EC7EDD"/>
    <w:rsid w:val="00ED0081"/>
    <w:rsid w:val="00ED034B"/>
    <w:rsid w:val="00ED0360"/>
    <w:rsid w:val="00ED062C"/>
    <w:rsid w:val="00ED06CC"/>
    <w:rsid w:val="00ED0870"/>
    <w:rsid w:val="00ED0B6D"/>
    <w:rsid w:val="00ED0BC0"/>
    <w:rsid w:val="00ED0C93"/>
    <w:rsid w:val="00ED120A"/>
    <w:rsid w:val="00ED1C10"/>
    <w:rsid w:val="00ED1E0C"/>
    <w:rsid w:val="00ED1EA8"/>
    <w:rsid w:val="00ED1FB8"/>
    <w:rsid w:val="00ED242D"/>
    <w:rsid w:val="00ED25BF"/>
    <w:rsid w:val="00ED26B0"/>
    <w:rsid w:val="00ED29D5"/>
    <w:rsid w:val="00ED2D81"/>
    <w:rsid w:val="00ED2E04"/>
    <w:rsid w:val="00ED31FE"/>
    <w:rsid w:val="00ED3636"/>
    <w:rsid w:val="00ED39A4"/>
    <w:rsid w:val="00ED3ABC"/>
    <w:rsid w:val="00ED3B71"/>
    <w:rsid w:val="00ED3DF8"/>
    <w:rsid w:val="00ED47B3"/>
    <w:rsid w:val="00ED4845"/>
    <w:rsid w:val="00ED4B19"/>
    <w:rsid w:val="00ED4E01"/>
    <w:rsid w:val="00ED5109"/>
    <w:rsid w:val="00ED518D"/>
    <w:rsid w:val="00ED5341"/>
    <w:rsid w:val="00ED564C"/>
    <w:rsid w:val="00ED567B"/>
    <w:rsid w:val="00ED579A"/>
    <w:rsid w:val="00ED6509"/>
    <w:rsid w:val="00ED68FC"/>
    <w:rsid w:val="00ED6ECC"/>
    <w:rsid w:val="00ED70E0"/>
    <w:rsid w:val="00ED72E1"/>
    <w:rsid w:val="00ED7482"/>
    <w:rsid w:val="00ED7610"/>
    <w:rsid w:val="00ED7638"/>
    <w:rsid w:val="00ED7A0E"/>
    <w:rsid w:val="00ED7D4E"/>
    <w:rsid w:val="00EE01A9"/>
    <w:rsid w:val="00EE03C7"/>
    <w:rsid w:val="00EE0B6C"/>
    <w:rsid w:val="00EE0BD9"/>
    <w:rsid w:val="00EE0C65"/>
    <w:rsid w:val="00EE0D8E"/>
    <w:rsid w:val="00EE0F89"/>
    <w:rsid w:val="00EE12C9"/>
    <w:rsid w:val="00EE12E0"/>
    <w:rsid w:val="00EE21CF"/>
    <w:rsid w:val="00EE250F"/>
    <w:rsid w:val="00EE278C"/>
    <w:rsid w:val="00EE2E26"/>
    <w:rsid w:val="00EE30AD"/>
    <w:rsid w:val="00EE348A"/>
    <w:rsid w:val="00EE3842"/>
    <w:rsid w:val="00EE3AE6"/>
    <w:rsid w:val="00EE3B7B"/>
    <w:rsid w:val="00EE3CBB"/>
    <w:rsid w:val="00EE3D0A"/>
    <w:rsid w:val="00EE3E1B"/>
    <w:rsid w:val="00EE3E73"/>
    <w:rsid w:val="00EE4062"/>
    <w:rsid w:val="00EE414F"/>
    <w:rsid w:val="00EE42BF"/>
    <w:rsid w:val="00EE42F1"/>
    <w:rsid w:val="00EE4415"/>
    <w:rsid w:val="00EE46A3"/>
    <w:rsid w:val="00EE4B04"/>
    <w:rsid w:val="00EE55EB"/>
    <w:rsid w:val="00EE581A"/>
    <w:rsid w:val="00EE5A8C"/>
    <w:rsid w:val="00EE5C5A"/>
    <w:rsid w:val="00EE5FCE"/>
    <w:rsid w:val="00EE6281"/>
    <w:rsid w:val="00EE67EF"/>
    <w:rsid w:val="00EE6B4D"/>
    <w:rsid w:val="00EE6BC2"/>
    <w:rsid w:val="00EE6BF1"/>
    <w:rsid w:val="00EE6D1A"/>
    <w:rsid w:val="00EE6ED2"/>
    <w:rsid w:val="00EE720B"/>
    <w:rsid w:val="00EE7304"/>
    <w:rsid w:val="00EE7307"/>
    <w:rsid w:val="00EE74C4"/>
    <w:rsid w:val="00EE7A82"/>
    <w:rsid w:val="00EE7F2B"/>
    <w:rsid w:val="00EF0376"/>
    <w:rsid w:val="00EF03E2"/>
    <w:rsid w:val="00EF03FD"/>
    <w:rsid w:val="00EF042E"/>
    <w:rsid w:val="00EF060C"/>
    <w:rsid w:val="00EF06C2"/>
    <w:rsid w:val="00EF0929"/>
    <w:rsid w:val="00EF0AC3"/>
    <w:rsid w:val="00EF107E"/>
    <w:rsid w:val="00EF1150"/>
    <w:rsid w:val="00EF1248"/>
    <w:rsid w:val="00EF153E"/>
    <w:rsid w:val="00EF1AD4"/>
    <w:rsid w:val="00EF1CC0"/>
    <w:rsid w:val="00EF1DA0"/>
    <w:rsid w:val="00EF2034"/>
    <w:rsid w:val="00EF2A7A"/>
    <w:rsid w:val="00EF2B40"/>
    <w:rsid w:val="00EF2C13"/>
    <w:rsid w:val="00EF2E3E"/>
    <w:rsid w:val="00EF2EE2"/>
    <w:rsid w:val="00EF3012"/>
    <w:rsid w:val="00EF3089"/>
    <w:rsid w:val="00EF30BF"/>
    <w:rsid w:val="00EF352E"/>
    <w:rsid w:val="00EF36D2"/>
    <w:rsid w:val="00EF3A65"/>
    <w:rsid w:val="00EF3D5B"/>
    <w:rsid w:val="00EF3DF9"/>
    <w:rsid w:val="00EF3E6F"/>
    <w:rsid w:val="00EF41CA"/>
    <w:rsid w:val="00EF4310"/>
    <w:rsid w:val="00EF43A3"/>
    <w:rsid w:val="00EF43DE"/>
    <w:rsid w:val="00EF4565"/>
    <w:rsid w:val="00EF464A"/>
    <w:rsid w:val="00EF487F"/>
    <w:rsid w:val="00EF4DA3"/>
    <w:rsid w:val="00EF4E18"/>
    <w:rsid w:val="00EF4ED4"/>
    <w:rsid w:val="00EF4FE4"/>
    <w:rsid w:val="00EF5086"/>
    <w:rsid w:val="00EF5160"/>
    <w:rsid w:val="00EF5331"/>
    <w:rsid w:val="00EF55E5"/>
    <w:rsid w:val="00EF5772"/>
    <w:rsid w:val="00EF5982"/>
    <w:rsid w:val="00EF5A49"/>
    <w:rsid w:val="00EF5B2A"/>
    <w:rsid w:val="00EF5B58"/>
    <w:rsid w:val="00EF5BCE"/>
    <w:rsid w:val="00EF630E"/>
    <w:rsid w:val="00EF6385"/>
    <w:rsid w:val="00EF69A5"/>
    <w:rsid w:val="00EF69DD"/>
    <w:rsid w:val="00EF6C8E"/>
    <w:rsid w:val="00EF6E48"/>
    <w:rsid w:val="00EF6F4D"/>
    <w:rsid w:val="00EF6FFE"/>
    <w:rsid w:val="00EF7214"/>
    <w:rsid w:val="00EF725C"/>
    <w:rsid w:val="00EF73F0"/>
    <w:rsid w:val="00EF78C6"/>
    <w:rsid w:val="00EF7A33"/>
    <w:rsid w:val="00EF7EDC"/>
    <w:rsid w:val="00EF7F57"/>
    <w:rsid w:val="00F006FB"/>
    <w:rsid w:val="00F00A49"/>
    <w:rsid w:val="00F00A79"/>
    <w:rsid w:val="00F00C9C"/>
    <w:rsid w:val="00F013F4"/>
    <w:rsid w:val="00F01420"/>
    <w:rsid w:val="00F01539"/>
    <w:rsid w:val="00F015A5"/>
    <w:rsid w:val="00F0176E"/>
    <w:rsid w:val="00F018E6"/>
    <w:rsid w:val="00F0219D"/>
    <w:rsid w:val="00F02319"/>
    <w:rsid w:val="00F025CB"/>
    <w:rsid w:val="00F02E69"/>
    <w:rsid w:val="00F0316D"/>
    <w:rsid w:val="00F03271"/>
    <w:rsid w:val="00F033D3"/>
    <w:rsid w:val="00F0348A"/>
    <w:rsid w:val="00F035D3"/>
    <w:rsid w:val="00F037A1"/>
    <w:rsid w:val="00F037FF"/>
    <w:rsid w:val="00F0380C"/>
    <w:rsid w:val="00F03992"/>
    <w:rsid w:val="00F03B88"/>
    <w:rsid w:val="00F03C50"/>
    <w:rsid w:val="00F03D16"/>
    <w:rsid w:val="00F040AB"/>
    <w:rsid w:val="00F0474E"/>
    <w:rsid w:val="00F0484F"/>
    <w:rsid w:val="00F0499E"/>
    <w:rsid w:val="00F04E1A"/>
    <w:rsid w:val="00F04E34"/>
    <w:rsid w:val="00F05027"/>
    <w:rsid w:val="00F051E7"/>
    <w:rsid w:val="00F05499"/>
    <w:rsid w:val="00F0565D"/>
    <w:rsid w:val="00F056F1"/>
    <w:rsid w:val="00F05B2E"/>
    <w:rsid w:val="00F05C62"/>
    <w:rsid w:val="00F05EBC"/>
    <w:rsid w:val="00F061A6"/>
    <w:rsid w:val="00F064E8"/>
    <w:rsid w:val="00F06617"/>
    <w:rsid w:val="00F06C9E"/>
    <w:rsid w:val="00F06CA4"/>
    <w:rsid w:val="00F06D60"/>
    <w:rsid w:val="00F07342"/>
    <w:rsid w:val="00F074C8"/>
    <w:rsid w:val="00F0764F"/>
    <w:rsid w:val="00F07B10"/>
    <w:rsid w:val="00F10633"/>
    <w:rsid w:val="00F108B3"/>
    <w:rsid w:val="00F10A7A"/>
    <w:rsid w:val="00F10B7F"/>
    <w:rsid w:val="00F10BC0"/>
    <w:rsid w:val="00F10F69"/>
    <w:rsid w:val="00F110EE"/>
    <w:rsid w:val="00F1131C"/>
    <w:rsid w:val="00F1136B"/>
    <w:rsid w:val="00F11601"/>
    <w:rsid w:val="00F11690"/>
    <w:rsid w:val="00F116CF"/>
    <w:rsid w:val="00F117A9"/>
    <w:rsid w:val="00F123E3"/>
    <w:rsid w:val="00F12518"/>
    <w:rsid w:val="00F1251C"/>
    <w:rsid w:val="00F1261D"/>
    <w:rsid w:val="00F12775"/>
    <w:rsid w:val="00F127E7"/>
    <w:rsid w:val="00F12930"/>
    <w:rsid w:val="00F12B3B"/>
    <w:rsid w:val="00F12B45"/>
    <w:rsid w:val="00F12BC2"/>
    <w:rsid w:val="00F12D2F"/>
    <w:rsid w:val="00F12EAE"/>
    <w:rsid w:val="00F13363"/>
    <w:rsid w:val="00F1377E"/>
    <w:rsid w:val="00F13881"/>
    <w:rsid w:val="00F13F05"/>
    <w:rsid w:val="00F13F13"/>
    <w:rsid w:val="00F13F43"/>
    <w:rsid w:val="00F14070"/>
    <w:rsid w:val="00F145ED"/>
    <w:rsid w:val="00F148F9"/>
    <w:rsid w:val="00F14ABF"/>
    <w:rsid w:val="00F14B51"/>
    <w:rsid w:val="00F15B23"/>
    <w:rsid w:val="00F15BD2"/>
    <w:rsid w:val="00F15D6A"/>
    <w:rsid w:val="00F15E93"/>
    <w:rsid w:val="00F15ED7"/>
    <w:rsid w:val="00F15F5E"/>
    <w:rsid w:val="00F165F2"/>
    <w:rsid w:val="00F169EB"/>
    <w:rsid w:val="00F16AB7"/>
    <w:rsid w:val="00F16F06"/>
    <w:rsid w:val="00F1713B"/>
    <w:rsid w:val="00F171C6"/>
    <w:rsid w:val="00F1737C"/>
    <w:rsid w:val="00F173AE"/>
    <w:rsid w:val="00F173E4"/>
    <w:rsid w:val="00F17451"/>
    <w:rsid w:val="00F1746B"/>
    <w:rsid w:val="00F1774F"/>
    <w:rsid w:val="00F202B6"/>
    <w:rsid w:val="00F2033E"/>
    <w:rsid w:val="00F20550"/>
    <w:rsid w:val="00F20616"/>
    <w:rsid w:val="00F2062E"/>
    <w:rsid w:val="00F20A6E"/>
    <w:rsid w:val="00F20F0A"/>
    <w:rsid w:val="00F210E0"/>
    <w:rsid w:val="00F2157E"/>
    <w:rsid w:val="00F21784"/>
    <w:rsid w:val="00F217E9"/>
    <w:rsid w:val="00F21B00"/>
    <w:rsid w:val="00F21C37"/>
    <w:rsid w:val="00F21EB8"/>
    <w:rsid w:val="00F21EC0"/>
    <w:rsid w:val="00F22167"/>
    <w:rsid w:val="00F222E3"/>
    <w:rsid w:val="00F223E4"/>
    <w:rsid w:val="00F2268D"/>
    <w:rsid w:val="00F228BC"/>
    <w:rsid w:val="00F229F9"/>
    <w:rsid w:val="00F22AF0"/>
    <w:rsid w:val="00F22BFD"/>
    <w:rsid w:val="00F23490"/>
    <w:rsid w:val="00F23739"/>
    <w:rsid w:val="00F23742"/>
    <w:rsid w:val="00F23846"/>
    <w:rsid w:val="00F23B73"/>
    <w:rsid w:val="00F23E93"/>
    <w:rsid w:val="00F24216"/>
    <w:rsid w:val="00F2437F"/>
    <w:rsid w:val="00F243E6"/>
    <w:rsid w:val="00F24784"/>
    <w:rsid w:val="00F24A6D"/>
    <w:rsid w:val="00F24AF8"/>
    <w:rsid w:val="00F24CFC"/>
    <w:rsid w:val="00F24FDD"/>
    <w:rsid w:val="00F251DF"/>
    <w:rsid w:val="00F25413"/>
    <w:rsid w:val="00F255C1"/>
    <w:rsid w:val="00F25623"/>
    <w:rsid w:val="00F2588A"/>
    <w:rsid w:val="00F25ABF"/>
    <w:rsid w:val="00F25DA6"/>
    <w:rsid w:val="00F25DB4"/>
    <w:rsid w:val="00F25F21"/>
    <w:rsid w:val="00F25F74"/>
    <w:rsid w:val="00F26112"/>
    <w:rsid w:val="00F26155"/>
    <w:rsid w:val="00F264EA"/>
    <w:rsid w:val="00F26750"/>
    <w:rsid w:val="00F26797"/>
    <w:rsid w:val="00F26831"/>
    <w:rsid w:val="00F26D4D"/>
    <w:rsid w:val="00F26D92"/>
    <w:rsid w:val="00F26FA3"/>
    <w:rsid w:val="00F27012"/>
    <w:rsid w:val="00F2709B"/>
    <w:rsid w:val="00F2717C"/>
    <w:rsid w:val="00F2737B"/>
    <w:rsid w:val="00F27447"/>
    <w:rsid w:val="00F276B2"/>
    <w:rsid w:val="00F27800"/>
    <w:rsid w:val="00F30238"/>
    <w:rsid w:val="00F30417"/>
    <w:rsid w:val="00F30466"/>
    <w:rsid w:val="00F30547"/>
    <w:rsid w:val="00F305A0"/>
    <w:rsid w:val="00F3065A"/>
    <w:rsid w:val="00F306BB"/>
    <w:rsid w:val="00F308BE"/>
    <w:rsid w:val="00F30C66"/>
    <w:rsid w:val="00F30E75"/>
    <w:rsid w:val="00F30F0D"/>
    <w:rsid w:val="00F312EE"/>
    <w:rsid w:val="00F31642"/>
    <w:rsid w:val="00F3183C"/>
    <w:rsid w:val="00F31846"/>
    <w:rsid w:val="00F318E0"/>
    <w:rsid w:val="00F31A3B"/>
    <w:rsid w:val="00F31A48"/>
    <w:rsid w:val="00F32228"/>
    <w:rsid w:val="00F3244F"/>
    <w:rsid w:val="00F32688"/>
    <w:rsid w:val="00F32D75"/>
    <w:rsid w:val="00F32DCE"/>
    <w:rsid w:val="00F335B4"/>
    <w:rsid w:val="00F335C6"/>
    <w:rsid w:val="00F336F0"/>
    <w:rsid w:val="00F33B2A"/>
    <w:rsid w:val="00F33C40"/>
    <w:rsid w:val="00F33DCD"/>
    <w:rsid w:val="00F33F61"/>
    <w:rsid w:val="00F340C9"/>
    <w:rsid w:val="00F34288"/>
    <w:rsid w:val="00F34935"/>
    <w:rsid w:val="00F34A44"/>
    <w:rsid w:val="00F350AE"/>
    <w:rsid w:val="00F35815"/>
    <w:rsid w:val="00F35AB8"/>
    <w:rsid w:val="00F35B0C"/>
    <w:rsid w:val="00F35E61"/>
    <w:rsid w:val="00F3601A"/>
    <w:rsid w:val="00F36232"/>
    <w:rsid w:val="00F362EC"/>
    <w:rsid w:val="00F36AF1"/>
    <w:rsid w:val="00F36CE4"/>
    <w:rsid w:val="00F36D85"/>
    <w:rsid w:val="00F36FE6"/>
    <w:rsid w:val="00F3703D"/>
    <w:rsid w:val="00F373CD"/>
    <w:rsid w:val="00F374B4"/>
    <w:rsid w:val="00F376CA"/>
    <w:rsid w:val="00F3779E"/>
    <w:rsid w:val="00F377C6"/>
    <w:rsid w:val="00F378C1"/>
    <w:rsid w:val="00F3795C"/>
    <w:rsid w:val="00F37F14"/>
    <w:rsid w:val="00F40045"/>
    <w:rsid w:val="00F4005B"/>
    <w:rsid w:val="00F4005E"/>
    <w:rsid w:val="00F402A6"/>
    <w:rsid w:val="00F4052B"/>
    <w:rsid w:val="00F409B7"/>
    <w:rsid w:val="00F40AE3"/>
    <w:rsid w:val="00F40E0E"/>
    <w:rsid w:val="00F40EB0"/>
    <w:rsid w:val="00F40F11"/>
    <w:rsid w:val="00F4108D"/>
    <w:rsid w:val="00F410F6"/>
    <w:rsid w:val="00F413B0"/>
    <w:rsid w:val="00F4166F"/>
    <w:rsid w:val="00F419E1"/>
    <w:rsid w:val="00F41A19"/>
    <w:rsid w:val="00F41C15"/>
    <w:rsid w:val="00F41C1E"/>
    <w:rsid w:val="00F41E4D"/>
    <w:rsid w:val="00F4200C"/>
    <w:rsid w:val="00F4221E"/>
    <w:rsid w:val="00F422B6"/>
    <w:rsid w:val="00F424C8"/>
    <w:rsid w:val="00F425DF"/>
    <w:rsid w:val="00F4292D"/>
    <w:rsid w:val="00F42B0B"/>
    <w:rsid w:val="00F42B49"/>
    <w:rsid w:val="00F4313B"/>
    <w:rsid w:val="00F435EF"/>
    <w:rsid w:val="00F438BE"/>
    <w:rsid w:val="00F438C7"/>
    <w:rsid w:val="00F4399C"/>
    <w:rsid w:val="00F43C09"/>
    <w:rsid w:val="00F43D3E"/>
    <w:rsid w:val="00F43D67"/>
    <w:rsid w:val="00F440E1"/>
    <w:rsid w:val="00F453F5"/>
    <w:rsid w:val="00F457E2"/>
    <w:rsid w:val="00F45811"/>
    <w:rsid w:val="00F46185"/>
    <w:rsid w:val="00F4632D"/>
    <w:rsid w:val="00F4673C"/>
    <w:rsid w:val="00F46B16"/>
    <w:rsid w:val="00F46B23"/>
    <w:rsid w:val="00F46B61"/>
    <w:rsid w:val="00F46C7A"/>
    <w:rsid w:val="00F46F43"/>
    <w:rsid w:val="00F471C7"/>
    <w:rsid w:val="00F47337"/>
    <w:rsid w:val="00F476A4"/>
    <w:rsid w:val="00F476C3"/>
    <w:rsid w:val="00F478B8"/>
    <w:rsid w:val="00F479B7"/>
    <w:rsid w:val="00F47D80"/>
    <w:rsid w:val="00F47E73"/>
    <w:rsid w:val="00F504A6"/>
    <w:rsid w:val="00F50609"/>
    <w:rsid w:val="00F506D2"/>
    <w:rsid w:val="00F509D2"/>
    <w:rsid w:val="00F50AC2"/>
    <w:rsid w:val="00F51323"/>
    <w:rsid w:val="00F51464"/>
    <w:rsid w:val="00F51509"/>
    <w:rsid w:val="00F515C4"/>
    <w:rsid w:val="00F51651"/>
    <w:rsid w:val="00F51859"/>
    <w:rsid w:val="00F51ACA"/>
    <w:rsid w:val="00F51AF7"/>
    <w:rsid w:val="00F51F75"/>
    <w:rsid w:val="00F51FF0"/>
    <w:rsid w:val="00F52219"/>
    <w:rsid w:val="00F525F0"/>
    <w:rsid w:val="00F526B5"/>
    <w:rsid w:val="00F528B3"/>
    <w:rsid w:val="00F529F8"/>
    <w:rsid w:val="00F52B5C"/>
    <w:rsid w:val="00F52C24"/>
    <w:rsid w:val="00F5309B"/>
    <w:rsid w:val="00F53120"/>
    <w:rsid w:val="00F5355D"/>
    <w:rsid w:val="00F535B7"/>
    <w:rsid w:val="00F535F6"/>
    <w:rsid w:val="00F5383D"/>
    <w:rsid w:val="00F538E1"/>
    <w:rsid w:val="00F53C85"/>
    <w:rsid w:val="00F53CEC"/>
    <w:rsid w:val="00F53DEB"/>
    <w:rsid w:val="00F53E01"/>
    <w:rsid w:val="00F53E97"/>
    <w:rsid w:val="00F540A8"/>
    <w:rsid w:val="00F540EA"/>
    <w:rsid w:val="00F54173"/>
    <w:rsid w:val="00F54393"/>
    <w:rsid w:val="00F54689"/>
    <w:rsid w:val="00F548D1"/>
    <w:rsid w:val="00F54A49"/>
    <w:rsid w:val="00F54A4D"/>
    <w:rsid w:val="00F54D32"/>
    <w:rsid w:val="00F54E31"/>
    <w:rsid w:val="00F55026"/>
    <w:rsid w:val="00F550EA"/>
    <w:rsid w:val="00F55134"/>
    <w:rsid w:val="00F552D6"/>
    <w:rsid w:val="00F5552A"/>
    <w:rsid w:val="00F555D9"/>
    <w:rsid w:val="00F558D1"/>
    <w:rsid w:val="00F55F53"/>
    <w:rsid w:val="00F56014"/>
    <w:rsid w:val="00F5616B"/>
    <w:rsid w:val="00F562FB"/>
    <w:rsid w:val="00F563C7"/>
    <w:rsid w:val="00F565BC"/>
    <w:rsid w:val="00F567F3"/>
    <w:rsid w:val="00F569A7"/>
    <w:rsid w:val="00F56CB9"/>
    <w:rsid w:val="00F56D19"/>
    <w:rsid w:val="00F56F9B"/>
    <w:rsid w:val="00F57A08"/>
    <w:rsid w:val="00F57A64"/>
    <w:rsid w:val="00F57E5B"/>
    <w:rsid w:val="00F57F17"/>
    <w:rsid w:val="00F601B7"/>
    <w:rsid w:val="00F60206"/>
    <w:rsid w:val="00F60428"/>
    <w:rsid w:val="00F60A9C"/>
    <w:rsid w:val="00F60F2C"/>
    <w:rsid w:val="00F610DC"/>
    <w:rsid w:val="00F6148F"/>
    <w:rsid w:val="00F6169E"/>
    <w:rsid w:val="00F6176F"/>
    <w:rsid w:val="00F619F1"/>
    <w:rsid w:val="00F61C53"/>
    <w:rsid w:val="00F61CAF"/>
    <w:rsid w:val="00F621F9"/>
    <w:rsid w:val="00F62B5D"/>
    <w:rsid w:val="00F62E35"/>
    <w:rsid w:val="00F62EF7"/>
    <w:rsid w:val="00F62FFB"/>
    <w:rsid w:val="00F63059"/>
    <w:rsid w:val="00F63187"/>
    <w:rsid w:val="00F63224"/>
    <w:rsid w:val="00F63805"/>
    <w:rsid w:val="00F639BB"/>
    <w:rsid w:val="00F644E5"/>
    <w:rsid w:val="00F64CDB"/>
    <w:rsid w:val="00F64DAB"/>
    <w:rsid w:val="00F64DC0"/>
    <w:rsid w:val="00F64DCE"/>
    <w:rsid w:val="00F653D9"/>
    <w:rsid w:val="00F656AE"/>
    <w:rsid w:val="00F6602F"/>
    <w:rsid w:val="00F660C2"/>
    <w:rsid w:val="00F662E0"/>
    <w:rsid w:val="00F66471"/>
    <w:rsid w:val="00F669EB"/>
    <w:rsid w:val="00F67656"/>
    <w:rsid w:val="00F67A1C"/>
    <w:rsid w:val="00F67BE6"/>
    <w:rsid w:val="00F67D7B"/>
    <w:rsid w:val="00F701B2"/>
    <w:rsid w:val="00F70468"/>
    <w:rsid w:val="00F70473"/>
    <w:rsid w:val="00F7065B"/>
    <w:rsid w:val="00F70CBA"/>
    <w:rsid w:val="00F70F7C"/>
    <w:rsid w:val="00F713A5"/>
    <w:rsid w:val="00F715E0"/>
    <w:rsid w:val="00F71CC4"/>
    <w:rsid w:val="00F71FFF"/>
    <w:rsid w:val="00F72238"/>
    <w:rsid w:val="00F7225A"/>
    <w:rsid w:val="00F722D8"/>
    <w:rsid w:val="00F7256C"/>
    <w:rsid w:val="00F72810"/>
    <w:rsid w:val="00F72816"/>
    <w:rsid w:val="00F72834"/>
    <w:rsid w:val="00F728FC"/>
    <w:rsid w:val="00F73233"/>
    <w:rsid w:val="00F7382E"/>
    <w:rsid w:val="00F73896"/>
    <w:rsid w:val="00F738A2"/>
    <w:rsid w:val="00F73DDE"/>
    <w:rsid w:val="00F73FC5"/>
    <w:rsid w:val="00F740D2"/>
    <w:rsid w:val="00F740DA"/>
    <w:rsid w:val="00F74238"/>
    <w:rsid w:val="00F74964"/>
    <w:rsid w:val="00F74C01"/>
    <w:rsid w:val="00F74CED"/>
    <w:rsid w:val="00F754AB"/>
    <w:rsid w:val="00F759B8"/>
    <w:rsid w:val="00F75CAA"/>
    <w:rsid w:val="00F75E2D"/>
    <w:rsid w:val="00F76095"/>
    <w:rsid w:val="00F7643A"/>
    <w:rsid w:val="00F76625"/>
    <w:rsid w:val="00F7668E"/>
    <w:rsid w:val="00F7673B"/>
    <w:rsid w:val="00F76C27"/>
    <w:rsid w:val="00F774F5"/>
    <w:rsid w:val="00F77AFA"/>
    <w:rsid w:val="00F77CCC"/>
    <w:rsid w:val="00F800E5"/>
    <w:rsid w:val="00F80735"/>
    <w:rsid w:val="00F80A9B"/>
    <w:rsid w:val="00F80C52"/>
    <w:rsid w:val="00F80CCD"/>
    <w:rsid w:val="00F80D6F"/>
    <w:rsid w:val="00F80FDF"/>
    <w:rsid w:val="00F81061"/>
    <w:rsid w:val="00F81190"/>
    <w:rsid w:val="00F81495"/>
    <w:rsid w:val="00F817A2"/>
    <w:rsid w:val="00F8183F"/>
    <w:rsid w:val="00F81899"/>
    <w:rsid w:val="00F81A31"/>
    <w:rsid w:val="00F81AD1"/>
    <w:rsid w:val="00F81B35"/>
    <w:rsid w:val="00F81C07"/>
    <w:rsid w:val="00F81D3A"/>
    <w:rsid w:val="00F81D89"/>
    <w:rsid w:val="00F8218E"/>
    <w:rsid w:val="00F82490"/>
    <w:rsid w:val="00F827B6"/>
    <w:rsid w:val="00F82B31"/>
    <w:rsid w:val="00F82DE3"/>
    <w:rsid w:val="00F82E1A"/>
    <w:rsid w:val="00F82F04"/>
    <w:rsid w:val="00F83053"/>
    <w:rsid w:val="00F8319F"/>
    <w:rsid w:val="00F83277"/>
    <w:rsid w:val="00F83292"/>
    <w:rsid w:val="00F83342"/>
    <w:rsid w:val="00F834F5"/>
    <w:rsid w:val="00F835AB"/>
    <w:rsid w:val="00F8382B"/>
    <w:rsid w:val="00F8397F"/>
    <w:rsid w:val="00F83D75"/>
    <w:rsid w:val="00F84906"/>
    <w:rsid w:val="00F84A0D"/>
    <w:rsid w:val="00F84A89"/>
    <w:rsid w:val="00F84ACC"/>
    <w:rsid w:val="00F84B2D"/>
    <w:rsid w:val="00F84BE2"/>
    <w:rsid w:val="00F84D32"/>
    <w:rsid w:val="00F851F0"/>
    <w:rsid w:val="00F85263"/>
    <w:rsid w:val="00F8556E"/>
    <w:rsid w:val="00F8559C"/>
    <w:rsid w:val="00F85753"/>
    <w:rsid w:val="00F858E1"/>
    <w:rsid w:val="00F85B61"/>
    <w:rsid w:val="00F85CBD"/>
    <w:rsid w:val="00F8619C"/>
    <w:rsid w:val="00F862DC"/>
    <w:rsid w:val="00F863E4"/>
    <w:rsid w:val="00F864DD"/>
    <w:rsid w:val="00F86500"/>
    <w:rsid w:val="00F86567"/>
    <w:rsid w:val="00F867B5"/>
    <w:rsid w:val="00F870F6"/>
    <w:rsid w:val="00F875B0"/>
    <w:rsid w:val="00F87CCB"/>
    <w:rsid w:val="00F9003E"/>
    <w:rsid w:val="00F9016B"/>
    <w:rsid w:val="00F9041A"/>
    <w:rsid w:val="00F90774"/>
    <w:rsid w:val="00F9078D"/>
    <w:rsid w:val="00F9097C"/>
    <w:rsid w:val="00F90EE6"/>
    <w:rsid w:val="00F9109A"/>
    <w:rsid w:val="00F91805"/>
    <w:rsid w:val="00F91AFD"/>
    <w:rsid w:val="00F91C53"/>
    <w:rsid w:val="00F92018"/>
    <w:rsid w:val="00F92200"/>
    <w:rsid w:val="00F922F5"/>
    <w:rsid w:val="00F926BA"/>
    <w:rsid w:val="00F92C04"/>
    <w:rsid w:val="00F92F9C"/>
    <w:rsid w:val="00F92FE8"/>
    <w:rsid w:val="00F93485"/>
    <w:rsid w:val="00F93BE8"/>
    <w:rsid w:val="00F94AA7"/>
    <w:rsid w:val="00F94E0D"/>
    <w:rsid w:val="00F94FDE"/>
    <w:rsid w:val="00F95612"/>
    <w:rsid w:val="00F95881"/>
    <w:rsid w:val="00F960EA"/>
    <w:rsid w:val="00F96108"/>
    <w:rsid w:val="00F9629E"/>
    <w:rsid w:val="00F962B6"/>
    <w:rsid w:val="00F963BD"/>
    <w:rsid w:val="00F967DB"/>
    <w:rsid w:val="00F96864"/>
    <w:rsid w:val="00F96BEE"/>
    <w:rsid w:val="00F96CAE"/>
    <w:rsid w:val="00F96DE1"/>
    <w:rsid w:val="00F97076"/>
    <w:rsid w:val="00F974C2"/>
    <w:rsid w:val="00F9759A"/>
    <w:rsid w:val="00F97679"/>
    <w:rsid w:val="00F97A04"/>
    <w:rsid w:val="00F97D45"/>
    <w:rsid w:val="00F97F64"/>
    <w:rsid w:val="00F97FAA"/>
    <w:rsid w:val="00FA00E2"/>
    <w:rsid w:val="00FA0246"/>
    <w:rsid w:val="00FA02DB"/>
    <w:rsid w:val="00FA086D"/>
    <w:rsid w:val="00FA09EB"/>
    <w:rsid w:val="00FA0CD3"/>
    <w:rsid w:val="00FA0FFB"/>
    <w:rsid w:val="00FA10BA"/>
    <w:rsid w:val="00FA130B"/>
    <w:rsid w:val="00FA1402"/>
    <w:rsid w:val="00FA1680"/>
    <w:rsid w:val="00FA1785"/>
    <w:rsid w:val="00FA1829"/>
    <w:rsid w:val="00FA1CCF"/>
    <w:rsid w:val="00FA1DD3"/>
    <w:rsid w:val="00FA1DF9"/>
    <w:rsid w:val="00FA2006"/>
    <w:rsid w:val="00FA2102"/>
    <w:rsid w:val="00FA212F"/>
    <w:rsid w:val="00FA21D7"/>
    <w:rsid w:val="00FA21E3"/>
    <w:rsid w:val="00FA2282"/>
    <w:rsid w:val="00FA22F9"/>
    <w:rsid w:val="00FA2783"/>
    <w:rsid w:val="00FA27D1"/>
    <w:rsid w:val="00FA2B03"/>
    <w:rsid w:val="00FA2B36"/>
    <w:rsid w:val="00FA2BED"/>
    <w:rsid w:val="00FA2E6A"/>
    <w:rsid w:val="00FA2E7D"/>
    <w:rsid w:val="00FA2E90"/>
    <w:rsid w:val="00FA3583"/>
    <w:rsid w:val="00FA38A0"/>
    <w:rsid w:val="00FA490C"/>
    <w:rsid w:val="00FA4995"/>
    <w:rsid w:val="00FA4F24"/>
    <w:rsid w:val="00FA4F74"/>
    <w:rsid w:val="00FA510B"/>
    <w:rsid w:val="00FA51A4"/>
    <w:rsid w:val="00FA59C9"/>
    <w:rsid w:val="00FA5D49"/>
    <w:rsid w:val="00FA5FAB"/>
    <w:rsid w:val="00FA6061"/>
    <w:rsid w:val="00FA610E"/>
    <w:rsid w:val="00FA623A"/>
    <w:rsid w:val="00FA62F5"/>
    <w:rsid w:val="00FA642A"/>
    <w:rsid w:val="00FA67F7"/>
    <w:rsid w:val="00FA6B21"/>
    <w:rsid w:val="00FA6E5B"/>
    <w:rsid w:val="00FA6EAF"/>
    <w:rsid w:val="00FA6EC9"/>
    <w:rsid w:val="00FA702D"/>
    <w:rsid w:val="00FA7177"/>
    <w:rsid w:val="00FA72C0"/>
    <w:rsid w:val="00FA770A"/>
    <w:rsid w:val="00FA7A2F"/>
    <w:rsid w:val="00FA7C8C"/>
    <w:rsid w:val="00FA7CB1"/>
    <w:rsid w:val="00FA7EEF"/>
    <w:rsid w:val="00FB0158"/>
    <w:rsid w:val="00FB01B3"/>
    <w:rsid w:val="00FB0E80"/>
    <w:rsid w:val="00FB13A7"/>
    <w:rsid w:val="00FB1645"/>
    <w:rsid w:val="00FB16A8"/>
    <w:rsid w:val="00FB16E7"/>
    <w:rsid w:val="00FB1772"/>
    <w:rsid w:val="00FB2048"/>
    <w:rsid w:val="00FB20AF"/>
    <w:rsid w:val="00FB26B7"/>
    <w:rsid w:val="00FB292C"/>
    <w:rsid w:val="00FB2B99"/>
    <w:rsid w:val="00FB3119"/>
    <w:rsid w:val="00FB33C5"/>
    <w:rsid w:val="00FB3579"/>
    <w:rsid w:val="00FB35EC"/>
    <w:rsid w:val="00FB3FDE"/>
    <w:rsid w:val="00FB441C"/>
    <w:rsid w:val="00FB4486"/>
    <w:rsid w:val="00FB4920"/>
    <w:rsid w:val="00FB49D2"/>
    <w:rsid w:val="00FB4AB4"/>
    <w:rsid w:val="00FB4D03"/>
    <w:rsid w:val="00FB537F"/>
    <w:rsid w:val="00FB56EE"/>
    <w:rsid w:val="00FB5A81"/>
    <w:rsid w:val="00FB5B0F"/>
    <w:rsid w:val="00FB5BAC"/>
    <w:rsid w:val="00FB5E49"/>
    <w:rsid w:val="00FB5F8D"/>
    <w:rsid w:val="00FB65A9"/>
    <w:rsid w:val="00FB666B"/>
    <w:rsid w:val="00FB6CC1"/>
    <w:rsid w:val="00FB6F7B"/>
    <w:rsid w:val="00FB71E4"/>
    <w:rsid w:val="00FB73D5"/>
    <w:rsid w:val="00FB7542"/>
    <w:rsid w:val="00FB78CC"/>
    <w:rsid w:val="00FB7951"/>
    <w:rsid w:val="00FB7E52"/>
    <w:rsid w:val="00FB7FCA"/>
    <w:rsid w:val="00FB7FEA"/>
    <w:rsid w:val="00FC070B"/>
    <w:rsid w:val="00FC07EA"/>
    <w:rsid w:val="00FC097D"/>
    <w:rsid w:val="00FC099E"/>
    <w:rsid w:val="00FC09A9"/>
    <w:rsid w:val="00FC0B24"/>
    <w:rsid w:val="00FC10CA"/>
    <w:rsid w:val="00FC12CD"/>
    <w:rsid w:val="00FC174E"/>
    <w:rsid w:val="00FC189E"/>
    <w:rsid w:val="00FC25D4"/>
    <w:rsid w:val="00FC2750"/>
    <w:rsid w:val="00FC2884"/>
    <w:rsid w:val="00FC2C89"/>
    <w:rsid w:val="00FC2DC1"/>
    <w:rsid w:val="00FC30F4"/>
    <w:rsid w:val="00FC327B"/>
    <w:rsid w:val="00FC33E2"/>
    <w:rsid w:val="00FC395D"/>
    <w:rsid w:val="00FC3C02"/>
    <w:rsid w:val="00FC3D42"/>
    <w:rsid w:val="00FC3D87"/>
    <w:rsid w:val="00FC414C"/>
    <w:rsid w:val="00FC4491"/>
    <w:rsid w:val="00FC44B4"/>
    <w:rsid w:val="00FC461D"/>
    <w:rsid w:val="00FC4729"/>
    <w:rsid w:val="00FC4801"/>
    <w:rsid w:val="00FC498E"/>
    <w:rsid w:val="00FC4C3F"/>
    <w:rsid w:val="00FC4EB1"/>
    <w:rsid w:val="00FC519F"/>
    <w:rsid w:val="00FC55A8"/>
    <w:rsid w:val="00FC55FF"/>
    <w:rsid w:val="00FC5638"/>
    <w:rsid w:val="00FC5B64"/>
    <w:rsid w:val="00FC5DA6"/>
    <w:rsid w:val="00FC6191"/>
    <w:rsid w:val="00FC64D0"/>
    <w:rsid w:val="00FC693D"/>
    <w:rsid w:val="00FC693E"/>
    <w:rsid w:val="00FC6ADC"/>
    <w:rsid w:val="00FC6B4C"/>
    <w:rsid w:val="00FC6BEA"/>
    <w:rsid w:val="00FC6E03"/>
    <w:rsid w:val="00FC6E14"/>
    <w:rsid w:val="00FC72A1"/>
    <w:rsid w:val="00FC75B2"/>
    <w:rsid w:val="00FC78CE"/>
    <w:rsid w:val="00FD03D3"/>
    <w:rsid w:val="00FD03D6"/>
    <w:rsid w:val="00FD03E5"/>
    <w:rsid w:val="00FD0772"/>
    <w:rsid w:val="00FD084E"/>
    <w:rsid w:val="00FD0EE9"/>
    <w:rsid w:val="00FD1013"/>
    <w:rsid w:val="00FD119F"/>
    <w:rsid w:val="00FD134F"/>
    <w:rsid w:val="00FD179E"/>
    <w:rsid w:val="00FD188D"/>
    <w:rsid w:val="00FD18B4"/>
    <w:rsid w:val="00FD19C5"/>
    <w:rsid w:val="00FD1D2A"/>
    <w:rsid w:val="00FD1E38"/>
    <w:rsid w:val="00FD271C"/>
    <w:rsid w:val="00FD29FB"/>
    <w:rsid w:val="00FD2C33"/>
    <w:rsid w:val="00FD2CD1"/>
    <w:rsid w:val="00FD3203"/>
    <w:rsid w:val="00FD321E"/>
    <w:rsid w:val="00FD3292"/>
    <w:rsid w:val="00FD33F6"/>
    <w:rsid w:val="00FD350F"/>
    <w:rsid w:val="00FD3964"/>
    <w:rsid w:val="00FD3A9C"/>
    <w:rsid w:val="00FD3E9B"/>
    <w:rsid w:val="00FD3F70"/>
    <w:rsid w:val="00FD3FFB"/>
    <w:rsid w:val="00FD411F"/>
    <w:rsid w:val="00FD48B4"/>
    <w:rsid w:val="00FD4957"/>
    <w:rsid w:val="00FD49DB"/>
    <w:rsid w:val="00FD4ADE"/>
    <w:rsid w:val="00FD4BE0"/>
    <w:rsid w:val="00FD4D61"/>
    <w:rsid w:val="00FD4E83"/>
    <w:rsid w:val="00FD4ED8"/>
    <w:rsid w:val="00FD53D0"/>
    <w:rsid w:val="00FD54AD"/>
    <w:rsid w:val="00FD54AE"/>
    <w:rsid w:val="00FD5996"/>
    <w:rsid w:val="00FD5DBA"/>
    <w:rsid w:val="00FD5DD9"/>
    <w:rsid w:val="00FD5E45"/>
    <w:rsid w:val="00FD6231"/>
    <w:rsid w:val="00FD63E3"/>
    <w:rsid w:val="00FD66ED"/>
    <w:rsid w:val="00FD6AFD"/>
    <w:rsid w:val="00FD6F9A"/>
    <w:rsid w:val="00FD70AD"/>
    <w:rsid w:val="00FD7140"/>
    <w:rsid w:val="00FD72CC"/>
    <w:rsid w:val="00FD74D9"/>
    <w:rsid w:val="00FD75F3"/>
    <w:rsid w:val="00FD7C6A"/>
    <w:rsid w:val="00FE0088"/>
    <w:rsid w:val="00FE0120"/>
    <w:rsid w:val="00FE0176"/>
    <w:rsid w:val="00FE03D8"/>
    <w:rsid w:val="00FE08C1"/>
    <w:rsid w:val="00FE0DA4"/>
    <w:rsid w:val="00FE0FAF"/>
    <w:rsid w:val="00FE1071"/>
    <w:rsid w:val="00FE1364"/>
    <w:rsid w:val="00FE1486"/>
    <w:rsid w:val="00FE175C"/>
    <w:rsid w:val="00FE177D"/>
    <w:rsid w:val="00FE1834"/>
    <w:rsid w:val="00FE183D"/>
    <w:rsid w:val="00FE19A8"/>
    <w:rsid w:val="00FE1A58"/>
    <w:rsid w:val="00FE1BCD"/>
    <w:rsid w:val="00FE1C3D"/>
    <w:rsid w:val="00FE2101"/>
    <w:rsid w:val="00FE22BF"/>
    <w:rsid w:val="00FE2484"/>
    <w:rsid w:val="00FE2944"/>
    <w:rsid w:val="00FE2A43"/>
    <w:rsid w:val="00FE2B38"/>
    <w:rsid w:val="00FE2BCF"/>
    <w:rsid w:val="00FE33B3"/>
    <w:rsid w:val="00FE33D9"/>
    <w:rsid w:val="00FE3690"/>
    <w:rsid w:val="00FE427E"/>
    <w:rsid w:val="00FE42FF"/>
    <w:rsid w:val="00FE46A9"/>
    <w:rsid w:val="00FE4B35"/>
    <w:rsid w:val="00FE4FCE"/>
    <w:rsid w:val="00FE50D1"/>
    <w:rsid w:val="00FE5B04"/>
    <w:rsid w:val="00FE5C1C"/>
    <w:rsid w:val="00FE5FE5"/>
    <w:rsid w:val="00FE67D5"/>
    <w:rsid w:val="00FE6D6A"/>
    <w:rsid w:val="00FE713A"/>
    <w:rsid w:val="00FE7416"/>
    <w:rsid w:val="00FE7BB8"/>
    <w:rsid w:val="00FE7D7F"/>
    <w:rsid w:val="00FE7E69"/>
    <w:rsid w:val="00FF012C"/>
    <w:rsid w:val="00FF01E0"/>
    <w:rsid w:val="00FF061B"/>
    <w:rsid w:val="00FF074F"/>
    <w:rsid w:val="00FF0894"/>
    <w:rsid w:val="00FF1176"/>
    <w:rsid w:val="00FF13FD"/>
    <w:rsid w:val="00FF147D"/>
    <w:rsid w:val="00FF1500"/>
    <w:rsid w:val="00FF191E"/>
    <w:rsid w:val="00FF1966"/>
    <w:rsid w:val="00FF1B29"/>
    <w:rsid w:val="00FF1CA1"/>
    <w:rsid w:val="00FF211E"/>
    <w:rsid w:val="00FF21B4"/>
    <w:rsid w:val="00FF24B3"/>
    <w:rsid w:val="00FF2DB0"/>
    <w:rsid w:val="00FF3284"/>
    <w:rsid w:val="00FF346E"/>
    <w:rsid w:val="00FF3584"/>
    <w:rsid w:val="00FF41E0"/>
    <w:rsid w:val="00FF4349"/>
    <w:rsid w:val="00FF4351"/>
    <w:rsid w:val="00FF47DE"/>
    <w:rsid w:val="00FF484E"/>
    <w:rsid w:val="00FF4A44"/>
    <w:rsid w:val="00FF517D"/>
    <w:rsid w:val="00FF5BD6"/>
    <w:rsid w:val="00FF5F7F"/>
    <w:rsid w:val="00FF5FE5"/>
    <w:rsid w:val="00FF6133"/>
    <w:rsid w:val="00FF61ED"/>
    <w:rsid w:val="00FF649F"/>
    <w:rsid w:val="00FF67EC"/>
    <w:rsid w:val="00FF6BC4"/>
    <w:rsid w:val="00FF6C1F"/>
    <w:rsid w:val="00FF6CBD"/>
    <w:rsid w:val="00FF6EA2"/>
    <w:rsid w:val="00FF71D5"/>
    <w:rsid w:val="00FF726E"/>
    <w:rsid w:val="00FF72E1"/>
    <w:rsid w:val="00FF736A"/>
    <w:rsid w:val="00FF784A"/>
    <w:rsid w:val="00FF78D6"/>
    <w:rsid w:val="00FF7A7C"/>
    <w:rsid w:val="00FF7CCC"/>
    <w:rsid w:val="0132098B"/>
    <w:rsid w:val="01490D4B"/>
    <w:rsid w:val="01496029"/>
    <w:rsid w:val="01606434"/>
    <w:rsid w:val="0171D5AA"/>
    <w:rsid w:val="019149E4"/>
    <w:rsid w:val="01C29947"/>
    <w:rsid w:val="01D309BA"/>
    <w:rsid w:val="01DECA6B"/>
    <w:rsid w:val="01F4F277"/>
    <w:rsid w:val="022E96F6"/>
    <w:rsid w:val="0231CDC3"/>
    <w:rsid w:val="0231D83A"/>
    <w:rsid w:val="02488C87"/>
    <w:rsid w:val="02522030"/>
    <w:rsid w:val="0267FA18"/>
    <w:rsid w:val="027D5640"/>
    <w:rsid w:val="0295381A"/>
    <w:rsid w:val="02A4A82A"/>
    <w:rsid w:val="02B69DD4"/>
    <w:rsid w:val="02B81027"/>
    <w:rsid w:val="02C43465"/>
    <w:rsid w:val="02D00312"/>
    <w:rsid w:val="02D579E2"/>
    <w:rsid w:val="02E92758"/>
    <w:rsid w:val="02EF7064"/>
    <w:rsid w:val="02F58DBE"/>
    <w:rsid w:val="0301C4C7"/>
    <w:rsid w:val="03391288"/>
    <w:rsid w:val="0339A113"/>
    <w:rsid w:val="036DC599"/>
    <w:rsid w:val="036FC056"/>
    <w:rsid w:val="039E8D08"/>
    <w:rsid w:val="03A55126"/>
    <w:rsid w:val="03B1D89D"/>
    <w:rsid w:val="03BA5992"/>
    <w:rsid w:val="03CA867F"/>
    <w:rsid w:val="03D840FA"/>
    <w:rsid w:val="03F9A256"/>
    <w:rsid w:val="040A25DD"/>
    <w:rsid w:val="0436AC32"/>
    <w:rsid w:val="0442ED1A"/>
    <w:rsid w:val="04474424"/>
    <w:rsid w:val="04557E49"/>
    <w:rsid w:val="04754DB0"/>
    <w:rsid w:val="04BEDAEE"/>
    <w:rsid w:val="04DE38F5"/>
    <w:rsid w:val="04FD9E95"/>
    <w:rsid w:val="050014D4"/>
    <w:rsid w:val="0507AFA6"/>
    <w:rsid w:val="051CC30F"/>
    <w:rsid w:val="051F5DCF"/>
    <w:rsid w:val="052BEC78"/>
    <w:rsid w:val="05823C1E"/>
    <w:rsid w:val="05953525"/>
    <w:rsid w:val="05A46959"/>
    <w:rsid w:val="05A8C4CE"/>
    <w:rsid w:val="05AA0FBF"/>
    <w:rsid w:val="05C316EE"/>
    <w:rsid w:val="05D3C6C1"/>
    <w:rsid w:val="05E21BAD"/>
    <w:rsid w:val="05F47DA4"/>
    <w:rsid w:val="05FA6524"/>
    <w:rsid w:val="0620B9F3"/>
    <w:rsid w:val="062C5BD2"/>
    <w:rsid w:val="062D9A74"/>
    <w:rsid w:val="062F908E"/>
    <w:rsid w:val="063DF9A2"/>
    <w:rsid w:val="065BA4D1"/>
    <w:rsid w:val="066C9F1E"/>
    <w:rsid w:val="0674C554"/>
    <w:rsid w:val="069605CC"/>
    <w:rsid w:val="06AC9559"/>
    <w:rsid w:val="06C088F8"/>
    <w:rsid w:val="06F07278"/>
    <w:rsid w:val="07193685"/>
    <w:rsid w:val="071AB811"/>
    <w:rsid w:val="0727BE9E"/>
    <w:rsid w:val="072EA546"/>
    <w:rsid w:val="074A3256"/>
    <w:rsid w:val="07B60FA5"/>
    <w:rsid w:val="07C4A062"/>
    <w:rsid w:val="07E402AB"/>
    <w:rsid w:val="07F5B652"/>
    <w:rsid w:val="07FDF19A"/>
    <w:rsid w:val="0800D82D"/>
    <w:rsid w:val="08484D16"/>
    <w:rsid w:val="084976FD"/>
    <w:rsid w:val="0862076D"/>
    <w:rsid w:val="086AFDF3"/>
    <w:rsid w:val="08759B06"/>
    <w:rsid w:val="08811E65"/>
    <w:rsid w:val="0884D231"/>
    <w:rsid w:val="088EF82A"/>
    <w:rsid w:val="08998603"/>
    <w:rsid w:val="089E26D2"/>
    <w:rsid w:val="08A91966"/>
    <w:rsid w:val="08AC9DAA"/>
    <w:rsid w:val="08B3DB23"/>
    <w:rsid w:val="08BE0EEE"/>
    <w:rsid w:val="08C8F6D1"/>
    <w:rsid w:val="08D1F17D"/>
    <w:rsid w:val="08D5277F"/>
    <w:rsid w:val="0900150F"/>
    <w:rsid w:val="0907086A"/>
    <w:rsid w:val="0936214D"/>
    <w:rsid w:val="0946A604"/>
    <w:rsid w:val="098CFC7E"/>
    <w:rsid w:val="098E141D"/>
    <w:rsid w:val="0990EDAB"/>
    <w:rsid w:val="09A27A5B"/>
    <w:rsid w:val="09B87A22"/>
    <w:rsid w:val="09E41D77"/>
    <w:rsid w:val="09F9CFB0"/>
    <w:rsid w:val="0A058485"/>
    <w:rsid w:val="0A211909"/>
    <w:rsid w:val="0A28FE0D"/>
    <w:rsid w:val="0A31593D"/>
    <w:rsid w:val="0A36FB60"/>
    <w:rsid w:val="0A634A15"/>
    <w:rsid w:val="0A89AF21"/>
    <w:rsid w:val="0A9A66C7"/>
    <w:rsid w:val="0AD509B2"/>
    <w:rsid w:val="0ADE9CAB"/>
    <w:rsid w:val="0AE385C2"/>
    <w:rsid w:val="0AE3D9AB"/>
    <w:rsid w:val="0AEB8A42"/>
    <w:rsid w:val="0B0BF596"/>
    <w:rsid w:val="0B1F2C97"/>
    <w:rsid w:val="0B2CF040"/>
    <w:rsid w:val="0B46576C"/>
    <w:rsid w:val="0B5BFB3B"/>
    <w:rsid w:val="0B5D5DAD"/>
    <w:rsid w:val="0B7337C4"/>
    <w:rsid w:val="0B87D436"/>
    <w:rsid w:val="0B8D5E41"/>
    <w:rsid w:val="0B9427CB"/>
    <w:rsid w:val="0BA01D0B"/>
    <w:rsid w:val="0BBBAB62"/>
    <w:rsid w:val="0BD35587"/>
    <w:rsid w:val="0BECDAA4"/>
    <w:rsid w:val="0BFF1E49"/>
    <w:rsid w:val="0C05C8A7"/>
    <w:rsid w:val="0C0EDC7D"/>
    <w:rsid w:val="0C1AE5F0"/>
    <w:rsid w:val="0C2506B5"/>
    <w:rsid w:val="0C25227B"/>
    <w:rsid w:val="0CA16E10"/>
    <w:rsid w:val="0CA7C5F7"/>
    <w:rsid w:val="0CC573D2"/>
    <w:rsid w:val="0CCD7EF5"/>
    <w:rsid w:val="0CDEF6F7"/>
    <w:rsid w:val="0CE75238"/>
    <w:rsid w:val="0D036025"/>
    <w:rsid w:val="0D0EEE13"/>
    <w:rsid w:val="0D1544DC"/>
    <w:rsid w:val="0D173ACF"/>
    <w:rsid w:val="0D1E6D25"/>
    <w:rsid w:val="0D20CCB9"/>
    <w:rsid w:val="0D3E970D"/>
    <w:rsid w:val="0D409CFF"/>
    <w:rsid w:val="0D7B2F1B"/>
    <w:rsid w:val="0D7F6EE4"/>
    <w:rsid w:val="0D8C7895"/>
    <w:rsid w:val="0DB66932"/>
    <w:rsid w:val="0DF0FC34"/>
    <w:rsid w:val="0DF7C544"/>
    <w:rsid w:val="0E055A30"/>
    <w:rsid w:val="0E2EFA96"/>
    <w:rsid w:val="0E6EE9B4"/>
    <w:rsid w:val="0EAB85F4"/>
    <w:rsid w:val="0EC0A347"/>
    <w:rsid w:val="0EDBD0AF"/>
    <w:rsid w:val="0EDC361C"/>
    <w:rsid w:val="0EF44175"/>
    <w:rsid w:val="0EFCF144"/>
    <w:rsid w:val="0F0BF086"/>
    <w:rsid w:val="0F2E2BC9"/>
    <w:rsid w:val="0F33FA1B"/>
    <w:rsid w:val="0F3ED248"/>
    <w:rsid w:val="0F4FFB8C"/>
    <w:rsid w:val="0F5E5F73"/>
    <w:rsid w:val="0F714274"/>
    <w:rsid w:val="0FBF46E3"/>
    <w:rsid w:val="0FCB46B7"/>
    <w:rsid w:val="0FF016E1"/>
    <w:rsid w:val="0FF2D058"/>
    <w:rsid w:val="10359470"/>
    <w:rsid w:val="105036F9"/>
    <w:rsid w:val="1051A8F1"/>
    <w:rsid w:val="108B651B"/>
    <w:rsid w:val="108E7026"/>
    <w:rsid w:val="10A1E479"/>
    <w:rsid w:val="10C37596"/>
    <w:rsid w:val="10E58000"/>
    <w:rsid w:val="1102D3A4"/>
    <w:rsid w:val="110CA664"/>
    <w:rsid w:val="11193C90"/>
    <w:rsid w:val="1127B13D"/>
    <w:rsid w:val="1132F19F"/>
    <w:rsid w:val="113B35D5"/>
    <w:rsid w:val="1149122D"/>
    <w:rsid w:val="1156BD62"/>
    <w:rsid w:val="1198599E"/>
    <w:rsid w:val="11A5749F"/>
    <w:rsid w:val="11B6BF54"/>
    <w:rsid w:val="11B73F2D"/>
    <w:rsid w:val="11DA7E78"/>
    <w:rsid w:val="11E87A6C"/>
    <w:rsid w:val="11E9952C"/>
    <w:rsid w:val="1216969F"/>
    <w:rsid w:val="12197AEF"/>
    <w:rsid w:val="12615EA9"/>
    <w:rsid w:val="127F9048"/>
    <w:rsid w:val="128C504F"/>
    <w:rsid w:val="12AECA5E"/>
    <w:rsid w:val="12D3A51E"/>
    <w:rsid w:val="12D83D6B"/>
    <w:rsid w:val="13048B67"/>
    <w:rsid w:val="13186DA9"/>
    <w:rsid w:val="132539A0"/>
    <w:rsid w:val="137A8F05"/>
    <w:rsid w:val="13859C4D"/>
    <w:rsid w:val="13A0AE0D"/>
    <w:rsid w:val="13A95973"/>
    <w:rsid w:val="13B3D252"/>
    <w:rsid w:val="13B70821"/>
    <w:rsid w:val="13BD473B"/>
    <w:rsid w:val="13EB8D92"/>
    <w:rsid w:val="13EED016"/>
    <w:rsid w:val="13F23863"/>
    <w:rsid w:val="141098D9"/>
    <w:rsid w:val="146E7454"/>
    <w:rsid w:val="14742741"/>
    <w:rsid w:val="14C7A5C7"/>
    <w:rsid w:val="14DE67A9"/>
    <w:rsid w:val="14F50EA6"/>
    <w:rsid w:val="14F8F837"/>
    <w:rsid w:val="1511BB78"/>
    <w:rsid w:val="151D5900"/>
    <w:rsid w:val="152A57D0"/>
    <w:rsid w:val="15401670"/>
    <w:rsid w:val="1543A7DA"/>
    <w:rsid w:val="154E0218"/>
    <w:rsid w:val="155253B3"/>
    <w:rsid w:val="155EEAA7"/>
    <w:rsid w:val="159D8D50"/>
    <w:rsid w:val="15AAB346"/>
    <w:rsid w:val="15C3BD53"/>
    <w:rsid w:val="15ED55E1"/>
    <w:rsid w:val="1608F53C"/>
    <w:rsid w:val="1615DC12"/>
    <w:rsid w:val="162E7FFE"/>
    <w:rsid w:val="16649886"/>
    <w:rsid w:val="167612BD"/>
    <w:rsid w:val="168B0231"/>
    <w:rsid w:val="168DC0EE"/>
    <w:rsid w:val="16B31625"/>
    <w:rsid w:val="16C1E164"/>
    <w:rsid w:val="16D4D750"/>
    <w:rsid w:val="1744A9E8"/>
    <w:rsid w:val="174A2866"/>
    <w:rsid w:val="175BAB46"/>
    <w:rsid w:val="177DC834"/>
    <w:rsid w:val="1781D51F"/>
    <w:rsid w:val="17875599"/>
    <w:rsid w:val="178D967A"/>
    <w:rsid w:val="179226B9"/>
    <w:rsid w:val="179FB18B"/>
    <w:rsid w:val="17CF135D"/>
    <w:rsid w:val="18298906"/>
    <w:rsid w:val="18443117"/>
    <w:rsid w:val="18543434"/>
    <w:rsid w:val="187E7BA5"/>
    <w:rsid w:val="188F529D"/>
    <w:rsid w:val="18C09295"/>
    <w:rsid w:val="18F9C5E8"/>
    <w:rsid w:val="190298CA"/>
    <w:rsid w:val="1920FF6A"/>
    <w:rsid w:val="1935712A"/>
    <w:rsid w:val="194761D6"/>
    <w:rsid w:val="19495443"/>
    <w:rsid w:val="19777DF5"/>
    <w:rsid w:val="19B1E723"/>
    <w:rsid w:val="19C884B7"/>
    <w:rsid w:val="19DDE305"/>
    <w:rsid w:val="19E05A1F"/>
    <w:rsid w:val="1A1271D2"/>
    <w:rsid w:val="1A14C1F3"/>
    <w:rsid w:val="1A61EA9E"/>
    <w:rsid w:val="1A6B1F9E"/>
    <w:rsid w:val="1A835125"/>
    <w:rsid w:val="1AABC586"/>
    <w:rsid w:val="1AEACE5D"/>
    <w:rsid w:val="1AF6314F"/>
    <w:rsid w:val="1B30A756"/>
    <w:rsid w:val="1B422340"/>
    <w:rsid w:val="1B64E7B3"/>
    <w:rsid w:val="1B681BCA"/>
    <w:rsid w:val="1B771D08"/>
    <w:rsid w:val="1B8A4E69"/>
    <w:rsid w:val="1B9E7446"/>
    <w:rsid w:val="1BB09254"/>
    <w:rsid w:val="1BE44D98"/>
    <w:rsid w:val="1BE6E817"/>
    <w:rsid w:val="1C1689DB"/>
    <w:rsid w:val="1C23F223"/>
    <w:rsid w:val="1C2909F1"/>
    <w:rsid w:val="1C4A4333"/>
    <w:rsid w:val="1C89D495"/>
    <w:rsid w:val="1C90FDEB"/>
    <w:rsid w:val="1CB42B6E"/>
    <w:rsid w:val="1CBC1DBB"/>
    <w:rsid w:val="1CE23C02"/>
    <w:rsid w:val="1CE85DBE"/>
    <w:rsid w:val="1D21953D"/>
    <w:rsid w:val="1D21BEBF"/>
    <w:rsid w:val="1D394CF3"/>
    <w:rsid w:val="1D4808E5"/>
    <w:rsid w:val="1D4BFE05"/>
    <w:rsid w:val="1D5848DF"/>
    <w:rsid w:val="1D593D38"/>
    <w:rsid w:val="1D5EE6CB"/>
    <w:rsid w:val="1D670DDD"/>
    <w:rsid w:val="1D74A277"/>
    <w:rsid w:val="1DB29222"/>
    <w:rsid w:val="1DBED3F4"/>
    <w:rsid w:val="1DE81B36"/>
    <w:rsid w:val="1DFA91E0"/>
    <w:rsid w:val="1DFFC214"/>
    <w:rsid w:val="1E194A45"/>
    <w:rsid w:val="1E2EB31A"/>
    <w:rsid w:val="1E3DB9FB"/>
    <w:rsid w:val="1E4079B0"/>
    <w:rsid w:val="1E4E300F"/>
    <w:rsid w:val="1E52AC53"/>
    <w:rsid w:val="1E5A0A1C"/>
    <w:rsid w:val="1E83ACE7"/>
    <w:rsid w:val="1E8DFCDE"/>
    <w:rsid w:val="1E94F940"/>
    <w:rsid w:val="1E990EDA"/>
    <w:rsid w:val="1EAB1C7C"/>
    <w:rsid w:val="1EB73FE4"/>
    <w:rsid w:val="1EB850F5"/>
    <w:rsid w:val="1EC6D775"/>
    <w:rsid w:val="1EF1E90D"/>
    <w:rsid w:val="1F0A42A9"/>
    <w:rsid w:val="1F0FB437"/>
    <w:rsid w:val="1F62E2C3"/>
    <w:rsid w:val="1F763F1B"/>
    <w:rsid w:val="1FB8B608"/>
    <w:rsid w:val="1FC0E7A3"/>
    <w:rsid w:val="1FE88903"/>
    <w:rsid w:val="1FF4C963"/>
    <w:rsid w:val="1FF8F6CA"/>
    <w:rsid w:val="1FFA18D9"/>
    <w:rsid w:val="2016A5F3"/>
    <w:rsid w:val="20196015"/>
    <w:rsid w:val="2019DCC4"/>
    <w:rsid w:val="201F59DD"/>
    <w:rsid w:val="202BFEA2"/>
    <w:rsid w:val="202E5C37"/>
    <w:rsid w:val="20323AB6"/>
    <w:rsid w:val="2043E84C"/>
    <w:rsid w:val="20605619"/>
    <w:rsid w:val="2078F29F"/>
    <w:rsid w:val="20AA297A"/>
    <w:rsid w:val="20DE3C5C"/>
    <w:rsid w:val="20F927AF"/>
    <w:rsid w:val="2103AAD3"/>
    <w:rsid w:val="214CF193"/>
    <w:rsid w:val="2196A9BC"/>
    <w:rsid w:val="21A5F875"/>
    <w:rsid w:val="21B79028"/>
    <w:rsid w:val="21BDD8D5"/>
    <w:rsid w:val="21E39231"/>
    <w:rsid w:val="21EBB4EB"/>
    <w:rsid w:val="21F97524"/>
    <w:rsid w:val="21FA32ED"/>
    <w:rsid w:val="22022704"/>
    <w:rsid w:val="225106C0"/>
    <w:rsid w:val="2277B696"/>
    <w:rsid w:val="227DB548"/>
    <w:rsid w:val="2281A6FD"/>
    <w:rsid w:val="229201BC"/>
    <w:rsid w:val="22A21B80"/>
    <w:rsid w:val="22A2B817"/>
    <w:rsid w:val="22D3D2FC"/>
    <w:rsid w:val="23009AC5"/>
    <w:rsid w:val="2318913E"/>
    <w:rsid w:val="231B0BBD"/>
    <w:rsid w:val="233954CD"/>
    <w:rsid w:val="2339E9F3"/>
    <w:rsid w:val="23432603"/>
    <w:rsid w:val="2385AF88"/>
    <w:rsid w:val="239D734D"/>
    <w:rsid w:val="23AE4F68"/>
    <w:rsid w:val="23B2E3E1"/>
    <w:rsid w:val="23B4E209"/>
    <w:rsid w:val="23B86302"/>
    <w:rsid w:val="23E8C77A"/>
    <w:rsid w:val="23E98E4E"/>
    <w:rsid w:val="2419746E"/>
    <w:rsid w:val="243F6326"/>
    <w:rsid w:val="243FC883"/>
    <w:rsid w:val="244BC24B"/>
    <w:rsid w:val="24616453"/>
    <w:rsid w:val="247BBE1D"/>
    <w:rsid w:val="24923E13"/>
    <w:rsid w:val="24B4619F"/>
    <w:rsid w:val="24B6B3BD"/>
    <w:rsid w:val="24B7B338"/>
    <w:rsid w:val="24BF861C"/>
    <w:rsid w:val="24C8528F"/>
    <w:rsid w:val="24CF85B5"/>
    <w:rsid w:val="24F967EC"/>
    <w:rsid w:val="24FCC478"/>
    <w:rsid w:val="2508736C"/>
    <w:rsid w:val="2531D3AF"/>
    <w:rsid w:val="253496FB"/>
    <w:rsid w:val="2548F3C7"/>
    <w:rsid w:val="254F0188"/>
    <w:rsid w:val="2595C408"/>
    <w:rsid w:val="25A454B0"/>
    <w:rsid w:val="25C0CA33"/>
    <w:rsid w:val="25DC5AE3"/>
    <w:rsid w:val="25E5FFD4"/>
    <w:rsid w:val="25E7DB21"/>
    <w:rsid w:val="25F26FDD"/>
    <w:rsid w:val="2612BAED"/>
    <w:rsid w:val="261CD42D"/>
    <w:rsid w:val="2628EA3D"/>
    <w:rsid w:val="263B3DDB"/>
    <w:rsid w:val="2644AE06"/>
    <w:rsid w:val="26503200"/>
    <w:rsid w:val="2667AF92"/>
    <w:rsid w:val="26965BE5"/>
    <w:rsid w:val="269E0961"/>
    <w:rsid w:val="269F35BC"/>
    <w:rsid w:val="269F8D1D"/>
    <w:rsid w:val="26A06933"/>
    <w:rsid w:val="26B035CB"/>
    <w:rsid w:val="26C4164D"/>
    <w:rsid w:val="26C76156"/>
    <w:rsid w:val="27033676"/>
    <w:rsid w:val="270FB97C"/>
    <w:rsid w:val="2741DC57"/>
    <w:rsid w:val="2745649C"/>
    <w:rsid w:val="274E7A26"/>
    <w:rsid w:val="274F7B16"/>
    <w:rsid w:val="27659961"/>
    <w:rsid w:val="27779D2A"/>
    <w:rsid w:val="2783C437"/>
    <w:rsid w:val="278E8059"/>
    <w:rsid w:val="2791C88C"/>
    <w:rsid w:val="279E269F"/>
    <w:rsid w:val="27BFE612"/>
    <w:rsid w:val="27D7C0CB"/>
    <w:rsid w:val="27F32A15"/>
    <w:rsid w:val="2815786B"/>
    <w:rsid w:val="281B3A4B"/>
    <w:rsid w:val="2828B6D9"/>
    <w:rsid w:val="284DA161"/>
    <w:rsid w:val="2851460A"/>
    <w:rsid w:val="285C6188"/>
    <w:rsid w:val="285C81BB"/>
    <w:rsid w:val="28697471"/>
    <w:rsid w:val="287407EA"/>
    <w:rsid w:val="2883A04C"/>
    <w:rsid w:val="2888305B"/>
    <w:rsid w:val="2893D19D"/>
    <w:rsid w:val="28A2FA80"/>
    <w:rsid w:val="28A8EB0E"/>
    <w:rsid w:val="28B601C4"/>
    <w:rsid w:val="28C1F09E"/>
    <w:rsid w:val="28C558DC"/>
    <w:rsid w:val="28DBEB5C"/>
    <w:rsid w:val="28E0C4BC"/>
    <w:rsid w:val="28EBE496"/>
    <w:rsid w:val="28FA382B"/>
    <w:rsid w:val="2905FDD9"/>
    <w:rsid w:val="291585F6"/>
    <w:rsid w:val="29182CB4"/>
    <w:rsid w:val="292883FE"/>
    <w:rsid w:val="294944C4"/>
    <w:rsid w:val="2952D860"/>
    <w:rsid w:val="2969D15E"/>
    <w:rsid w:val="297AA35C"/>
    <w:rsid w:val="298FBA10"/>
    <w:rsid w:val="2990EF5B"/>
    <w:rsid w:val="299A38FD"/>
    <w:rsid w:val="29D2BD1F"/>
    <w:rsid w:val="29DF879D"/>
    <w:rsid w:val="29ED166B"/>
    <w:rsid w:val="29FBF45D"/>
    <w:rsid w:val="2A032B66"/>
    <w:rsid w:val="2A25C7D4"/>
    <w:rsid w:val="2A2FFA61"/>
    <w:rsid w:val="2A3D0B1E"/>
    <w:rsid w:val="2A40788A"/>
    <w:rsid w:val="2A4CEAC0"/>
    <w:rsid w:val="2A5479BA"/>
    <w:rsid w:val="2A62F80B"/>
    <w:rsid w:val="2A64EDC3"/>
    <w:rsid w:val="2A71BA41"/>
    <w:rsid w:val="2A8E2F4B"/>
    <w:rsid w:val="2AA1C37E"/>
    <w:rsid w:val="2ABB3A06"/>
    <w:rsid w:val="2AF907C5"/>
    <w:rsid w:val="2B01E4E1"/>
    <w:rsid w:val="2B0D1404"/>
    <w:rsid w:val="2B176AE9"/>
    <w:rsid w:val="2B28DA63"/>
    <w:rsid w:val="2B431770"/>
    <w:rsid w:val="2B4C0234"/>
    <w:rsid w:val="2B4D6B63"/>
    <w:rsid w:val="2B5C82D4"/>
    <w:rsid w:val="2B74D42B"/>
    <w:rsid w:val="2B895FCD"/>
    <w:rsid w:val="2BA1DF95"/>
    <w:rsid w:val="2BE064F8"/>
    <w:rsid w:val="2C001CC1"/>
    <w:rsid w:val="2C46924A"/>
    <w:rsid w:val="2C6D35F1"/>
    <w:rsid w:val="2C746A96"/>
    <w:rsid w:val="2C851640"/>
    <w:rsid w:val="2CC46688"/>
    <w:rsid w:val="2CDA81C7"/>
    <w:rsid w:val="2CEEBC3B"/>
    <w:rsid w:val="2CFD6311"/>
    <w:rsid w:val="2D1DAA29"/>
    <w:rsid w:val="2D24B72D"/>
    <w:rsid w:val="2D2A66C2"/>
    <w:rsid w:val="2D2AEBF7"/>
    <w:rsid w:val="2D38DBA1"/>
    <w:rsid w:val="2D4ECF1A"/>
    <w:rsid w:val="2D515713"/>
    <w:rsid w:val="2D58E353"/>
    <w:rsid w:val="2D5C0DFF"/>
    <w:rsid w:val="2D74DA01"/>
    <w:rsid w:val="2D7B6125"/>
    <w:rsid w:val="2DA65F89"/>
    <w:rsid w:val="2DBAC7A8"/>
    <w:rsid w:val="2DCFB76B"/>
    <w:rsid w:val="2DF64381"/>
    <w:rsid w:val="2E2BAC3C"/>
    <w:rsid w:val="2E3E2B19"/>
    <w:rsid w:val="2E4AE469"/>
    <w:rsid w:val="2E62CA22"/>
    <w:rsid w:val="2E7B27DE"/>
    <w:rsid w:val="2E8579A0"/>
    <w:rsid w:val="2E9A789C"/>
    <w:rsid w:val="2EBA61EE"/>
    <w:rsid w:val="2ED126DC"/>
    <w:rsid w:val="2ED92042"/>
    <w:rsid w:val="2EE1CE8E"/>
    <w:rsid w:val="2EE4E805"/>
    <w:rsid w:val="2EE50165"/>
    <w:rsid w:val="2EF9BAD5"/>
    <w:rsid w:val="2F00B4E2"/>
    <w:rsid w:val="2F051714"/>
    <w:rsid w:val="2F08ECE8"/>
    <w:rsid w:val="2F17EEBC"/>
    <w:rsid w:val="2F18BA05"/>
    <w:rsid w:val="2F3E6666"/>
    <w:rsid w:val="2F3EB2A3"/>
    <w:rsid w:val="2F410A37"/>
    <w:rsid w:val="2F620343"/>
    <w:rsid w:val="2F7D8D89"/>
    <w:rsid w:val="2F9BC47C"/>
    <w:rsid w:val="2FB74AEC"/>
    <w:rsid w:val="2FBCC24E"/>
    <w:rsid w:val="2FE8CB87"/>
    <w:rsid w:val="2FF9B4A9"/>
    <w:rsid w:val="2FFBCABE"/>
    <w:rsid w:val="2FFCFBB6"/>
    <w:rsid w:val="30037F3E"/>
    <w:rsid w:val="3008AD6A"/>
    <w:rsid w:val="302B8675"/>
    <w:rsid w:val="30310A24"/>
    <w:rsid w:val="30327233"/>
    <w:rsid w:val="30471BAD"/>
    <w:rsid w:val="305B710E"/>
    <w:rsid w:val="305E7346"/>
    <w:rsid w:val="3061F05B"/>
    <w:rsid w:val="30748656"/>
    <w:rsid w:val="307949CA"/>
    <w:rsid w:val="308B8807"/>
    <w:rsid w:val="30B60F2A"/>
    <w:rsid w:val="30CCA10A"/>
    <w:rsid w:val="30D47ECC"/>
    <w:rsid w:val="30E0CF57"/>
    <w:rsid w:val="30E134C4"/>
    <w:rsid w:val="30E68360"/>
    <w:rsid w:val="30EA85B0"/>
    <w:rsid w:val="311E25F8"/>
    <w:rsid w:val="31601770"/>
    <w:rsid w:val="317CF5E8"/>
    <w:rsid w:val="319C0695"/>
    <w:rsid w:val="31CD8B31"/>
    <w:rsid w:val="31EB5944"/>
    <w:rsid w:val="31F8833C"/>
    <w:rsid w:val="31FA2524"/>
    <w:rsid w:val="32130D25"/>
    <w:rsid w:val="32448DB6"/>
    <w:rsid w:val="3245A4E7"/>
    <w:rsid w:val="3252C6FE"/>
    <w:rsid w:val="325B7276"/>
    <w:rsid w:val="329CF76A"/>
    <w:rsid w:val="32A0EDF0"/>
    <w:rsid w:val="32A66B85"/>
    <w:rsid w:val="32A82344"/>
    <w:rsid w:val="32A8C72D"/>
    <w:rsid w:val="32AB7054"/>
    <w:rsid w:val="32ABF939"/>
    <w:rsid w:val="32BE39E4"/>
    <w:rsid w:val="32C0BD78"/>
    <w:rsid w:val="32C2629E"/>
    <w:rsid w:val="32CD8785"/>
    <w:rsid w:val="3303EEE9"/>
    <w:rsid w:val="33079501"/>
    <w:rsid w:val="3309AC78"/>
    <w:rsid w:val="3323090F"/>
    <w:rsid w:val="332AFD85"/>
    <w:rsid w:val="335C57C5"/>
    <w:rsid w:val="33638E2B"/>
    <w:rsid w:val="336E136C"/>
    <w:rsid w:val="33844584"/>
    <w:rsid w:val="3398DBD7"/>
    <w:rsid w:val="33D1683E"/>
    <w:rsid w:val="33E48ABF"/>
    <w:rsid w:val="340B3B5C"/>
    <w:rsid w:val="34212A3D"/>
    <w:rsid w:val="34786710"/>
    <w:rsid w:val="348E408F"/>
    <w:rsid w:val="3490D2BF"/>
    <w:rsid w:val="34AA8390"/>
    <w:rsid w:val="34B75A19"/>
    <w:rsid w:val="34B98D3C"/>
    <w:rsid w:val="34BB9980"/>
    <w:rsid w:val="34BF5626"/>
    <w:rsid w:val="350AAFC4"/>
    <w:rsid w:val="35249C27"/>
    <w:rsid w:val="3564A0D6"/>
    <w:rsid w:val="356958A5"/>
    <w:rsid w:val="356C379E"/>
    <w:rsid w:val="358252AF"/>
    <w:rsid w:val="35A675C0"/>
    <w:rsid w:val="35B3DBF5"/>
    <w:rsid w:val="35C85A64"/>
    <w:rsid w:val="35E969D3"/>
    <w:rsid w:val="35EDF43C"/>
    <w:rsid w:val="360F84CB"/>
    <w:rsid w:val="3610251C"/>
    <w:rsid w:val="36242E07"/>
    <w:rsid w:val="362CA320"/>
    <w:rsid w:val="362F58C4"/>
    <w:rsid w:val="3672B8E5"/>
    <w:rsid w:val="36761757"/>
    <w:rsid w:val="36762897"/>
    <w:rsid w:val="368FBA75"/>
    <w:rsid w:val="368FFB17"/>
    <w:rsid w:val="36C509AA"/>
    <w:rsid w:val="36DE8064"/>
    <w:rsid w:val="36EFA6F5"/>
    <w:rsid w:val="36F7252A"/>
    <w:rsid w:val="370ECF38"/>
    <w:rsid w:val="3726541A"/>
    <w:rsid w:val="37615353"/>
    <w:rsid w:val="37769E04"/>
    <w:rsid w:val="37838EC7"/>
    <w:rsid w:val="37AA08E8"/>
    <w:rsid w:val="37AA6C60"/>
    <w:rsid w:val="37BE6270"/>
    <w:rsid w:val="37C15066"/>
    <w:rsid w:val="37CDE0CF"/>
    <w:rsid w:val="37CE1E9D"/>
    <w:rsid w:val="37E2F7AA"/>
    <w:rsid w:val="37E781E9"/>
    <w:rsid w:val="37F3988E"/>
    <w:rsid w:val="37F5AF59"/>
    <w:rsid w:val="38009427"/>
    <w:rsid w:val="382271DD"/>
    <w:rsid w:val="3855C636"/>
    <w:rsid w:val="385FD5C3"/>
    <w:rsid w:val="386EF675"/>
    <w:rsid w:val="38723EFE"/>
    <w:rsid w:val="388C9674"/>
    <w:rsid w:val="3898BF2B"/>
    <w:rsid w:val="38AB20A8"/>
    <w:rsid w:val="38B07C86"/>
    <w:rsid w:val="38B644F7"/>
    <w:rsid w:val="38E24AC9"/>
    <w:rsid w:val="38F48975"/>
    <w:rsid w:val="38F7BE7B"/>
    <w:rsid w:val="392BB884"/>
    <w:rsid w:val="3945AA35"/>
    <w:rsid w:val="395A32D1"/>
    <w:rsid w:val="3977CF78"/>
    <w:rsid w:val="39A84941"/>
    <w:rsid w:val="39AE56E6"/>
    <w:rsid w:val="39C888D6"/>
    <w:rsid w:val="39F27264"/>
    <w:rsid w:val="39F45C53"/>
    <w:rsid w:val="3A018DB1"/>
    <w:rsid w:val="3A1641EC"/>
    <w:rsid w:val="3A1D5938"/>
    <w:rsid w:val="3A21859E"/>
    <w:rsid w:val="3A250014"/>
    <w:rsid w:val="3A291122"/>
    <w:rsid w:val="3A5B1072"/>
    <w:rsid w:val="3A7387E5"/>
    <w:rsid w:val="3A7F2097"/>
    <w:rsid w:val="3A8777BA"/>
    <w:rsid w:val="3A8940DC"/>
    <w:rsid w:val="3A9782BE"/>
    <w:rsid w:val="3AA6904E"/>
    <w:rsid w:val="3AADC081"/>
    <w:rsid w:val="3ADDB074"/>
    <w:rsid w:val="3AE2D78E"/>
    <w:rsid w:val="3AE4250C"/>
    <w:rsid w:val="3AF9D4C5"/>
    <w:rsid w:val="3B00085D"/>
    <w:rsid w:val="3B11B740"/>
    <w:rsid w:val="3B1C95EE"/>
    <w:rsid w:val="3B22E09C"/>
    <w:rsid w:val="3B5E386E"/>
    <w:rsid w:val="3B630AD7"/>
    <w:rsid w:val="3B725777"/>
    <w:rsid w:val="3B7D6329"/>
    <w:rsid w:val="3B92BE8E"/>
    <w:rsid w:val="3BB7C9BA"/>
    <w:rsid w:val="3BB89141"/>
    <w:rsid w:val="3BC4B894"/>
    <w:rsid w:val="3BD32900"/>
    <w:rsid w:val="3C1EE303"/>
    <w:rsid w:val="3C23318B"/>
    <w:rsid w:val="3C3EA1D6"/>
    <w:rsid w:val="3C44FABE"/>
    <w:rsid w:val="3C5F955B"/>
    <w:rsid w:val="3C6EFB78"/>
    <w:rsid w:val="3C73C21E"/>
    <w:rsid w:val="3C863CDA"/>
    <w:rsid w:val="3CA013C4"/>
    <w:rsid w:val="3CE40EFC"/>
    <w:rsid w:val="3CFAA577"/>
    <w:rsid w:val="3D078D41"/>
    <w:rsid w:val="3D2339B0"/>
    <w:rsid w:val="3D26DFFC"/>
    <w:rsid w:val="3D397BC6"/>
    <w:rsid w:val="3D41E19C"/>
    <w:rsid w:val="3D5C2B8C"/>
    <w:rsid w:val="3D6BF3D0"/>
    <w:rsid w:val="3DA43524"/>
    <w:rsid w:val="3DAD0EA7"/>
    <w:rsid w:val="3DBB9D2D"/>
    <w:rsid w:val="3DC37E89"/>
    <w:rsid w:val="3DC84AD4"/>
    <w:rsid w:val="3DCAA08A"/>
    <w:rsid w:val="3DE9A29B"/>
    <w:rsid w:val="3DF3F6CE"/>
    <w:rsid w:val="3DFA66F8"/>
    <w:rsid w:val="3E0F537C"/>
    <w:rsid w:val="3E323DC0"/>
    <w:rsid w:val="3E350409"/>
    <w:rsid w:val="3E45C881"/>
    <w:rsid w:val="3E8E84B8"/>
    <w:rsid w:val="3EAE4C4F"/>
    <w:rsid w:val="3EDDD2A6"/>
    <w:rsid w:val="3EDE5A40"/>
    <w:rsid w:val="3EE7AFF9"/>
    <w:rsid w:val="3F066C8E"/>
    <w:rsid w:val="3F13FDC3"/>
    <w:rsid w:val="3F1C2B2C"/>
    <w:rsid w:val="3F26BBCB"/>
    <w:rsid w:val="3F2DE147"/>
    <w:rsid w:val="3F454788"/>
    <w:rsid w:val="3F516982"/>
    <w:rsid w:val="3F51FB64"/>
    <w:rsid w:val="3F562DFF"/>
    <w:rsid w:val="3F72A872"/>
    <w:rsid w:val="3F845715"/>
    <w:rsid w:val="3F9122DE"/>
    <w:rsid w:val="3FA383EF"/>
    <w:rsid w:val="3FB812BF"/>
    <w:rsid w:val="3FBD6AE0"/>
    <w:rsid w:val="3FC97455"/>
    <w:rsid w:val="3FC9876A"/>
    <w:rsid w:val="3FD7839A"/>
    <w:rsid w:val="3FD92405"/>
    <w:rsid w:val="3FEA1713"/>
    <w:rsid w:val="402EE7C4"/>
    <w:rsid w:val="4043302F"/>
    <w:rsid w:val="40675AFF"/>
    <w:rsid w:val="40B88490"/>
    <w:rsid w:val="40CAD43F"/>
    <w:rsid w:val="40FB1A27"/>
    <w:rsid w:val="412B78E2"/>
    <w:rsid w:val="412C9D1A"/>
    <w:rsid w:val="412F57A9"/>
    <w:rsid w:val="41388FB5"/>
    <w:rsid w:val="41ACB124"/>
    <w:rsid w:val="41AF178D"/>
    <w:rsid w:val="41C214D5"/>
    <w:rsid w:val="41D40882"/>
    <w:rsid w:val="421B5738"/>
    <w:rsid w:val="42239300"/>
    <w:rsid w:val="42372E05"/>
    <w:rsid w:val="424FDD3C"/>
    <w:rsid w:val="428F8DCA"/>
    <w:rsid w:val="42AD0C4B"/>
    <w:rsid w:val="42D48DC4"/>
    <w:rsid w:val="42D51798"/>
    <w:rsid w:val="42F16F35"/>
    <w:rsid w:val="42F8588C"/>
    <w:rsid w:val="4305E620"/>
    <w:rsid w:val="434D79A9"/>
    <w:rsid w:val="4357AFD3"/>
    <w:rsid w:val="435E8C09"/>
    <w:rsid w:val="438DEEC2"/>
    <w:rsid w:val="439C6774"/>
    <w:rsid w:val="439D4E07"/>
    <w:rsid w:val="43B25BCA"/>
    <w:rsid w:val="43D48174"/>
    <w:rsid w:val="43ED1196"/>
    <w:rsid w:val="440080FF"/>
    <w:rsid w:val="442FD902"/>
    <w:rsid w:val="444285E6"/>
    <w:rsid w:val="444DF018"/>
    <w:rsid w:val="445436B1"/>
    <w:rsid w:val="4496BEF7"/>
    <w:rsid w:val="44A46E4F"/>
    <w:rsid w:val="44B1C01F"/>
    <w:rsid w:val="44C8C3FB"/>
    <w:rsid w:val="44F0C4AB"/>
    <w:rsid w:val="44FA9476"/>
    <w:rsid w:val="45015597"/>
    <w:rsid w:val="45161D33"/>
    <w:rsid w:val="4537A9A2"/>
    <w:rsid w:val="454F3E53"/>
    <w:rsid w:val="457671C4"/>
    <w:rsid w:val="45900C66"/>
    <w:rsid w:val="459086B0"/>
    <w:rsid w:val="4596CA7E"/>
    <w:rsid w:val="45AD57F1"/>
    <w:rsid w:val="45C21064"/>
    <w:rsid w:val="45C8F731"/>
    <w:rsid w:val="45F4A0FC"/>
    <w:rsid w:val="460C747A"/>
    <w:rsid w:val="460D9C38"/>
    <w:rsid w:val="462DECB8"/>
    <w:rsid w:val="463944A3"/>
    <w:rsid w:val="4651E217"/>
    <w:rsid w:val="46685955"/>
    <w:rsid w:val="46998B76"/>
    <w:rsid w:val="46BBF7BC"/>
    <w:rsid w:val="46CB2CAE"/>
    <w:rsid w:val="46D28962"/>
    <w:rsid w:val="46D66605"/>
    <w:rsid w:val="46EA58F6"/>
    <w:rsid w:val="46EF731F"/>
    <w:rsid w:val="47021668"/>
    <w:rsid w:val="4722E01C"/>
    <w:rsid w:val="47321AE6"/>
    <w:rsid w:val="47448171"/>
    <w:rsid w:val="4747EB9E"/>
    <w:rsid w:val="474B2BC8"/>
    <w:rsid w:val="474C0D9D"/>
    <w:rsid w:val="474E211A"/>
    <w:rsid w:val="474EE907"/>
    <w:rsid w:val="475CFB9A"/>
    <w:rsid w:val="4798BE8C"/>
    <w:rsid w:val="47AD2BA5"/>
    <w:rsid w:val="47BF955F"/>
    <w:rsid w:val="47CE660A"/>
    <w:rsid w:val="47EF34AC"/>
    <w:rsid w:val="481CA54A"/>
    <w:rsid w:val="4836BD0A"/>
    <w:rsid w:val="48401CDF"/>
    <w:rsid w:val="484C4872"/>
    <w:rsid w:val="4852D5B6"/>
    <w:rsid w:val="4855DFF0"/>
    <w:rsid w:val="48583652"/>
    <w:rsid w:val="4863FF7A"/>
    <w:rsid w:val="48769D53"/>
    <w:rsid w:val="4877C32F"/>
    <w:rsid w:val="489800B0"/>
    <w:rsid w:val="48A9FC07"/>
    <w:rsid w:val="48D19CAF"/>
    <w:rsid w:val="48DD2EE8"/>
    <w:rsid w:val="49036FA0"/>
    <w:rsid w:val="492B81BB"/>
    <w:rsid w:val="495030A8"/>
    <w:rsid w:val="497EB9DD"/>
    <w:rsid w:val="499413D9"/>
    <w:rsid w:val="49A6A69B"/>
    <w:rsid w:val="49BD46FD"/>
    <w:rsid w:val="49DDBE06"/>
    <w:rsid w:val="49EBE899"/>
    <w:rsid w:val="49F3AF30"/>
    <w:rsid w:val="49F598BA"/>
    <w:rsid w:val="4A4E730D"/>
    <w:rsid w:val="4A546F26"/>
    <w:rsid w:val="4A66B596"/>
    <w:rsid w:val="4A6C68F9"/>
    <w:rsid w:val="4A729E5E"/>
    <w:rsid w:val="4A773979"/>
    <w:rsid w:val="4A8864C9"/>
    <w:rsid w:val="4AA12131"/>
    <w:rsid w:val="4AD1E862"/>
    <w:rsid w:val="4AFF75EB"/>
    <w:rsid w:val="4B048798"/>
    <w:rsid w:val="4B388063"/>
    <w:rsid w:val="4BA0EB67"/>
    <w:rsid w:val="4BBC21F0"/>
    <w:rsid w:val="4BCA8EF6"/>
    <w:rsid w:val="4BD9FFF1"/>
    <w:rsid w:val="4BDC0CAD"/>
    <w:rsid w:val="4BF05589"/>
    <w:rsid w:val="4BF7D774"/>
    <w:rsid w:val="4C004FB0"/>
    <w:rsid w:val="4C16E7C1"/>
    <w:rsid w:val="4C929062"/>
    <w:rsid w:val="4CA65D3D"/>
    <w:rsid w:val="4CB57021"/>
    <w:rsid w:val="4CB64287"/>
    <w:rsid w:val="4CCD80DB"/>
    <w:rsid w:val="4CDA8E70"/>
    <w:rsid w:val="4CEB8BF4"/>
    <w:rsid w:val="4D0A867E"/>
    <w:rsid w:val="4D0AEEE0"/>
    <w:rsid w:val="4D3E88DD"/>
    <w:rsid w:val="4D3F2852"/>
    <w:rsid w:val="4D6240EE"/>
    <w:rsid w:val="4D6E6BF0"/>
    <w:rsid w:val="4D72FD75"/>
    <w:rsid w:val="4D865281"/>
    <w:rsid w:val="4DB613BF"/>
    <w:rsid w:val="4DBC0B86"/>
    <w:rsid w:val="4DD93D70"/>
    <w:rsid w:val="4DF98277"/>
    <w:rsid w:val="4DFF5E88"/>
    <w:rsid w:val="4E3BF880"/>
    <w:rsid w:val="4E47A318"/>
    <w:rsid w:val="4E4B8309"/>
    <w:rsid w:val="4E9F6144"/>
    <w:rsid w:val="4EB2BAF2"/>
    <w:rsid w:val="4EC378AE"/>
    <w:rsid w:val="4ED4D155"/>
    <w:rsid w:val="4ED649E9"/>
    <w:rsid w:val="4EE02BFE"/>
    <w:rsid w:val="4EF0080F"/>
    <w:rsid w:val="4EF149E7"/>
    <w:rsid w:val="4F2BE581"/>
    <w:rsid w:val="4F3430B2"/>
    <w:rsid w:val="4F61EFBA"/>
    <w:rsid w:val="4F648E05"/>
    <w:rsid w:val="4F677245"/>
    <w:rsid w:val="4F7913A0"/>
    <w:rsid w:val="4FA21636"/>
    <w:rsid w:val="4FF83709"/>
    <w:rsid w:val="50101C09"/>
    <w:rsid w:val="50178CC6"/>
    <w:rsid w:val="501AE04B"/>
    <w:rsid w:val="501D7E75"/>
    <w:rsid w:val="502A8320"/>
    <w:rsid w:val="504EBC4F"/>
    <w:rsid w:val="506283B3"/>
    <w:rsid w:val="5067FE12"/>
    <w:rsid w:val="507C348C"/>
    <w:rsid w:val="50C0DE81"/>
    <w:rsid w:val="50C2E3EB"/>
    <w:rsid w:val="50C4F239"/>
    <w:rsid w:val="50D35B12"/>
    <w:rsid w:val="50DA9E27"/>
    <w:rsid w:val="50DDFAED"/>
    <w:rsid w:val="50FD4B26"/>
    <w:rsid w:val="51304FE8"/>
    <w:rsid w:val="513B9BCD"/>
    <w:rsid w:val="51561006"/>
    <w:rsid w:val="51598524"/>
    <w:rsid w:val="51743EBA"/>
    <w:rsid w:val="518F71DF"/>
    <w:rsid w:val="51976AE5"/>
    <w:rsid w:val="51B2DE58"/>
    <w:rsid w:val="51BE33CC"/>
    <w:rsid w:val="51C8881F"/>
    <w:rsid w:val="51D4D030"/>
    <w:rsid w:val="51D7367E"/>
    <w:rsid w:val="51DE0E7F"/>
    <w:rsid w:val="51F1D135"/>
    <w:rsid w:val="51F970BA"/>
    <w:rsid w:val="5241A98E"/>
    <w:rsid w:val="52465C31"/>
    <w:rsid w:val="524A15A4"/>
    <w:rsid w:val="52506974"/>
    <w:rsid w:val="5255212B"/>
    <w:rsid w:val="52AA5F2B"/>
    <w:rsid w:val="52CF9FE9"/>
    <w:rsid w:val="531C6929"/>
    <w:rsid w:val="53531C43"/>
    <w:rsid w:val="535B7790"/>
    <w:rsid w:val="53642E8F"/>
    <w:rsid w:val="53661959"/>
    <w:rsid w:val="538499D6"/>
    <w:rsid w:val="538C7CBD"/>
    <w:rsid w:val="53962EFC"/>
    <w:rsid w:val="53993F0D"/>
    <w:rsid w:val="53B52CE2"/>
    <w:rsid w:val="540C85EA"/>
    <w:rsid w:val="541C0313"/>
    <w:rsid w:val="543600E3"/>
    <w:rsid w:val="5446C69C"/>
    <w:rsid w:val="54550791"/>
    <w:rsid w:val="54757398"/>
    <w:rsid w:val="54869D5C"/>
    <w:rsid w:val="5498038E"/>
    <w:rsid w:val="54B4DC2A"/>
    <w:rsid w:val="54B93430"/>
    <w:rsid w:val="551FBE50"/>
    <w:rsid w:val="55222964"/>
    <w:rsid w:val="55399B12"/>
    <w:rsid w:val="55438C7F"/>
    <w:rsid w:val="5544AEDA"/>
    <w:rsid w:val="55452969"/>
    <w:rsid w:val="5545801B"/>
    <w:rsid w:val="554CCB1C"/>
    <w:rsid w:val="555FEA3C"/>
    <w:rsid w:val="55641FD6"/>
    <w:rsid w:val="558B285E"/>
    <w:rsid w:val="558DB6ED"/>
    <w:rsid w:val="558E9DEF"/>
    <w:rsid w:val="558EFDFE"/>
    <w:rsid w:val="559B7A23"/>
    <w:rsid w:val="55B22745"/>
    <w:rsid w:val="55D95519"/>
    <w:rsid w:val="55E95DC7"/>
    <w:rsid w:val="55EAE610"/>
    <w:rsid w:val="55F43A89"/>
    <w:rsid w:val="56103C65"/>
    <w:rsid w:val="562E5E1B"/>
    <w:rsid w:val="565C6674"/>
    <w:rsid w:val="567C698F"/>
    <w:rsid w:val="569E5B86"/>
    <w:rsid w:val="56C4DF72"/>
    <w:rsid w:val="56CB73F4"/>
    <w:rsid w:val="56E5662F"/>
    <w:rsid w:val="57035598"/>
    <w:rsid w:val="5724BAC0"/>
    <w:rsid w:val="57255E2C"/>
    <w:rsid w:val="57560096"/>
    <w:rsid w:val="5775257A"/>
    <w:rsid w:val="579C4F20"/>
    <w:rsid w:val="57AACCC4"/>
    <w:rsid w:val="57B097F4"/>
    <w:rsid w:val="57C201D7"/>
    <w:rsid w:val="57D019D3"/>
    <w:rsid w:val="57D57448"/>
    <w:rsid w:val="57EA4E43"/>
    <w:rsid w:val="57F5C1CC"/>
    <w:rsid w:val="57FF1018"/>
    <w:rsid w:val="58182E5F"/>
    <w:rsid w:val="5855DCF3"/>
    <w:rsid w:val="586FB5AD"/>
    <w:rsid w:val="58A47228"/>
    <w:rsid w:val="58BCD371"/>
    <w:rsid w:val="58EE3A31"/>
    <w:rsid w:val="59133E4D"/>
    <w:rsid w:val="595F5627"/>
    <w:rsid w:val="597552A3"/>
    <w:rsid w:val="597BE122"/>
    <w:rsid w:val="598FF852"/>
    <w:rsid w:val="59ACC78A"/>
    <w:rsid w:val="59ACC807"/>
    <w:rsid w:val="59C1FC67"/>
    <w:rsid w:val="59D25E05"/>
    <w:rsid w:val="59DB1A74"/>
    <w:rsid w:val="59EFE4FF"/>
    <w:rsid w:val="5A3200C4"/>
    <w:rsid w:val="5A35F8D8"/>
    <w:rsid w:val="5A59ABD7"/>
    <w:rsid w:val="5A6B133A"/>
    <w:rsid w:val="5A9B77F1"/>
    <w:rsid w:val="5A9E1F5F"/>
    <w:rsid w:val="5AA6BFBE"/>
    <w:rsid w:val="5AB7BE0B"/>
    <w:rsid w:val="5ACC5398"/>
    <w:rsid w:val="5AE84063"/>
    <w:rsid w:val="5AEFDD30"/>
    <w:rsid w:val="5B14E803"/>
    <w:rsid w:val="5B261DAD"/>
    <w:rsid w:val="5B3B1589"/>
    <w:rsid w:val="5B4ECC9A"/>
    <w:rsid w:val="5B586F41"/>
    <w:rsid w:val="5BA4E704"/>
    <w:rsid w:val="5BE39BEA"/>
    <w:rsid w:val="5BE72C2E"/>
    <w:rsid w:val="5BEA8E64"/>
    <w:rsid w:val="5BF6BAEB"/>
    <w:rsid w:val="5BFD6B22"/>
    <w:rsid w:val="5C04A0F9"/>
    <w:rsid w:val="5C080762"/>
    <w:rsid w:val="5C0A027D"/>
    <w:rsid w:val="5C267168"/>
    <w:rsid w:val="5C3F685C"/>
    <w:rsid w:val="5C4327DF"/>
    <w:rsid w:val="5C4F965F"/>
    <w:rsid w:val="5C6B36F9"/>
    <w:rsid w:val="5C8087D2"/>
    <w:rsid w:val="5C868897"/>
    <w:rsid w:val="5CF4F57D"/>
    <w:rsid w:val="5D38D192"/>
    <w:rsid w:val="5D48FA0A"/>
    <w:rsid w:val="5D4931E4"/>
    <w:rsid w:val="5D5F7126"/>
    <w:rsid w:val="5D6A0AD6"/>
    <w:rsid w:val="5D6B49C6"/>
    <w:rsid w:val="5D6F5C2B"/>
    <w:rsid w:val="5D827C2F"/>
    <w:rsid w:val="5DAE4DFA"/>
    <w:rsid w:val="5DB4C4EF"/>
    <w:rsid w:val="5DC42440"/>
    <w:rsid w:val="5DD1BABA"/>
    <w:rsid w:val="5DEC57B9"/>
    <w:rsid w:val="5DF4A966"/>
    <w:rsid w:val="5DFA41E5"/>
    <w:rsid w:val="5E16D473"/>
    <w:rsid w:val="5E185954"/>
    <w:rsid w:val="5E23CF05"/>
    <w:rsid w:val="5E4290C9"/>
    <w:rsid w:val="5E454BAC"/>
    <w:rsid w:val="5E4F317B"/>
    <w:rsid w:val="5E507D3C"/>
    <w:rsid w:val="5E621F8C"/>
    <w:rsid w:val="5E753113"/>
    <w:rsid w:val="5E99FAA5"/>
    <w:rsid w:val="5EA7F45F"/>
    <w:rsid w:val="5EB71AF3"/>
    <w:rsid w:val="5EC8B87D"/>
    <w:rsid w:val="5EE58467"/>
    <w:rsid w:val="5EF0504F"/>
    <w:rsid w:val="5EF3AF5A"/>
    <w:rsid w:val="5F09723A"/>
    <w:rsid w:val="5F12C3AA"/>
    <w:rsid w:val="5F2E6B80"/>
    <w:rsid w:val="5F3E0A51"/>
    <w:rsid w:val="5F3EFC49"/>
    <w:rsid w:val="5F570840"/>
    <w:rsid w:val="5F7EC5BA"/>
    <w:rsid w:val="5F9D58CB"/>
    <w:rsid w:val="5FAA84F9"/>
    <w:rsid w:val="5FAC62D3"/>
    <w:rsid w:val="5FCCDCE3"/>
    <w:rsid w:val="5FEBB1EE"/>
    <w:rsid w:val="6000590B"/>
    <w:rsid w:val="600F2C39"/>
    <w:rsid w:val="6018DD7F"/>
    <w:rsid w:val="60242A96"/>
    <w:rsid w:val="6041A8F9"/>
    <w:rsid w:val="6047FE0D"/>
    <w:rsid w:val="6065C3C8"/>
    <w:rsid w:val="606DF77C"/>
    <w:rsid w:val="609CE40F"/>
    <w:rsid w:val="60A39002"/>
    <w:rsid w:val="60A7037A"/>
    <w:rsid w:val="60ADCCD4"/>
    <w:rsid w:val="60B11B14"/>
    <w:rsid w:val="60B9FFDA"/>
    <w:rsid w:val="60C1602C"/>
    <w:rsid w:val="60DF5FBE"/>
    <w:rsid w:val="60F496A4"/>
    <w:rsid w:val="610EA2AD"/>
    <w:rsid w:val="61194C13"/>
    <w:rsid w:val="6146CDAE"/>
    <w:rsid w:val="6160BFB5"/>
    <w:rsid w:val="618138CC"/>
    <w:rsid w:val="61E311BB"/>
    <w:rsid w:val="6200A358"/>
    <w:rsid w:val="6206BF36"/>
    <w:rsid w:val="620E35E6"/>
    <w:rsid w:val="620EBC65"/>
    <w:rsid w:val="62660C42"/>
    <w:rsid w:val="62677B4C"/>
    <w:rsid w:val="62710EEA"/>
    <w:rsid w:val="62741466"/>
    <w:rsid w:val="627FB5C0"/>
    <w:rsid w:val="62AB2265"/>
    <w:rsid w:val="62B34AAC"/>
    <w:rsid w:val="62C01FE8"/>
    <w:rsid w:val="62EB1F89"/>
    <w:rsid w:val="62FCE669"/>
    <w:rsid w:val="631A3D56"/>
    <w:rsid w:val="632120EA"/>
    <w:rsid w:val="6360C028"/>
    <w:rsid w:val="636FC1BB"/>
    <w:rsid w:val="63948165"/>
    <w:rsid w:val="639A8F8E"/>
    <w:rsid w:val="63AF6384"/>
    <w:rsid w:val="63B57D7E"/>
    <w:rsid w:val="63B8FD5E"/>
    <w:rsid w:val="63BC8A4F"/>
    <w:rsid w:val="63BCF92D"/>
    <w:rsid w:val="63CD16BE"/>
    <w:rsid w:val="63DCEFC2"/>
    <w:rsid w:val="63F1C182"/>
    <w:rsid w:val="63F4CA6C"/>
    <w:rsid w:val="6435168C"/>
    <w:rsid w:val="64491B90"/>
    <w:rsid w:val="644A7D76"/>
    <w:rsid w:val="6466D5E8"/>
    <w:rsid w:val="647B42B5"/>
    <w:rsid w:val="64851909"/>
    <w:rsid w:val="6496EB42"/>
    <w:rsid w:val="649DF379"/>
    <w:rsid w:val="64BC1968"/>
    <w:rsid w:val="64F25FBF"/>
    <w:rsid w:val="64FF4429"/>
    <w:rsid w:val="650AF4B6"/>
    <w:rsid w:val="651DF7E5"/>
    <w:rsid w:val="6535C0DA"/>
    <w:rsid w:val="6540E503"/>
    <w:rsid w:val="6560D932"/>
    <w:rsid w:val="658B04E7"/>
    <w:rsid w:val="65A3B625"/>
    <w:rsid w:val="65ABC83D"/>
    <w:rsid w:val="65B6A91F"/>
    <w:rsid w:val="65E8E217"/>
    <w:rsid w:val="65EA59B5"/>
    <w:rsid w:val="660046DC"/>
    <w:rsid w:val="660364AE"/>
    <w:rsid w:val="663AAD4E"/>
    <w:rsid w:val="6686A9A6"/>
    <w:rsid w:val="6697D452"/>
    <w:rsid w:val="66ACC654"/>
    <w:rsid w:val="66E08B66"/>
    <w:rsid w:val="66E9ACED"/>
    <w:rsid w:val="66ED7449"/>
    <w:rsid w:val="67221928"/>
    <w:rsid w:val="6729C588"/>
    <w:rsid w:val="67383958"/>
    <w:rsid w:val="675077CC"/>
    <w:rsid w:val="675684A6"/>
    <w:rsid w:val="676EDC0A"/>
    <w:rsid w:val="6771DF6D"/>
    <w:rsid w:val="679EB957"/>
    <w:rsid w:val="67C46800"/>
    <w:rsid w:val="67CDE5CD"/>
    <w:rsid w:val="67D7C381"/>
    <w:rsid w:val="68131B08"/>
    <w:rsid w:val="6817878F"/>
    <w:rsid w:val="681A9BB3"/>
    <w:rsid w:val="6826993C"/>
    <w:rsid w:val="682E7E4B"/>
    <w:rsid w:val="683C4F4C"/>
    <w:rsid w:val="684C0B6D"/>
    <w:rsid w:val="6850B737"/>
    <w:rsid w:val="6857E4F0"/>
    <w:rsid w:val="6867AF47"/>
    <w:rsid w:val="686AF03F"/>
    <w:rsid w:val="686AFDDC"/>
    <w:rsid w:val="687A0E41"/>
    <w:rsid w:val="68AF9030"/>
    <w:rsid w:val="68BA5DB8"/>
    <w:rsid w:val="68BD47F5"/>
    <w:rsid w:val="68D2630C"/>
    <w:rsid w:val="68E781E7"/>
    <w:rsid w:val="693DBCEC"/>
    <w:rsid w:val="6953F446"/>
    <w:rsid w:val="695C35CD"/>
    <w:rsid w:val="6975DFDF"/>
    <w:rsid w:val="6993EE66"/>
    <w:rsid w:val="69982D55"/>
    <w:rsid w:val="69DDE224"/>
    <w:rsid w:val="69EA167B"/>
    <w:rsid w:val="6A044BF5"/>
    <w:rsid w:val="6A1EA9AD"/>
    <w:rsid w:val="6A2AECDC"/>
    <w:rsid w:val="6A320408"/>
    <w:rsid w:val="6A374EAD"/>
    <w:rsid w:val="6A39CCBD"/>
    <w:rsid w:val="6A41CE39"/>
    <w:rsid w:val="6A559E00"/>
    <w:rsid w:val="6A5B26E6"/>
    <w:rsid w:val="6A6E8B59"/>
    <w:rsid w:val="6A72BDFF"/>
    <w:rsid w:val="6A743F1B"/>
    <w:rsid w:val="6AAFA919"/>
    <w:rsid w:val="6ABEF14B"/>
    <w:rsid w:val="6AD01AA7"/>
    <w:rsid w:val="6ADCEB84"/>
    <w:rsid w:val="6AE30AF3"/>
    <w:rsid w:val="6AE65CF5"/>
    <w:rsid w:val="6AE667B4"/>
    <w:rsid w:val="6AF49EBD"/>
    <w:rsid w:val="6AFEC8E7"/>
    <w:rsid w:val="6B297739"/>
    <w:rsid w:val="6B4E7EFB"/>
    <w:rsid w:val="6B5ACE2E"/>
    <w:rsid w:val="6B61AB43"/>
    <w:rsid w:val="6B6A1CC3"/>
    <w:rsid w:val="6BA5D1BA"/>
    <w:rsid w:val="6BBF0F1C"/>
    <w:rsid w:val="6BCFF64C"/>
    <w:rsid w:val="6BD0D19C"/>
    <w:rsid w:val="6BE66C54"/>
    <w:rsid w:val="6BF13F8B"/>
    <w:rsid w:val="6C3497CD"/>
    <w:rsid w:val="6C38ACEF"/>
    <w:rsid w:val="6C5ADC31"/>
    <w:rsid w:val="6C5E64B5"/>
    <w:rsid w:val="6C5EB63D"/>
    <w:rsid w:val="6C695B48"/>
    <w:rsid w:val="6C7DF750"/>
    <w:rsid w:val="6C863627"/>
    <w:rsid w:val="6C889EE3"/>
    <w:rsid w:val="6CB4473D"/>
    <w:rsid w:val="6CBF8E1D"/>
    <w:rsid w:val="6CC9EE3D"/>
    <w:rsid w:val="6D0B37E1"/>
    <w:rsid w:val="6D238332"/>
    <w:rsid w:val="6D841DF4"/>
    <w:rsid w:val="6DA79DE1"/>
    <w:rsid w:val="6DCA5E21"/>
    <w:rsid w:val="6DCD824A"/>
    <w:rsid w:val="6DDE5E80"/>
    <w:rsid w:val="6DFF1442"/>
    <w:rsid w:val="6E04E5F7"/>
    <w:rsid w:val="6E3E6093"/>
    <w:rsid w:val="6E508950"/>
    <w:rsid w:val="6E558131"/>
    <w:rsid w:val="6E675ACD"/>
    <w:rsid w:val="6E698B3A"/>
    <w:rsid w:val="6E9722BB"/>
    <w:rsid w:val="6EBBD955"/>
    <w:rsid w:val="6EE1BA97"/>
    <w:rsid w:val="6F20D97B"/>
    <w:rsid w:val="6F2879E5"/>
    <w:rsid w:val="6F45EFC1"/>
    <w:rsid w:val="6F5146FA"/>
    <w:rsid w:val="6F680243"/>
    <w:rsid w:val="6F69CCA5"/>
    <w:rsid w:val="6F6CDA1E"/>
    <w:rsid w:val="6F76C945"/>
    <w:rsid w:val="6F7EF582"/>
    <w:rsid w:val="6F80B5F6"/>
    <w:rsid w:val="6F83D750"/>
    <w:rsid w:val="6FC80F21"/>
    <w:rsid w:val="6FD51B8D"/>
    <w:rsid w:val="6FD8C1DF"/>
    <w:rsid w:val="6FE843B4"/>
    <w:rsid w:val="6FF1F5AC"/>
    <w:rsid w:val="6FF6FA31"/>
    <w:rsid w:val="708EDF4F"/>
    <w:rsid w:val="70C2EEB9"/>
    <w:rsid w:val="70C844BC"/>
    <w:rsid w:val="70D7C1B7"/>
    <w:rsid w:val="70DC0E9A"/>
    <w:rsid w:val="70E5DCAA"/>
    <w:rsid w:val="70F27887"/>
    <w:rsid w:val="70FCB342"/>
    <w:rsid w:val="7118B4D4"/>
    <w:rsid w:val="711BCCAB"/>
    <w:rsid w:val="71263160"/>
    <w:rsid w:val="71290CCA"/>
    <w:rsid w:val="71567A20"/>
    <w:rsid w:val="718F0527"/>
    <w:rsid w:val="719845EF"/>
    <w:rsid w:val="71E8C5FD"/>
    <w:rsid w:val="71EDA565"/>
    <w:rsid w:val="72128770"/>
    <w:rsid w:val="7230D872"/>
    <w:rsid w:val="72702988"/>
    <w:rsid w:val="72778A62"/>
    <w:rsid w:val="7294EDB2"/>
    <w:rsid w:val="729D624F"/>
    <w:rsid w:val="72B755D0"/>
    <w:rsid w:val="72BBEDC1"/>
    <w:rsid w:val="730BA2D7"/>
    <w:rsid w:val="7313C993"/>
    <w:rsid w:val="732BB7B0"/>
    <w:rsid w:val="73364818"/>
    <w:rsid w:val="733ED144"/>
    <w:rsid w:val="73482BA6"/>
    <w:rsid w:val="734F8C85"/>
    <w:rsid w:val="738BF2D2"/>
    <w:rsid w:val="73EBDD23"/>
    <w:rsid w:val="7428A2E1"/>
    <w:rsid w:val="743E252F"/>
    <w:rsid w:val="745EEFDB"/>
    <w:rsid w:val="7472D3B7"/>
    <w:rsid w:val="748F5031"/>
    <w:rsid w:val="74C6BBAC"/>
    <w:rsid w:val="74D7B846"/>
    <w:rsid w:val="74DCA258"/>
    <w:rsid w:val="74F29D9D"/>
    <w:rsid w:val="74F4FB81"/>
    <w:rsid w:val="74F71B81"/>
    <w:rsid w:val="75159C6F"/>
    <w:rsid w:val="7520A7AF"/>
    <w:rsid w:val="754ADAE0"/>
    <w:rsid w:val="756E2BBD"/>
    <w:rsid w:val="75A8E0F9"/>
    <w:rsid w:val="75BF680C"/>
    <w:rsid w:val="75C1D8F2"/>
    <w:rsid w:val="75E9A7A2"/>
    <w:rsid w:val="75F2E551"/>
    <w:rsid w:val="75F48E8D"/>
    <w:rsid w:val="75FD2FC8"/>
    <w:rsid w:val="76016F36"/>
    <w:rsid w:val="76063A47"/>
    <w:rsid w:val="7617D76E"/>
    <w:rsid w:val="7638B5C5"/>
    <w:rsid w:val="76447A32"/>
    <w:rsid w:val="76AD4DBD"/>
    <w:rsid w:val="76AD9782"/>
    <w:rsid w:val="76D789E2"/>
    <w:rsid w:val="7701AA47"/>
    <w:rsid w:val="771CDA44"/>
    <w:rsid w:val="77286364"/>
    <w:rsid w:val="773CF7BA"/>
    <w:rsid w:val="7741FC62"/>
    <w:rsid w:val="77469509"/>
    <w:rsid w:val="77675A1D"/>
    <w:rsid w:val="777F246A"/>
    <w:rsid w:val="7783C6BD"/>
    <w:rsid w:val="7785A306"/>
    <w:rsid w:val="77D73851"/>
    <w:rsid w:val="77E279E3"/>
    <w:rsid w:val="77F7A4DA"/>
    <w:rsid w:val="78190742"/>
    <w:rsid w:val="781E77CC"/>
    <w:rsid w:val="7845565B"/>
    <w:rsid w:val="78468C61"/>
    <w:rsid w:val="784AF7B1"/>
    <w:rsid w:val="784F898B"/>
    <w:rsid w:val="78566FEC"/>
    <w:rsid w:val="7858C68E"/>
    <w:rsid w:val="78847534"/>
    <w:rsid w:val="788E0ADA"/>
    <w:rsid w:val="7894A95A"/>
    <w:rsid w:val="78D4B95F"/>
    <w:rsid w:val="79243D72"/>
    <w:rsid w:val="792DDBCE"/>
    <w:rsid w:val="792E6330"/>
    <w:rsid w:val="79421D57"/>
    <w:rsid w:val="7960B3C6"/>
    <w:rsid w:val="7977745B"/>
    <w:rsid w:val="7989D4F9"/>
    <w:rsid w:val="79AFE2A6"/>
    <w:rsid w:val="79B10341"/>
    <w:rsid w:val="79C761B7"/>
    <w:rsid w:val="79CB666D"/>
    <w:rsid w:val="79E25F96"/>
    <w:rsid w:val="79FE0C14"/>
    <w:rsid w:val="7A159415"/>
    <w:rsid w:val="7A355B93"/>
    <w:rsid w:val="7A461467"/>
    <w:rsid w:val="7A4A9AEC"/>
    <w:rsid w:val="7A52504B"/>
    <w:rsid w:val="7A53972D"/>
    <w:rsid w:val="7A5F50A2"/>
    <w:rsid w:val="7B0128CD"/>
    <w:rsid w:val="7B1AA87B"/>
    <w:rsid w:val="7B1E08F7"/>
    <w:rsid w:val="7B652BF7"/>
    <w:rsid w:val="7B6D7F28"/>
    <w:rsid w:val="7B907508"/>
    <w:rsid w:val="7BB3E702"/>
    <w:rsid w:val="7BC87299"/>
    <w:rsid w:val="7BE4BA17"/>
    <w:rsid w:val="7BF3317B"/>
    <w:rsid w:val="7C122E0E"/>
    <w:rsid w:val="7C1A401F"/>
    <w:rsid w:val="7C25F808"/>
    <w:rsid w:val="7C6137FC"/>
    <w:rsid w:val="7C71B5D4"/>
    <w:rsid w:val="7C880E4C"/>
    <w:rsid w:val="7CC81C90"/>
    <w:rsid w:val="7D03FD42"/>
    <w:rsid w:val="7D144B36"/>
    <w:rsid w:val="7D145DCA"/>
    <w:rsid w:val="7D3CBF78"/>
    <w:rsid w:val="7D3D8A5E"/>
    <w:rsid w:val="7D53A6B2"/>
    <w:rsid w:val="7D93E697"/>
    <w:rsid w:val="7DEDDACD"/>
    <w:rsid w:val="7DF3F663"/>
    <w:rsid w:val="7DFEDE91"/>
    <w:rsid w:val="7E320FD8"/>
    <w:rsid w:val="7E5B9E2D"/>
    <w:rsid w:val="7E7931D6"/>
    <w:rsid w:val="7E80FBFD"/>
    <w:rsid w:val="7E884F2B"/>
    <w:rsid w:val="7E9BB24E"/>
    <w:rsid w:val="7EAA1516"/>
    <w:rsid w:val="7EB5A417"/>
    <w:rsid w:val="7ED90DC9"/>
    <w:rsid w:val="7EEFFBCD"/>
    <w:rsid w:val="7EF1085F"/>
    <w:rsid w:val="7EF14DB9"/>
    <w:rsid w:val="7F02E348"/>
    <w:rsid w:val="7F2973D9"/>
    <w:rsid w:val="7F3D128C"/>
    <w:rsid w:val="7F4DF8BB"/>
    <w:rsid w:val="7F5581C6"/>
    <w:rsid w:val="7F6399FF"/>
    <w:rsid w:val="7F6A4923"/>
    <w:rsid w:val="7FA5C5B5"/>
    <w:rsid w:val="7FAF0B28"/>
    <w:rsid w:val="7FD44E42"/>
    <w:rsid w:val="7FE48003"/>
    <w:rsid w:val="7FEFAF0D"/>
    <w:rsid w:val="7FFD249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367B2"/>
  <w15:chartTrackingRefBased/>
  <w15:docId w15:val="{694D7844-3D1C-4B17-9FE4-8EBF6CA8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DF5C33"/>
    <w:pPr>
      <w:spacing w:before="100" w:after="100"/>
    </w:pPr>
    <w:rPr>
      <w:sz w:val="22"/>
      <w:lang w:val="en-GB" w:eastAsia="en-US"/>
    </w:rPr>
  </w:style>
  <w:style w:type="paragraph" w:styleId="Titre1">
    <w:name w:val="heading 1"/>
    <w:aliases w:val="Section 1"/>
    <w:basedOn w:val="Normal"/>
    <w:next w:val="Normal"/>
    <w:link w:val="Titre1Car"/>
    <w:uiPriority w:val="9"/>
    <w:qFormat/>
    <w:rsid w:val="00454D6B"/>
    <w:pPr>
      <w:keepNext/>
      <w:keepLines/>
      <w:numPr>
        <w:numId w:val="11"/>
      </w:numPr>
      <w:tabs>
        <w:tab w:val="left" w:pos="567"/>
      </w:tabs>
      <w:autoSpaceDE w:val="0"/>
      <w:autoSpaceDN w:val="0"/>
      <w:adjustRightInd w:val="0"/>
      <w:spacing w:after="180"/>
      <w:outlineLvl w:val="0"/>
    </w:pPr>
    <w:rPr>
      <w:b/>
      <w:bCs/>
      <w:sz w:val="32"/>
      <w:szCs w:val="28"/>
    </w:rPr>
  </w:style>
  <w:style w:type="paragraph" w:styleId="Titre2">
    <w:name w:val="heading 2"/>
    <w:aliases w:val="Section 2"/>
    <w:basedOn w:val="Titre1"/>
    <w:next w:val="Normal"/>
    <w:link w:val="Titre2Car"/>
    <w:uiPriority w:val="9"/>
    <w:unhideWhenUsed/>
    <w:qFormat/>
    <w:rsid w:val="003D7646"/>
    <w:pPr>
      <w:numPr>
        <w:ilvl w:val="1"/>
      </w:numPr>
      <w:tabs>
        <w:tab w:val="left" w:pos="709"/>
      </w:tabs>
      <w:spacing w:before="300"/>
      <w:outlineLvl w:val="1"/>
    </w:pPr>
    <w:rPr>
      <w:sz w:val="28"/>
      <w:szCs w:val="24"/>
    </w:rPr>
  </w:style>
  <w:style w:type="paragraph" w:styleId="Titre3">
    <w:name w:val="heading 3"/>
    <w:aliases w:val="Section 3"/>
    <w:basedOn w:val="Titre2"/>
    <w:next w:val="Normal"/>
    <w:link w:val="Titre3Car"/>
    <w:uiPriority w:val="9"/>
    <w:unhideWhenUsed/>
    <w:qFormat/>
    <w:rsid w:val="007C0B33"/>
    <w:pPr>
      <w:numPr>
        <w:ilvl w:val="2"/>
      </w:numPr>
      <w:tabs>
        <w:tab w:val="left" w:pos="993"/>
      </w:tabs>
      <w:outlineLvl w:val="2"/>
    </w:pPr>
    <w:rPr>
      <w:sz w:val="24"/>
      <w:szCs w:val="22"/>
    </w:rPr>
  </w:style>
  <w:style w:type="paragraph" w:styleId="Titre4">
    <w:name w:val="heading 4"/>
    <w:aliases w:val="Section 4"/>
    <w:basedOn w:val="Normal"/>
    <w:next w:val="Normal"/>
    <w:link w:val="Titre4Car"/>
    <w:uiPriority w:val="9"/>
    <w:unhideWhenUsed/>
    <w:qFormat/>
    <w:rsid w:val="002754EC"/>
    <w:pPr>
      <w:keepNext/>
      <w:spacing w:before="240"/>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Section 1 Car"/>
    <w:link w:val="Titre1"/>
    <w:uiPriority w:val="9"/>
    <w:rsid w:val="00454D6B"/>
    <w:rPr>
      <w:b/>
      <w:bCs/>
      <w:sz w:val="32"/>
      <w:szCs w:val="28"/>
      <w:lang w:val="en-GB" w:eastAsia="en-US"/>
    </w:rPr>
  </w:style>
  <w:style w:type="character" w:customStyle="1" w:styleId="Titre2Car">
    <w:name w:val="Titre 2 Car"/>
    <w:aliases w:val="Section 2 Car"/>
    <w:link w:val="Titre2"/>
    <w:uiPriority w:val="9"/>
    <w:rsid w:val="003D7646"/>
    <w:rPr>
      <w:b/>
      <w:bCs/>
      <w:sz w:val="28"/>
      <w:szCs w:val="24"/>
      <w:lang w:val="en-GB" w:eastAsia="en-US"/>
    </w:rPr>
  </w:style>
  <w:style w:type="character" w:customStyle="1" w:styleId="Titre3Car">
    <w:name w:val="Titre 3 Car"/>
    <w:aliases w:val="Section 3 Car"/>
    <w:link w:val="Titre3"/>
    <w:uiPriority w:val="9"/>
    <w:rsid w:val="007C0B33"/>
    <w:rPr>
      <w:b/>
      <w:bCs/>
      <w:sz w:val="24"/>
      <w:szCs w:val="22"/>
      <w:lang w:val="en-GB" w:eastAsia="en-US"/>
    </w:rPr>
  </w:style>
  <w:style w:type="character" w:customStyle="1" w:styleId="Titre4Car">
    <w:name w:val="Titre 4 Car"/>
    <w:aliases w:val="Section 4 Car"/>
    <w:link w:val="Titre4"/>
    <w:uiPriority w:val="9"/>
    <w:rsid w:val="002754EC"/>
    <w:rPr>
      <w:sz w:val="22"/>
      <w:u w:val="single"/>
      <w:lang w:val="en-GB" w:eastAsia="en-US"/>
    </w:rPr>
  </w:style>
  <w:style w:type="paragraph" w:styleId="Pieddepage">
    <w:name w:val="footer"/>
    <w:basedOn w:val="Normal"/>
    <w:link w:val="PieddepageCar"/>
    <w:semiHidden/>
    <w:rsid w:val="006949FC"/>
    <w:pPr>
      <w:suppressAutoHyphens/>
      <w:spacing w:line="160" w:lineRule="atLeast"/>
    </w:pPr>
    <w:rPr>
      <w:rFonts w:eastAsia="Times New Roman" w:cs="Times New Roman"/>
      <w:noProof/>
      <w:sz w:val="12"/>
      <w:lang w:eastAsia="de-CH"/>
    </w:rPr>
  </w:style>
  <w:style w:type="character" w:customStyle="1" w:styleId="PieddepageCar">
    <w:name w:val="Pied de page Car"/>
    <w:link w:val="Pieddepage"/>
    <w:semiHidden/>
    <w:rsid w:val="006949FC"/>
    <w:rPr>
      <w:rFonts w:ascii="Arial" w:eastAsia="Times New Roman" w:hAnsi="Arial" w:cs="Times New Roman"/>
      <w:noProof/>
      <w:sz w:val="12"/>
      <w:szCs w:val="20"/>
      <w:lang w:eastAsia="de-CH"/>
    </w:rPr>
  </w:style>
  <w:style w:type="paragraph" w:styleId="En-tte">
    <w:name w:val="header"/>
    <w:basedOn w:val="Normal"/>
    <w:link w:val="En-tteCar"/>
    <w:semiHidden/>
    <w:rsid w:val="006949FC"/>
    <w:pPr>
      <w:suppressAutoHyphens/>
      <w:spacing w:line="200" w:lineRule="atLeast"/>
    </w:pPr>
    <w:rPr>
      <w:rFonts w:eastAsia="Times New Roman" w:cs="Times New Roman"/>
      <w:noProof/>
      <w:sz w:val="15"/>
      <w:lang w:eastAsia="de-CH"/>
    </w:rPr>
  </w:style>
  <w:style w:type="character" w:customStyle="1" w:styleId="En-tteCar">
    <w:name w:val="En-tête Car"/>
    <w:link w:val="En-tte"/>
    <w:semiHidden/>
    <w:rsid w:val="006949FC"/>
    <w:rPr>
      <w:rFonts w:ascii="Arial" w:eastAsia="Times New Roman" w:hAnsi="Arial" w:cs="Times New Roman"/>
      <w:noProof/>
      <w:sz w:val="15"/>
      <w:szCs w:val="20"/>
      <w:lang w:eastAsia="de-CH"/>
    </w:rPr>
  </w:style>
  <w:style w:type="paragraph" w:customStyle="1" w:styleId="KopfzeileDepartement">
    <w:name w:val="KopfzeileDepartement"/>
    <w:basedOn w:val="En-tte"/>
    <w:next w:val="En-tte"/>
    <w:rsid w:val="006949FC"/>
    <w:pPr>
      <w:spacing w:after="80"/>
    </w:pPr>
  </w:style>
  <w:style w:type="paragraph" w:customStyle="1" w:styleId="KopfzeileFett">
    <w:name w:val="KopfzeileFett"/>
    <w:basedOn w:val="En-tte"/>
    <w:next w:val="En-tte"/>
    <w:rsid w:val="006949FC"/>
    <w:rPr>
      <w:b/>
    </w:rPr>
  </w:style>
  <w:style w:type="character" w:styleId="Accentuationlgre">
    <w:name w:val="Subtle Emphasis"/>
    <w:uiPriority w:val="19"/>
    <w:rsid w:val="00F41A19"/>
    <w:rPr>
      <w:i/>
      <w:iCs/>
      <w:color w:val="404040"/>
    </w:rPr>
  </w:style>
  <w:style w:type="character" w:styleId="Marquedecommentaire">
    <w:name w:val="annotation reference"/>
    <w:uiPriority w:val="99"/>
    <w:unhideWhenUsed/>
    <w:rsid w:val="00AA2516"/>
    <w:rPr>
      <w:sz w:val="16"/>
      <w:szCs w:val="16"/>
    </w:rPr>
  </w:style>
  <w:style w:type="paragraph" w:styleId="Commentaire">
    <w:name w:val="annotation text"/>
    <w:basedOn w:val="Normal"/>
    <w:link w:val="CommentaireCar"/>
    <w:uiPriority w:val="99"/>
    <w:unhideWhenUsed/>
    <w:rsid w:val="00AA2516"/>
    <w:rPr>
      <w:sz w:val="20"/>
    </w:rPr>
  </w:style>
  <w:style w:type="character" w:customStyle="1" w:styleId="CommentaireCar">
    <w:name w:val="Commentaire Car"/>
    <w:basedOn w:val="Policepardfaut"/>
    <w:link w:val="Commentaire"/>
    <w:uiPriority w:val="99"/>
    <w:rsid w:val="00AA2516"/>
  </w:style>
  <w:style w:type="paragraph" w:styleId="Objetducommentaire">
    <w:name w:val="annotation subject"/>
    <w:basedOn w:val="Commentaire"/>
    <w:next w:val="Commentaire"/>
    <w:link w:val="ObjetducommentaireCar"/>
    <w:uiPriority w:val="99"/>
    <w:semiHidden/>
    <w:unhideWhenUsed/>
    <w:rsid w:val="00AA2516"/>
    <w:rPr>
      <w:b/>
      <w:bCs/>
    </w:rPr>
  </w:style>
  <w:style w:type="character" w:customStyle="1" w:styleId="ObjetducommentaireCar">
    <w:name w:val="Objet du commentaire Car"/>
    <w:link w:val="Objetducommentaire"/>
    <w:uiPriority w:val="99"/>
    <w:semiHidden/>
    <w:rsid w:val="00AA2516"/>
    <w:rPr>
      <w:b/>
      <w:bCs/>
    </w:rPr>
  </w:style>
  <w:style w:type="paragraph" w:styleId="Textedebulles">
    <w:name w:val="Balloon Text"/>
    <w:basedOn w:val="Normal"/>
    <w:link w:val="TextedebullesCar"/>
    <w:uiPriority w:val="99"/>
    <w:semiHidden/>
    <w:unhideWhenUsed/>
    <w:rsid w:val="00AA2516"/>
    <w:rPr>
      <w:rFonts w:ascii="Segoe UI" w:hAnsi="Segoe UI" w:cs="Segoe UI"/>
      <w:sz w:val="18"/>
      <w:szCs w:val="18"/>
    </w:rPr>
  </w:style>
  <w:style w:type="character" w:customStyle="1" w:styleId="TextedebullesCar">
    <w:name w:val="Texte de bulles Car"/>
    <w:link w:val="Textedebulles"/>
    <w:uiPriority w:val="99"/>
    <w:semiHidden/>
    <w:rsid w:val="00AA2516"/>
    <w:rPr>
      <w:rFonts w:ascii="Segoe UI" w:hAnsi="Segoe UI" w:cs="Segoe UI"/>
      <w:sz w:val="18"/>
      <w:szCs w:val="18"/>
    </w:rPr>
  </w:style>
  <w:style w:type="character" w:styleId="Lienhypertexte">
    <w:name w:val="Hyperlink"/>
    <w:uiPriority w:val="99"/>
    <w:unhideWhenUsed/>
    <w:rsid w:val="00364A12"/>
    <w:rPr>
      <w:color w:val="0563C1"/>
      <w:u w:val="single"/>
    </w:rPr>
  </w:style>
  <w:style w:type="paragraph" w:styleId="Paragraphedeliste">
    <w:name w:val="List Paragraph"/>
    <w:basedOn w:val="Normal"/>
    <w:link w:val="ParagraphedelisteCar"/>
    <w:uiPriority w:val="34"/>
    <w:qFormat/>
    <w:rsid w:val="00FD33F6"/>
    <w:pPr>
      <w:ind w:left="720"/>
      <w:contextualSpacing/>
    </w:pPr>
  </w:style>
  <w:style w:type="character" w:customStyle="1" w:styleId="ParagraphedelisteCar">
    <w:name w:val="Paragraphe de liste Car"/>
    <w:link w:val="Paragraphedeliste"/>
    <w:uiPriority w:val="34"/>
    <w:rsid w:val="00457DE2"/>
    <w:rPr>
      <w:sz w:val="22"/>
      <w:lang w:val="en-GB" w:eastAsia="en-US"/>
    </w:rPr>
  </w:style>
  <w:style w:type="paragraph" w:customStyle="1" w:styleId="List23">
    <w:name w:val="List 23"/>
    <w:basedOn w:val="Paragraphedeliste"/>
    <w:link w:val="List2Zchn"/>
    <w:qFormat/>
    <w:rsid w:val="00506696"/>
    <w:pPr>
      <w:numPr>
        <w:numId w:val="17"/>
      </w:numPr>
      <w:spacing w:before="40" w:after="40"/>
    </w:pPr>
    <w:rPr>
      <w:szCs w:val="22"/>
    </w:rPr>
  </w:style>
  <w:style w:type="character" w:customStyle="1" w:styleId="List2Zchn">
    <w:name w:val="List 2 Zchn"/>
    <w:link w:val="List23"/>
    <w:rsid w:val="00457DE2"/>
    <w:rPr>
      <w:sz w:val="22"/>
      <w:szCs w:val="22"/>
      <w:lang w:val="en-GB" w:eastAsia="en-US"/>
    </w:rPr>
  </w:style>
  <w:style w:type="paragraph" w:styleId="Listepuces">
    <w:name w:val="List Bullet"/>
    <w:basedOn w:val="Normal"/>
    <w:uiPriority w:val="99"/>
    <w:unhideWhenUsed/>
    <w:rsid w:val="00183C76"/>
    <w:pPr>
      <w:numPr>
        <w:numId w:val="10"/>
      </w:numPr>
      <w:tabs>
        <w:tab w:val="num" w:pos="360"/>
      </w:tabs>
      <w:contextualSpacing/>
    </w:pPr>
  </w:style>
  <w:style w:type="character" w:styleId="Accentuationintense">
    <w:name w:val="Intense Emphasis"/>
    <w:uiPriority w:val="21"/>
    <w:rsid w:val="00F41A19"/>
    <w:rPr>
      <w:i/>
      <w:iCs/>
      <w:color w:val="5B9BD5"/>
    </w:rPr>
  </w:style>
  <w:style w:type="paragraph" w:styleId="Notedebasdepage">
    <w:name w:val="footnote text"/>
    <w:aliases w:val="Footnote"/>
    <w:basedOn w:val="Normal"/>
    <w:link w:val="NotedebasdepageCar"/>
    <w:uiPriority w:val="99"/>
    <w:unhideWhenUsed/>
    <w:qFormat/>
    <w:rsid w:val="000A6B9E"/>
    <w:pPr>
      <w:ind w:left="284" w:hanging="284"/>
    </w:pPr>
    <w:rPr>
      <w:sz w:val="20"/>
    </w:rPr>
  </w:style>
  <w:style w:type="character" w:customStyle="1" w:styleId="NotedebasdepageCar">
    <w:name w:val="Note de bas de page Car"/>
    <w:aliases w:val="Footnote Car"/>
    <w:link w:val="Notedebasdepage"/>
    <w:uiPriority w:val="99"/>
    <w:rsid w:val="000A6B9E"/>
    <w:rPr>
      <w:lang w:val="en-GB" w:eastAsia="en-US"/>
    </w:rPr>
  </w:style>
  <w:style w:type="character" w:styleId="Appelnotedebasdep">
    <w:name w:val="footnote reference"/>
    <w:uiPriority w:val="99"/>
    <w:semiHidden/>
    <w:unhideWhenUsed/>
    <w:rsid w:val="00934684"/>
    <w:rPr>
      <w:vertAlign w:val="superscript"/>
    </w:rPr>
  </w:style>
  <w:style w:type="paragraph" w:styleId="Rvision">
    <w:name w:val="Revision"/>
    <w:hidden/>
    <w:uiPriority w:val="99"/>
    <w:semiHidden/>
    <w:rsid w:val="008F3C24"/>
    <w:rPr>
      <w:sz w:val="22"/>
      <w:lang w:val="de-CH" w:eastAsia="en-US"/>
    </w:rPr>
  </w:style>
  <w:style w:type="character" w:styleId="Numrodeligne">
    <w:name w:val="line number"/>
    <w:uiPriority w:val="99"/>
    <w:semiHidden/>
    <w:unhideWhenUsed/>
    <w:rsid w:val="00335345"/>
  </w:style>
  <w:style w:type="table" w:styleId="Grilledutableau">
    <w:name w:val="Table Grid"/>
    <w:basedOn w:val="TableauNormal"/>
    <w:uiPriority w:val="39"/>
    <w:rsid w:val="00E83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8D5136"/>
    <w:pPr>
      <w:numPr>
        <w:numId w:val="0"/>
      </w:numPr>
      <w:autoSpaceDE/>
      <w:autoSpaceDN/>
      <w:adjustRightInd/>
      <w:spacing w:before="240" w:line="259" w:lineRule="auto"/>
      <w:outlineLvl w:val="9"/>
    </w:pPr>
    <w:rPr>
      <w:rFonts w:ascii="Calibri Light" w:eastAsia="Times New Roman" w:hAnsi="Calibri Light" w:cs="Times New Roman"/>
      <w:b w:val="0"/>
      <w:bCs w:val="0"/>
      <w:color w:val="2E74B5"/>
      <w:szCs w:val="32"/>
      <w:lang w:val="de-CH" w:eastAsia="de-CH"/>
    </w:rPr>
  </w:style>
  <w:style w:type="paragraph" w:styleId="TM1">
    <w:name w:val="toc 1"/>
    <w:basedOn w:val="Normal"/>
    <w:next w:val="Normal"/>
    <w:autoRedefine/>
    <w:uiPriority w:val="39"/>
    <w:unhideWhenUsed/>
    <w:rsid w:val="00E46E97"/>
    <w:pPr>
      <w:tabs>
        <w:tab w:val="right" w:leader="dot" w:pos="9627"/>
      </w:tabs>
      <w:spacing w:before="200" w:after="0"/>
      <w:ind w:left="907" w:hanging="907"/>
      <w:jc w:val="both"/>
    </w:pPr>
    <w:rPr>
      <w:rFonts w:asciiTheme="majorHAnsi" w:hAnsiTheme="majorHAnsi" w:cstheme="majorHAnsi"/>
      <w:b/>
      <w:noProof/>
      <w:color w:val="000000" w:themeColor="text1"/>
    </w:rPr>
  </w:style>
  <w:style w:type="paragraph" w:styleId="TM2">
    <w:name w:val="toc 2"/>
    <w:basedOn w:val="Normal"/>
    <w:next w:val="Normal"/>
    <w:autoRedefine/>
    <w:uiPriority w:val="39"/>
    <w:unhideWhenUsed/>
    <w:rsid w:val="00B57D1D"/>
    <w:pPr>
      <w:tabs>
        <w:tab w:val="right" w:leader="dot" w:pos="9627"/>
      </w:tabs>
      <w:spacing w:before="0" w:after="0"/>
      <w:ind w:left="907" w:hanging="907"/>
    </w:pPr>
    <w:rPr>
      <w:rFonts w:cstheme="minorHAnsi"/>
      <w:noProof/>
    </w:rPr>
  </w:style>
  <w:style w:type="paragraph" w:customStyle="1" w:styleId="App1">
    <w:name w:val="App 1"/>
    <w:basedOn w:val="Titre1"/>
    <w:link w:val="App1Zchn"/>
    <w:qFormat/>
    <w:rsid w:val="00B8743F"/>
    <w:pPr>
      <w:numPr>
        <w:numId w:val="0"/>
      </w:numPr>
    </w:pPr>
  </w:style>
  <w:style w:type="character" w:customStyle="1" w:styleId="App1Zchn">
    <w:name w:val="App 1 Zchn"/>
    <w:basedOn w:val="Titre1Car"/>
    <w:link w:val="App1"/>
    <w:rsid w:val="00B8743F"/>
    <w:rPr>
      <w:b/>
      <w:bCs/>
      <w:sz w:val="28"/>
      <w:szCs w:val="28"/>
      <w:lang w:val="en-GB" w:eastAsia="en-US"/>
    </w:rPr>
  </w:style>
  <w:style w:type="paragraph" w:customStyle="1" w:styleId="App2">
    <w:name w:val="App 2"/>
    <w:basedOn w:val="App1"/>
    <w:link w:val="App2Zchn"/>
    <w:qFormat/>
    <w:rsid w:val="00E83236"/>
    <w:pPr>
      <w:numPr>
        <w:numId w:val="45"/>
      </w:numPr>
      <w:tabs>
        <w:tab w:val="left" w:pos="709"/>
      </w:tabs>
    </w:pPr>
  </w:style>
  <w:style w:type="character" w:customStyle="1" w:styleId="App2Zchn">
    <w:name w:val="App 2 Zchn"/>
    <w:basedOn w:val="App1Zchn"/>
    <w:link w:val="App2"/>
    <w:rsid w:val="00E83236"/>
    <w:rPr>
      <w:b/>
      <w:bCs/>
      <w:sz w:val="32"/>
      <w:szCs w:val="28"/>
      <w:lang w:val="en-GB" w:eastAsia="en-US"/>
    </w:rPr>
  </w:style>
  <w:style w:type="paragraph" w:styleId="PrformatHTML">
    <w:name w:val="HTML Preformatted"/>
    <w:basedOn w:val="Normal"/>
    <w:link w:val="PrformatHTMLCar"/>
    <w:uiPriority w:val="99"/>
    <w:semiHidden/>
    <w:unhideWhenUsed/>
    <w:rsid w:val="00F41A19"/>
    <w:rPr>
      <w:rFonts w:ascii="Courier New" w:hAnsi="Courier New" w:cs="Courier New"/>
      <w:sz w:val="20"/>
    </w:rPr>
  </w:style>
  <w:style w:type="character" w:customStyle="1" w:styleId="PrformatHTMLCar">
    <w:name w:val="Préformaté HTML Car"/>
    <w:link w:val="PrformatHTML"/>
    <w:uiPriority w:val="99"/>
    <w:semiHidden/>
    <w:rsid w:val="00F41A19"/>
    <w:rPr>
      <w:rFonts w:ascii="Courier New" w:hAnsi="Courier New" w:cs="Courier New"/>
      <w:lang w:val="en-GB" w:eastAsia="en-US"/>
    </w:rPr>
  </w:style>
  <w:style w:type="character" w:styleId="Accentuation">
    <w:name w:val="Emphasis"/>
    <w:uiPriority w:val="20"/>
    <w:rsid w:val="00F41A19"/>
    <w:rPr>
      <w:i/>
      <w:iCs/>
    </w:rPr>
  </w:style>
  <w:style w:type="paragraph" w:styleId="Sansinterligne">
    <w:name w:val="No Spacing"/>
    <w:aliases w:val="List 1"/>
    <w:basedOn w:val="Normal"/>
    <w:link w:val="SansinterligneCar"/>
    <w:uiPriority w:val="1"/>
    <w:qFormat/>
    <w:rsid w:val="00D315C5"/>
    <w:pPr>
      <w:numPr>
        <w:numId w:val="8"/>
      </w:numPr>
      <w:autoSpaceDE w:val="0"/>
      <w:autoSpaceDN w:val="0"/>
      <w:adjustRightInd w:val="0"/>
      <w:spacing w:before="80" w:after="80"/>
    </w:pPr>
    <w:rPr>
      <w:szCs w:val="22"/>
    </w:rPr>
  </w:style>
  <w:style w:type="character" w:customStyle="1" w:styleId="SansinterligneCar">
    <w:name w:val="Sans interligne Car"/>
    <w:aliases w:val="List 1 Car"/>
    <w:basedOn w:val="Policepardfaut"/>
    <w:link w:val="Sansinterligne"/>
    <w:uiPriority w:val="1"/>
    <w:rsid w:val="00B2013E"/>
    <w:rPr>
      <w:sz w:val="22"/>
      <w:szCs w:val="22"/>
      <w:lang w:val="en-GB" w:eastAsia="en-US"/>
    </w:rPr>
  </w:style>
  <w:style w:type="character" w:styleId="lev">
    <w:name w:val="Strong"/>
    <w:aliases w:val="List 3"/>
    <w:uiPriority w:val="22"/>
    <w:qFormat/>
    <w:rsid w:val="00CA3ADC"/>
  </w:style>
  <w:style w:type="paragraph" w:styleId="Citation">
    <w:name w:val="Quote"/>
    <w:basedOn w:val="Normal"/>
    <w:next w:val="Normal"/>
    <w:link w:val="CitationCar"/>
    <w:uiPriority w:val="29"/>
    <w:rsid w:val="00F41A19"/>
    <w:pPr>
      <w:spacing w:before="200" w:after="160"/>
      <w:ind w:left="864" w:right="864"/>
      <w:jc w:val="center"/>
    </w:pPr>
    <w:rPr>
      <w:i/>
      <w:iCs/>
      <w:color w:val="404040"/>
    </w:rPr>
  </w:style>
  <w:style w:type="character" w:customStyle="1" w:styleId="CitationCar">
    <w:name w:val="Citation Car"/>
    <w:link w:val="Citation"/>
    <w:uiPriority w:val="29"/>
    <w:rsid w:val="00F41A19"/>
    <w:rPr>
      <w:i/>
      <w:iCs/>
      <w:color w:val="404040"/>
      <w:sz w:val="22"/>
      <w:lang w:val="en-GB" w:eastAsia="en-US"/>
    </w:rPr>
  </w:style>
  <w:style w:type="paragraph" w:styleId="TM3">
    <w:name w:val="toc 3"/>
    <w:basedOn w:val="Normal"/>
    <w:next w:val="Normal"/>
    <w:autoRedefine/>
    <w:uiPriority w:val="39"/>
    <w:unhideWhenUsed/>
    <w:rsid w:val="00B57D1D"/>
    <w:pPr>
      <w:tabs>
        <w:tab w:val="right" w:leader="dot" w:pos="9627"/>
      </w:tabs>
      <w:spacing w:before="0" w:after="0"/>
      <w:ind w:left="907" w:hanging="907"/>
    </w:pPr>
    <w:rPr>
      <w:rFonts w:cstheme="minorHAnsi"/>
      <w:noProof/>
    </w:rPr>
  </w:style>
  <w:style w:type="paragraph" w:customStyle="1" w:styleId="AppT2">
    <w:name w:val="App T2"/>
    <w:basedOn w:val="Normal"/>
    <w:rsid w:val="0094540A"/>
    <w:pPr>
      <w:keepNext/>
      <w:pageBreakBefore/>
      <w:numPr>
        <w:numId w:val="19"/>
      </w:numPr>
      <w:autoSpaceDE w:val="0"/>
      <w:autoSpaceDN w:val="0"/>
      <w:spacing w:before="0" w:after="180"/>
      <w:ind w:left="502" w:hanging="720"/>
    </w:pPr>
    <w:rPr>
      <w:b/>
      <w:bCs/>
      <w:sz w:val="24"/>
      <w:szCs w:val="24"/>
      <w:lang w:val="de-CH"/>
    </w:rPr>
  </w:style>
  <w:style w:type="paragraph" w:styleId="TM4">
    <w:name w:val="toc 4"/>
    <w:basedOn w:val="Normal"/>
    <w:next w:val="Normal"/>
    <w:autoRedefine/>
    <w:uiPriority w:val="39"/>
    <w:unhideWhenUsed/>
    <w:rsid w:val="00822C87"/>
    <w:pPr>
      <w:tabs>
        <w:tab w:val="left" w:pos="992"/>
        <w:tab w:val="right" w:pos="9061"/>
      </w:tabs>
      <w:ind w:left="992" w:right="567" w:hanging="425"/>
    </w:pPr>
  </w:style>
  <w:style w:type="paragraph" w:customStyle="1" w:styleId="App3">
    <w:name w:val="App 3"/>
    <w:basedOn w:val="App2"/>
    <w:link w:val="App3Zchn"/>
    <w:qFormat/>
    <w:rsid w:val="00EF2E3E"/>
    <w:pPr>
      <w:numPr>
        <w:ilvl w:val="1"/>
      </w:numPr>
      <w:tabs>
        <w:tab w:val="left" w:pos="0"/>
      </w:tabs>
      <w:spacing w:before="300"/>
      <w:ind w:left="432"/>
    </w:pPr>
    <w:rPr>
      <w:sz w:val="22"/>
      <w:szCs w:val="22"/>
    </w:rPr>
  </w:style>
  <w:style w:type="character" w:customStyle="1" w:styleId="App3Zchn">
    <w:name w:val="App 3 Zchn"/>
    <w:link w:val="App3"/>
    <w:rsid w:val="00EF2E3E"/>
    <w:rPr>
      <w:b/>
      <w:bCs/>
      <w:sz w:val="22"/>
      <w:szCs w:val="22"/>
      <w:lang w:val="en-GB" w:eastAsia="en-US"/>
    </w:rPr>
  </w:style>
  <w:style w:type="paragraph" w:styleId="Citationintense">
    <w:name w:val="Intense Quote"/>
    <w:basedOn w:val="Normal"/>
    <w:next w:val="Normal"/>
    <w:link w:val="CitationintenseCar"/>
    <w:uiPriority w:val="30"/>
    <w:rsid w:val="00F41A19"/>
    <w:pPr>
      <w:pBdr>
        <w:top w:val="single" w:sz="4" w:space="10" w:color="5B9BD5"/>
        <w:bottom w:val="single" w:sz="4" w:space="10" w:color="5B9BD5"/>
      </w:pBdr>
      <w:spacing w:before="360" w:after="360"/>
      <w:ind w:left="864" w:right="864"/>
      <w:jc w:val="center"/>
    </w:pPr>
    <w:rPr>
      <w:i/>
      <w:iCs/>
      <w:color w:val="5B9BD5"/>
    </w:rPr>
  </w:style>
  <w:style w:type="character" w:customStyle="1" w:styleId="CitationintenseCar">
    <w:name w:val="Citation intense Car"/>
    <w:link w:val="Citationintense"/>
    <w:uiPriority w:val="30"/>
    <w:rsid w:val="00F41A19"/>
    <w:rPr>
      <w:i/>
      <w:iCs/>
      <w:color w:val="5B9BD5"/>
      <w:sz w:val="22"/>
      <w:lang w:val="en-GB" w:eastAsia="en-US"/>
    </w:rPr>
  </w:style>
  <w:style w:type="character" w:styleId="Titredulivre">
    <w:name w:val="Book Title"/>
    <w:uiPriority w:val="33"/>
    <w:rsid w:val="00095343"/>
    <w:rPr>
      <w:b/>
      <w:bCs/>
      <w:i/>
      <w:iCs/>
      <w:spacing w:val="5"/>
    </w:rPr>
  </w:style>
  <w:style w:type="paragraph" w:styleId="Lgende">
    <w:name w:val="caption"/>
    <w:basedOn w:val="Normal"/>
    <w:next w:val="Normal"/>
    <w:uiPriority w:val="35"/>
    <w:unhideWhenUsed/>
    <w:qFormat/>
    <w:rsid w:val="00F41A19"/>
    <w:rPr>
      <w:b/>
      <w:bCs/>
      <w:sz w:val="20"/>
    </w:rPr>
  </w:style>
  <w:style w:type="paragraph" w:styleId="Titre">
    <w:name w:val="Title"/>
    <w:basedOn w:val="Normal"/>
    <w:next w:val="Normal"/>
    <w:link w:val="TitreCar"/>
    <w:uiPriority w:val="10"/>
    <w:rsid w:val="00095343"/>
    <w:pPr>
      <w:spacing w:before="240"/>
      <w:jc w:val="center"/>
      <w:outlineLvl w:val="0"/>
    </w:pPr>
    <w:rPr>
      <w:rFonts w:ascii="Calibri Light" w:eastAsia="Times New Roman" w:hAnsi="Calibri Light" w:cs="Times New Roman"/>
      <w:b/>
      <w:bCs/>
      <w:kern w:val="28"/>
      <w:sz w:val="32"/>
      <w:szCs w:val="32"/>
    </w:rPr>
  </w:style>
  <w:style w:type="character" w:customStyle="1" w:styleId="TitreCar">
    <w:name w:val="Titre Car"/>
    <w:link w:val="Titre"/>
    <w:uiPriority w:val="10"/>
    <w:rsid w:val="00095343"/>
    <w:rPr>
      <w:rFonts w:ascii="Calibri Light" w:eastAsia="Times New Roman" w:hAnsi="Calibri Light" w:cs="Times New Roman"/>
      <w:b/>
      <w:bCs/>
      <w:kern w:val="28"/>
      <w:sz w:val="32"/>
      <w:szCs w:val="32"/>
      <w:lang w:val="en-GB" w:eastAsia="en-US"/>
    </w:rPr>
  </w:style>
  <w:style w:type="character" w:styleId="Rfrenceintense">
    <w:name w:val="Intense Reference"/>
    <w:uiPriority w:val="32"/>
    <w:rsid w:val="00095343"/>
    <w:rPr>
      <w:b/>
      <w:bCs/>
      <w:smallCaps/>
      <w:color w:val="5B9BD5"/>
      <w:spacing w:val="5"/>
    </w:rPr>
  </w:style>
  <w:style w:type="paragraph" w:customStyle="1" w:styleId="Footer1">
    <w:name w:val="Footer1"/>
    <w:basedOn w:val="Notedebasdepage"/>
    <w:rsid w:val="00D15619"/>
    <w:pPr>
      <w:tabs>
        <w:tab w:val="left" w:pos="284"/>
      </w:tabs>
    </w:pPr>
  </w:style>
  <w:style w:type="paragraph" w:customStyle="1" w:styleId="Text-Indent">
    <w:name w:val="Text-Indent"/>
    <w:basedOn w:val="Normal"/>
    <w:qFormat/>
    <w:rsid w:val="00900BE3"/>
    <w:pPr>
      <w:spacing w:before="120" w:after="0"/>
      <w:ind w:left="284"/>
    </w:pPr>
  </w:style>
  <w:style w:type="paragraph" w:customStyle="1" w:styleId="List21">
    <w:name w:val="List 21"/>
    <w:basedOn w:val="Paragraphedeliste"/>
    <w:rsid w:val="0059407A"/>
    <w:pPr>
      <w:tabs>
        <w:tab w:val="num" w:pos="360"/>
      </w:tabs>
      <w:spacing w:before="40" w:after="40"/>
    </w:pPr>
    <w:rPr>
      <w:szCs w:val="22"/>
    </w:rPr>
  </w:style>
  <w:style w:type="character" w:styleId="Lienhypertextesuivivisit">
    <w:name w:val="FollowedHyperlink"/>
    <w:uiPriority w:val="99"/>
    <w:semiHidden/>
    <w:unhideWhenUsed/>
    <w:rsid w:val="00A30139"/>
    <w:rPr>
      <w:color w:val="954F72"/>
      <w:u w:val="single"/>
    </w:rPr>
  </w:style>
  <w:style w:type="paragraph" w:customStyle="1" w:styleId="List22">
    <w:name w:val="List 22"/>
    <w:basedOn w:val="Paragraphedeliste"/>
    <w:rsid w:val="00A973E1"/>
    <w:pPr>
      <w:spacing w:before="40" w:after="40"/>
      <w:ind w:hanging="360"/>
    </w:pPr>
    <w:rPr>
      <w:szCs w:val="22"/>
    </w:rPr>
  </w:style>
  <w:style w:type="paragraph" w:customStyle="1" w:styleId="App4">
    <w:name w:val="App 4"/>
    <w:basedOn w:val="App3"/>
    <w:link w:val="App4Zchn"/>
    <w:qFormat/>
    <w:rsid w:val="00825054"/>
    <w:pPr>
      <w:numPr>
        <w:ilvl w:val="2"/>
      </w:numPr>
    </w:pPr>
    <w:rPr>
      <w:b w:val="0"/>
      <w:u w:val="single"/>
    </w:rPr>
  </w:style>
  <w:style w:type="character" w:customStyle="1" w:styleId="App4Zchn">
    <w:name w:val="App 4 Zchn"/>
    <w:link w:val="App4"/>
    <w:rsid w:val="00825054"/>
    <w:rPr>
      <w:bCs/>
      <w:sz w:val="22"/>
      <w:szCs w:val="22"/>
      <w:u w:val="single"/>
      <w:lang w:val="en-GB" w:eastAsia="en-US"/>
    </w:rPr>
  </w:style>
  <w:style w:type="paragraph" w:styleId="Liste3">
    <w:name w:val="List 3"/>
    <w:basedOn w:val="Normal"/>
    <w:uiPriority w:val="99"/>
    <w:semiHidden/>
    <w:unhideWhenUsed/>
    <w:rsid w:val="00457DE2"/>
    <w:pPr>
      <w:ind w:left="849" w:hanging="283"/>
      <w:contextualSpacing/>
    </w:pPr>
  </w:style>
  <w:style w:type="paragraph" w:customStyle="1" w:styleId="List-3-">
    <w:name w:val="List -3-"/>
    <w:basedOn w:val="List23"/>
    <w:link w:val="List-3-Zchn"/>
    <w:qFormat/>
    <w:rsid w:val="00CE11F5"/>
  </w:style>
  <w:style w:type="character" w:customStyle="1" w:styleId="List-3-Zchn">
    <w:name w:val="List -3- Zchn"/>
    <w:basedOn w:val="List2Zchn"/>
    <w:link w:val="List-3-"/>
    <w:rsid w:val="00CE11F5"/>
    <w:rPr>
      <w:sz w:val="22"/>
      <w:szCs w:val="22"/>
      <w:lang w:val="en-GB" w:eastAsia="en-US"/>
    </w:rPr>
  </w:style>
  <w:style w:type="paragraph" w:customStyle="1" w:styleId="ZCom">
    <w:name w:val="Z_Com"/>
    <w:basedOn w:val="Normal"/>
    <w:next w:val="ZDGName"/>
    <w:uiPriority w:val="99"/>
    <w:rsid w:val="00570501"/>
    <w:pPr>
      <w:widowControl w:val="0"/>
      <w:autoSpaceDE w:val="0"/>
      <w:autoSpaceDN w:val="0"/>
      <w:spacing w:before="0" w:after="0"/>
      <w:ind w:right="85"/>
      <w:jc w:val="both"/>
    </w:pPr>
    <w:rPr>
      <w:rFonts w:eastAsia="Times New Roman"/>
      <w:sz w:val="24"/>
      <w:szCs w:val="24"/>
      <w:lang w:eastAsia="fr-FR"/>
    </w:rPr>
  </w:style>
  <w:style w:type="paragraph" w:customStyle="1" w:styleId="ZDGName">
    <w:name w:val="Z_DGName"/>
    <w:basedOn w:val="Normal"/>
    <w:uiPriority w:val="99"/>
    <w:rsid w:val="00570501"/>
    <w:pPr>
      <w:widowControl w:val="0"/>
      <w:autoSpaceDE w:val="0"/>
      <w:autoSpaceDN w:val="0"/>
      <w:spacing w:before="0" w:after="0"/>
      <w:ind w:right="85"/>
    </w:pPr>
    <w:rPr>
      <w:rFonts w:eastAsia="Times New Roman"/>
      <w:sz w:val="16"/>
      <w:szCs w:val="16"/>
      <w:lang w:eastAsia="fr-FR"/>
    </w:rPr>
  </w:style>
  <w:style w:type="paragraph" w:styleId="Corpsdetexte">
    <w:name w:val="Body Text"/>
    <w:basedOn w:val="Normal"/>
    <w:link w:val="CorpsdetexteCar"/>
    <w:uiPriority w:val="99"/>
    <w:rsid w:val="00570501"/>
    <w:pPr>
      <w:spacing w:before="0" w:after="0"/>
      <w:jc w:val="center"/>
    </w:pPr>
    <w:rPr>
      <w:rFonts w:eastAsia="Times New Roman" w:cs="Times New Roman"/>
      <w:b/>
      <w:lang w:eastAsia="en-GB"/>
    </w:rPr>
  </w:style>
  <w:style w:type="character" w:customStyle="1" w:styleId="CorpsdetexteCar">
    <w:name w:val="Corps de texte Car"/>
    <w:link w:val="Corpsdetexte"/>
    <w:uiPriority w:val="99"/>
    <w:rsid w:val="00570501"/>
    <w:rPr>
      <w:rFonts w:eastAsia="Times New Roman" w:cs="Times New Roman"/>
      <w:b/>
      <w:sz w:val="22"/>
    </w:rPr>
  </w:style>
  <w:style w:type="paragraph" w:styleId="Date">
    <w:name w:val="Date"/>
    <w:basedOn w:val="Normal"/>
    <w:next w:val="Normal"/>
    <w:link w:val="DateCar"/>
    <w:uiPriority w:val="99"/>
    <w:rsid w:val="00570501"/>
    <w:pPr>
      <w:spacing w:before="0" w:after="0"/>
      <w:ind w:left="5103" w:right="-567"/>
    </w:pPr>
    <w:rPr>
      <w:rFonts w:ascii="Times New Roman" w:eastAsia="Times New Roman" w:hAnsi="Times New Roman" w:cs="Times New Roman"/>
      <w:sz w:val="24"/>
    </w:rPr>
  </w:style>
  <w:style w:type="character" w:customStyle="1" w:styleId="DateCar">
    <w:name w:val="Date Car"/>
    <w:link w:val="Date"/>
    <w:uiPriority w:val="99"/>
    <w:rsid w:val="00570501"/>
    <w:rPr>
      <w:rFonts w:ascii="Times New Roman" w:eastAsia="Times New Roman" w:hAnsi="Times New Roman" w:cs="Times New Roman"/>
      <w:sz w:val="24"/>
      <w:lang w:eastAsia="en-US"/>
    </w:rPr>
  </w:style>
  <w:style w:type="paragraph" w:styleId="NormalWeb">
    <w:name w:val="Normal (Web)"/>
    <w:basedOn w:val="Normal"/>
    <w:uiPriority w:val="99"/>
    <w:unhideWhenUsed/>
    <w:rsid w:val="00DC3212"/>
    <w:pPr>
      <w:spacing w:beforeAutospacing="1" w:afterAutospacing="1"/>
    </w:pPr>
    <w:rPr>
      <w:rFonts w:ascii="Times New Roman" w:eastAsia="Times New Roman" w:hAnsi="Times New Roman" w:cs="Times New Roman"/>
      <w:sz w:val="24"/>
      <w:szCs w:val="24"/>
      <w:lang w:val="en-US"/>
    </w:rPr>
  </w:style>
  <w:style w:type="character" w:customStyle="1" w:styleId="Menzionenonrisolta1">
    <w:name w:val="Menzione non risolta1"/>
    <w:uiPriority w:val="99"/>
    <w:semiHidden/>
    <w:unhideWhenUsed/>
    <w:rsid w:val="00CF1177"/>
    <w:rPr>
      <w:color w:val="605E5C"/>
      <w:shd w:val="clear" w:color="auto" w:fill="E1DFDD"/>
    </w:rPr>
  </w:style>
  <w:style w:type="character" w:customStyle="1" w:styleId="ui-provider">
    <w:name w:val="ui-provider"/>
    <w:rsid w:val="00EC3BBA"/>
  </w:style>
  <w:style w:type="paragraph" w:customStyle="1" w:styleId="Numreradrubrik1">
    <w:name w:val="Numrerad rubrik 1"/>
    <w:next w:val="Normal"/>
    <w:uiPriority w:val="2"/>
    <w:qFormat/>
    <w:rsid w:val="00B025BF"/>
    <w:pPr>
      <w:keepNext/>
      <w:keepLines/>
      <w:numPr>
        <w:numId w:val="33"/>
      </w:numPr>
      <w:spacing w:before="240" w:after="60"/>
      <w:outlineLvl w:val="0"/>
    </w:pPr>
    <w:rPr>
      <w:rFonts w:asciiTheme="majorHAnsi" w:eastAsiaTheme="minorHAnsi" w:hAnsiTheme="majorHAnsi" w:cs="Times New Roman"/>
      <w:b/>
      <w:kern w:val="32"/>
      <w:sz w:val="24"/>
      <w:szCs w:val="22"/>
      <w:lang w:val="en-US" w:eastAsia="en-US" w:bidi="en-US"/>
    </w:rPr>
  </w:style>
  <w:style w:type="paragraph" w:customStyle="1" w:styleId="Numreradrubrik2">
    <w:name w:val="Numrerad rubrik 2"/>
    <w:next w:val="Normal"/>
    <w:uiPriority w:val="2"/>
    <w:qFormat/>
    <w:rsid w:val="00B025BF"/>
    <w:pPr>
      <w:keepNext/>
      <w:keepLines/>
      <w:numPr>
        <w:ilvl w:val="1"/>
        <w:numId w:val="33"/>
      </w:numPr>
      <w:spacing w:before="240" w:after="60"/>
      <w:outlineLvl w:val="1"/>
    </w:pPr>
    <w:rPr>
      <w:rFonts w:asciiTheme="majorHAnsi" w:eastAsiaTheme="minorHAnsi" w:hAnsiTheme="majorHAnsi" w:cs="Times New Roman"/>
      <w:b/>
      <w:kern w:val="32"/>
      <w:sz w:val="24"/>
      <w:szCs w:val="24"/>
      <w:lang w:val="en-US" w:eastAsia="en-US" w:bidi="en-US"/>
    </w:rPr>
  </w:style>
  <w:style w:type="paragraph" w:customStyle="1" w:styleId="Numreradrubrik3">
    <w:name w:val="Numrerad rubrik 3"/>
    <w:next w:val="Normal"/>
    <w:uiPriority w:val="2"/>
    <w:qFormat/>
    <w:rsid w:val="00B025BF"/>
    <w:pPr>
      <w:keepNext/>
      <w:keepLines/>
      <w:numPr>
        <w:ilvl w:val="2"/>
        <w:numId w:val="33"/>
      </w:numPr>
      <w:spacing w:before="240" w:after="60"/>
      <w:outlineLvl w:val="2"/>
    </w:pPr>
    <w:rPr>
      <w:rFonts w:asciiTheme="majorHAnsi" w:eastAsiaTheme="minorHAnsi" w:hAnsiTheme="majorHAnsi" w:cs="Times New Roman"/>
      <w:b/>
      <w:sz w:val="24"/>
      <w:szCs w:val="28"/>
      <w:lang w:val="en-US" w:eastAsia="en-US" w:bidi="en-US"/>
    </w:rPr>
  </w:style>
  <w:style w:type="paragraph" w:customStyle="1" w:styleId="Numreradrubrik4">
    <w:name w:val="Numrerad rubrik 4"/>
    <w:next w:val="Normal"/>
    <w:uiPriority w:val="2"/>
    <w:qFormat/>
    <w:rsid w:val="00B025BF"/>
    <w:pPr>
      <w:keepNext/>
      <w:keepLines/>
      <w:numPr>
        <w:ilvl w:val="3"/>
        <w:numId w:val="33"/>
      </w:numPr>
      <w:spacing w:before="240" w:after="60"/>
      <w:outlineLvl w:val="3"/>
    </w:pPr>
    <w:rPr>
      <w:rFonts w:asciiTheme="majorHAnsi" w:eastAsiaTheme="minorHAnsi" w:hAnsiTheme="majorHAnsi" w:cs="Times New Roman"/>
      <w:b/>
      <w:szCs w:val="28"/>
      <w:lang w:val="en-US" w:eastAsia="en-US" w:bidi="en-US"/>
    </w:rPr>
  </w:style>
  <w:style w:type="paragraph" w:customStyle="1" w:styleId="Numreradrubrik5">
    <w:name w:val="Numrerad rubrik 5"/>
    <w:next w:val="Normal"/>
    <w:uiPriority w:val="2"/>
    <w:semiHidden/>
    <w:unhideWhenUsed/>
    <w:rsid w:val="00B025BF"/>
    <w:pPr>
      <w:keepNext/>
      <w:keepLines/>
      <w:numPr>
        <w:ilvl w:val="4"/>
        <w:numId w:val="33"/>
      </w:numPr>
      <w:spacing w:before="240" w:after="60"/>
      <w:outlineLvl w:val="4"/>
    </w:pPr>
    <w:rPr>
      <w:rFonts w:asciiTheme="majorHAnsi" w:eastAsiaTheme="minorHAnsi" w:hAnsiTheme="majorHAnsi" w:cs="Times New Roman"/>
      <w:b/>
      <w:i/>
      <w:szCs w:val="28"/>
      <w:lang w:val="en-US" w:eastAsia="en-US" w:bidi="en-US"/>
    </w:rPr>
  </w:style>
  <w:style w:type="paragraph" w:customStyle="1" w:styleId="Numreradrubrik6">
    <w:name w:val="Numrerad rubrik 6"/>
    <w:next w:val="Normal"/>
    <w:uiPriority w:val="2"/>
    <w:semiHidden/>
    <w:unhideWhenUsed/>
    <w:rsid w:val="00B025BF"/>
    <w:pPr>
      <w:keepNext/>
      <w:keepLines/>
      <w:numPr>
        <w:ilvl w:val="5"/>
        <w:numId w:val="33"/>
      </w:numPr>
      <w:spacing w:before="120" w:after="60"/>
      <w:outlineLvl w:val="5"/>
    </w:pPr>
    <w:rPr>
      <w:rFonts w:asciiTheme="majorHAnsi" w:eastAsiaTheme="minorHAnsi" w:hAnsiTheme="majorHAnsi" w:cs="Times New Roman"/>
      <w:i/>
      <w:szCs w:val="28"/>
      <w:lang w:val="en-US" w:eastAsia="en-US" w:bidi="en-US"/>
    </w:rPr>
  </w:style>
  <w:style w:type="paragraph" w:customStyle="1" w:styleId="Numreradrubrik7">
    <w:name w:val="Numrerad rubrik 7"/>
    <w:next w:val="Normal"/>
    <w:uiPriority w:val="2"/>
    <w:semiHidden/>
    <w:unhideWhenUsed/>
    <w:rsid w:val="00B025BF"/>
    <w:pPr>
      <w:keepNext/>
      <w:keepLines/>
      <w:numPr>
        <w:ilvl w:val="6"/>
        <w:numId w:val="33"/>
      </w:numPr>
      <w:spacing w:before="120" w:after="60"/>
      <w:outlineLvl w:val="6"/>
    </w:pPr>
    <w:rPr>
      <w:rFonts w:asciiTheme="majorHAnsi" w:eastAsiaTheme="minorHAnsi" w:hAnsiTheme="majorHAnsi" w:cs="Times New Roman"/>
      <w:i/>
      <w:szCs w:val="28"/>
      <w:lang w:val="en-US" w:eastAsia="en-US" w:bidi="en-US"/>
    </w:rPr>
  </w:style>
  <w:style w:type="paragraph" w:customStyle="1" w:styleId="Numreradrubrik8">
    <w:name w:val="Numrerad rubrik 8"/>
    <w:next w:val="Normal"/>
    <w:uiPriority w:val="2"/>
    <w:semiHidden/>
    <w:unhideWhenUsed/>
    <w:rsid w:val="00B025BF"/>
    <w:pPr>
      <w:keepNext/>
      <w:keepLines/>
      <w:numPr>
        <w:ilvl w:val="7"/>
        <w:numId w:val="33"/>
      </w:numPr>
      <w:spacing w:before="120" w:after="60"/>
      <w:outlineLvl w:val="7"/>
    </w:pPr>
    <w:rPr>
      <w:rFonts w:asciiTheme="majorHAnsi" w:eastAsiaTheme="minorHAnsi" w:hAnsiTheme="majorHAnsi" w:cs="Times New Roman"/>
      <w:i/>
      <w:szCs w:val="28"/>
      <w:lang w:val="en-US" w:eastAsia="en-US" w:bidi="en-US"/>
    </w:rPr>
  </w:style>
  <w:style w:type="paragraph" w:customStyle="1" w:styleId="Numreradrubrik9">
    <w:name w:val="Numrerad rubrik 9"/>
    <w:next w:val="Normal"/>
    <w:uiPriority w:val="2"/>
    <w:semiHidden/>
    <w:unhideWhenUsed/>
    <w:rsid w:val="00B025BF"/>
    <w:pPr>
      <w:keepNext/>
      <w:keepLines/>
      <w:numPr>
        <w:ilvl w:val="8"/>
        <w:numId w:val="33"/>
      </w:numPr>
      <w:spacing w:before="120" w:after="60"/>
      <w:outlineLvl w:val="8"/>
    </w:pPr>
    <w:rPr>
      <w:rFonts w:asciiTheme="majorHAnsi" w:eastAsiaTheme="minorHAnsi" w:hAnsiTheme="majorHAnsi" w:cs="Times New Roman"/>
      <w:i/>
      <w:szCs w:val="28"/>
      <w:lang w:val="en-US" w:eastAsia="en-US" w:bidi="en-US"/>
    </w:rPr>
  </w:style>
  <w:style w:type="paragraph" w:customStyle="1" w:styleId="pf0">
    <w:name w:val="pf0"/>
    <w:basedOn w:val="Normal"/>
    <w:rsid w:val="00321CC1"/>
    <w:pPr>
      <w:spacing w:beforeAutospacing="1" w:afterAutospacing="1"/>
    </w:pPr>
    <w:rPr>
      <w:rFonts w:ascii="Times New Roman" w:eastAsia="Times New Roman" w:hAnsi="Times New Roman" w:cs="Times New Roman"/>
      <w:sz w:val="24"/>
      <w:szCs w:val="24"/>
      <w:lang w:val="sv-SE" w:eastAsia="sv-SE"/>
    </w:rPr>
  </w:style>
  <w:style w:type="character" w:customStyle="1" w:styleId="cf01">
    <w:name w:val="cf01"/>
    <w:basedOn w:val="Policepardfaut"/>
    <w:rsid w:val="00321CC1"/>
    <w:rPr>
      <w:rFonts w:ascii="Segoe UI" w:hAnsi="Segoe UI" w:cs="Segoe UI" w:hint="default"/>
      <w:color w:val="212121"/>
      <w:sz w:val="18"/>
      <w:szCs w:val="18"/>
      <w:shd w:val="clear" w:color="auto" w:fill="FFFFFF"/>
    </w:rPr>
  </w:style>
  <w:style w:type="character" w:customStyle="1" w:styleId="cf11">
    <w:name w:val="cf11"/>
    <w:basedOn w:val="Policepardfaut"/>
    <w:rsid w:val="00321CC1"/>
    <w:rPr>
      <w:rFonts w:ascii="Segoe UI" w:hAnsi="Segoe UI" w:cs="Segoe UI" w:hint="default"/>
      <w:sz w:val="18"/>
      <w:szCs w:val="18"/>
    </w:rPr>
  </w:style>
  <w:style w:type="paragraph" w:styleId="TM5">
    <w:name w:val="toc 5"/>
    <w:basedOn w:val="Normal"/>
    <w:next w:val="Normal"/>
    <w:autoRedefine/>
    <w:uiPriority w:val="39"/>
    <w:unhideWhenUsed/>
    <w:rsid w:val="0079542F"/>
    <w:pPr>
      <w:spacing w:before="0" w:line="259" w:lineRule="auto"/>
      <w:ind w:left="880"/>
    </w:pPr>
    <w:rPr>
      <w:rFonts w:asciiTheme="minorHAnsi" w:eastAsiaTheme="minorEastAsia" w:hAnsiTheme="minorHAnsi" w:cstheme="minorBidi"/>
      <w:szCs w:val="22"/>
      <w:lang w:val="it-IT" w:eastAsia="it-IT"/>
    </w:rPr>
  </w:style>
  <w:style w:type="paragraph" w:styleId="TM6">
    <w:name w:val="toc 6"/>
    <w:basedOn w:val="Normal"/>
    <w:next w:val="Normal"/>
    <w:autoRedefine/>
    <w:uiPriority w:val="39"/>
    <w:unhideWhenUsed/>
    <w:rsid w:val="0079542F"/>
    <w:pPr>
      <w:spacing w:before="0" w:line="259" w:lineRule="auto"/>
      <w:ind w:left="1100"/>
    </w:pPr>
    <w:rPr>
      <w:rFonts w:asciiTheme="minorHAnsi" w:eastAsiaTheme="minorEastAsia" w:hAnsiTheme="minorHAnsi" w:cstheme="minorBidi"/>
      <w:szCs w:val="22"/>
      <w:lang w:val="it-IT" w:eastAsia="it-IT"/>
    </w:rPr>
  </w:style>
  <w:style w:type="paragraph" w:styleId="TM7">
    <w:name w:val="toc 7"/>
    <w:basedOn w:val="Normal"/>
    <w:next w:val="Normal"/>
    <w:autoRedefine/>
    <w:uiPriority w:val="39"/>
    <w:unhideWhenUsed/>
    <w:rsid w:val="0079542F"/>
    <w:pPr>
      <w:spacing w:before="0" w:line="259" w:lineRule="auto"/>
      <w:ind w:left="1320"/>
    </w:pPr>
    <w:rPr>
      <w:rFonts w:asciiTheme="minorHAnsi" w:eastAsiaTheme="minorEastAsia" w:hAnsiTheme="minorHAnsi" w:cstheme="minorBidi"/>
      <w:szCs w:val="22"/>
      <w:lang w:val="it-IT" w:eastAsia="it-IT"/>
    </w:rPr>
  </w:style>
  <w:style w:type="paragraph" w:styleId="TM8">
    <w:name w:val="toc 8"/>
    <w:basedOn w:val="Normal"/>
    <w:next w:val="Normal"/>
    <w:autoRedefine/>
    <w:uiPriority w:val="39"/>
    <w:unhideWhenUsed/>
    <w:rsid w:val="0079542F"/>
    <w:pPr>
      <w:spacing w:before="0" w:line="259" w:lineRule="auto"/>
      <w:ind w:left="1540"/>
    </w:pPr>
    <w:rPr>
      <w:rFonts w:asciiTheme="minorHAnsi" w:eastAsiaTheme="minorEastAsia" w:hAnsiTheme="minorHAnsi" w:cstheme="minorBidi"/>
      <w:szCs w:val="22"/>
      <w:lang w:val="it-IT" w:eastAsia="it-IT"/>
    </w:rPr>
  </w:style>
  <w:style w:type="paragraph" w:styleId="TM9">
    <w:name w:val="toc 9"/>
    <w:basedOn w:val="Normal"/>
    <w:next w:val="Normal"/>
    <w:autoRedefine/>
    <w:uiPriority w:val="39"/>
    <w:unhideWhenUsed/>
    <w:rsid w:val="0079542F"/>
    <w:pPr>
      <w:spacing w:before="0" w:line="259" w:lineRule="auto"/>
      <w:ind w:left="1760"/>
    </w:pPr>
    <w:rPr>
      <w:rFonts w:asciiTheme="minorHAnsi" w:eastAsiaTheme="minorEastAsia" w:hAnsiTheme="minorHAnsi" w:cstheme="minorBidi"/>
      <w:szCs w:val="22"/>
      <w:lang w:val="it-IT" w:eastAsia="it-IT"/>
    </w:rPr>
  </w:style>
  <w:style w:type="character" w:styleId="Mentionnonrsolue">
    <w:name w:val="Unresolved Mention"/>
    <w:basedOn w:val="Policepardfaut"/>
    <w:uiPriority w:val="99"/>
    <w:semiHidden/>
    <w:unhideWhenUsed/>
    <w:rsid w:val="0079542F"/>
    <w:rPr>
      <w:color w:val="605E5C"/>
      <w:shd w:val="clear" w:color="auto" w:fill="E1DFDD"/>
    </w:rPr>
  </w:style>
  <w:style w:type="paragraph" w:customStyle="1" w:styleId="Default">
    <w:name w:val="Default"/>
    <w:rsid w:val="005426C1"/>
    <w:pPr>
      <w:autoSpaceDE w:val="0"/>
      <w:autoSpaceDN w:val="0"/>
      <w:adjustRightInd w:val="0"/>
    </w:pPr>
    <w:rPr>
      <w:rFonts w:ascii="Tahoma" w:hAnsi="Tahoma" w:cs="Tahoma"/>
      <w:color w:val="000000"/>
      <w:sz w:val="24"/>
      <w:szCs w:val="24"/>
    </w:rPr>
  </w:style>
  <w:style w:type="table" w:styleId="TableauGrille4-Accentuation1">
    <w:name w:val="Grid Table 4 Accent 1"/>
    <w:basedOn w:val="TableauNormal"/>
    <w:uiPriority w:val="49"/>
    <w:rsid w:val="006925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5Fonc-Accentuation1">
    <w:name w:val="Grid Table 5 Dark Accent 1"/>
    <w:basedOn w:val="TableauNormal"/>
    <w:uiPriority w:val="50"/>
    <w:rsid w:val="00B13D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4">
    <w:name w:val="Grid Table 4"/>
    <w:basedOn w:val="TableauNormal"/>
    <w:uiPriority w:val="49"/>
    <w:rsid w:val="00B13D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5Fonc">
    <w:name w:val="Grid Table 5 Dark"/>
    <w:basedOn w:val="TableauNormal"/>
    <w:uiPriority w:val="50"/>
    <w:rsid w:val="00B13D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ISOComments">
    <w:name w:val="ISO_Comments"/>
    <w:basedOn w:val="Normal"/>
    <w:rsid w:val="004D079E"/>
    <w:pPr>
      <w:spacing w:before="210" w:after="0" w:line="210" w:lineRule="exact"/>
    </w:pPr>
    <w:rPr>
      <w:rFonts w:eastAsia="Times New Roman" w:cs="Times New Roman"/>
      <w:sz w:val="18"/>
    </w:rPr>
  </w:style>
  <w:style w:type="character" w:customStyle="1" w:styleId="normaltextrun">
    <w:name w:val="normaltextrun"/>
    <w:basedOn w:val="Policepardfaut"/>
    <w:rsid w:val="004171CC"/>
  </w:style>
  <w:style w:type="paragraph" w:customStyle="1" w:styleId="Formatmall1">
    <w:name w:val="Formatmall1"/>
    <w:basedOn w:val="Titre3"/>
    <w:link w:val="Formatmall1Char"/>
    <w:qFormat/>
    <w:rsid w:val="004171CC"/>
    <w:pPr>
      <w:numPr>
        <w:ilvl w:val="0"/>
        <w:numId w:val="0"/>
      </w:numPr>
      <w:ind w:left="7257" w:hanging="648"/>
    </w:pPr>
  </w:style>
  <w:style w:type="character" w:customStyle="1" w:styleId="Formatmall1Char">
    <w:name w:val="Formatmall1 Char"/>
    <w:basedOn w:val="Titre3Car"/>
    <w:link w:val="Formatmall1"/>
    <w:rsid w:val="004171CC"/>
    <w:rPr>
      <w:b/>
      <w:bCs/>
      <w:sz w:val="24"/>
      <w:szCs w:val="22"/>
      <w:lang w:val="en-GB" w:eastAsia="en-US"/>
    </w:rPr>
  </w:style>
  <w:style w:type="character" w:customStyle="1" w:styleId="shorttext">
    <w:name w:val="short_text"/>
    <w:basedOn w:val="Policepardfaut"/>
    <w:rsid w:val="00E71509"/>
  </w:style>
  <w:style w:type="paragraph" w:customStyle="1" w:styleId="LegalNumPar">
    <w:name w:val="LegalNumPar"/>
    <w:basedOn w:val="Normal"/>
    <w:rsid w:val="008E2C05"/>
    <w:pPr>
      <w:numPr>
        <w:numId w:val="297"/>
      </w:numPr>
      <w:spacing w:line="360" w:lineRule="auto"/>
    </w:pPr>
    <w:rPr>
      <w:sz w:val="24"/>
    </w:rPr>
  </w:style>
  <w:style w:type="paragraph" w:customStyle="1" w:styleId="LegalNumPar2">
    <w:name w:val="LegalNumPar2"/>
    <w:basedOn w:val="Normal"/>
    <w:rsid w:val="008E2C05"/>
    <w:pPr>
      <w:numPr>
        <w:ilvl w:val="1"/>
        <w:numId w:val="297"/>
      </w:numPr>
      <w:spacing w:line="360" w:lineRule="auto"/>
    </w:pPr>
    <w:rPr>
      <w:sz w:val="24"/>
    </w:rPr>
  </w:style>
  <w:style w:type="paragraph" w:customStyle="1" w:styleId="LegalNumPar3">
    <w:name w:val="LegalNumPar3"/>
    <w:basedOn w:val="Normal"/>
    <w:rsid w:val="008E2C05"/>
    <w:pPr>
      <w:numPr>
        <w:ilvl w:val="2"/>
        <w:numId w:val="297"/>
      </w:numPr>
      <w:spacing w:line="360" w:lineRule="auto"/>
    </w:pPr>
    <w:rPr>
      <w:sz w:val="24"/>
    </w:rPr>
  </w:style>
  <w:style w:type="paragraph" w:styleId="Notedefin">
    <w:name w:val="endnote text"/>
    <w:basedOn w:val="Normal"/>
    <w:link w:val="NotedefinCar"/>
    <w:uiPriority w:val="99"/>
    <w:semiHidden/>
    <w:unhideWhenUsed/>
    <w:rsid w:val="00B47067"/>
    <w:pPr>
      <w:spacing w:before="0" w:after="0"/>
    </w:pPr>
    <w:rPr>
      <w:sz w:val="20"/>
    </w:rPr>
  </w:style>
  <w:style w:type="character" w:customStyle="1" w:styleId="NotedefinCar">
    <w:name w:val="Note de fin Car"/>
    <w:basedOn w:val="Policepardfaut"/>
    <w:link w:val="Notedefin"/>
    <w:uiPriority w:val="99"/>
    <w:semiHidden/>
    <w:rsid w:val="00B47067"/>
    <w:rPr>
      <w:lang w:val="en-GB" w:eastAsia="en-US"/>
    </w:rPr>
  </w:style>
  <w:style w:type="character" w:styleId="Appeldenotedefin">
    <w:name w:val="endnote reference"/>
    <w:basedOn w:val="Policepardfaut"/>
    <w:uiPriority w:val="99"/>
    <w:semiHidden/>
    <w:unhideWhenUsed/>
    <w:rsid w:val="00B47067"/>
    <w:rPr>
      <w:vertAlign w:val="superscript"/>
    </w:rPr>
  </w:style>
  <w:style w:type="table" w:customStyle="1" w:styleId="Tabellrutnt1">
    <w:name w:val="Tabellrutnät1"/>
    <w:basedOn w:val="TableauNormal"/>
    <w:next w:val="Grilledutableau"/>
    <w:uiPriority w:val="59"/>
    <w:rsid w:val="00FD03E5"/>
    <w:rPr>
      <w:rFonts w:eastAsia="Arial" w:cs="Times New Roman"/>
      <w:kern w:val="2"/>
      <w:sz w:val="22"/>
      <w:szCs w:val="22"/>
      <w:lang w:val="en-US" w:eastAsia="en-US" w:bidi="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
    <w:name w:val="Griglia tabella1"/>
    <w:basedOn w:val="TableauNormal"/>
    <w:next w:val="Grilledutableau"/>
    <w:uiPriority w:val="39"/>
    <w:rsid w:val="00FD0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764">
      <w:bodyDiv w:val="1"/>
      <w:marLeft w:val="0"/>
      <w:marRight w:val="0"/>
      <w:marTop w:val="0"/>
      <w:marBottom w:val="0"/>
      <w:divBdr>
        <w:top w:val="none" w:sz="0" w:space="0" w:color="auto"/>
        <w:left w:val="none" w:sz="0" w:space="0" w:color="auto"/>
        <w:bottom w:val="none" w:sz="0" w:space="0" w:color="auto"/>
        <w:right w:val="none" w:sz="0" w:space="0" w:color="auto"/>
      </w:divBdr>
    </w:div>
    <w:div w:id="93092023">
      <w:bodyDiv w:val="1"/>
      <w:marLeft w:val="0"/>
      <w:marRight w:val="0"/>
      <w:marTop w:val="0"/>
      <w:marBottom w:val="0"/>
      <w:divBdr>
        <w:top w:val="none" w:sz="0" w:space="0" w:color="auto"/>
        <w:left w:val="none" w:sz="0" w:space="0" w:color="auto"/>
        <w:bottom w:val="none" w:sz="0" w:space="0" w:color="auto"/>
        <w:right w:val="none" w:sz="0" w:space="0" w:color="auto"/>
      </w:divBdr>
    </w:div>
    <w:div w:id="102069097">
      <w:bodyDiv w:val="1"/>
      <w:marLeft w:val="0"/>
      <w:marRight w:val="0"/>
      <w:marTop w:val="0"/>
      <w:marBottom w:val="0"/>
      <w:divBdr>
        <w:top w:val="none" w:sz="0" w:space="0" w:color="auto"/>
        <w:left w:val="none" w:sz="0" w:space="0" w:color="auto"/>
        <w:bottom w:val="none" w:sz="0" w:space="0" w:color="auto"/>
        <w:right w:val="none" w:sz="0" w:space="0" w:color="auto"/>
      </w:divBdr>
    </w:div>
    <w:div w:id="112795162">
      <w:bodyDiv w:val="1"/>
      <w:marLeft w:val="0"/>
      <w:marRight w:val="0"/>
      <w:marTop w:val="0"/>
      <w:marBottom w:val="0"/>
      <w:divBdr>
        <w:top w:val="none" w:sz="0" w:space="0" w:color="auto"/>
        <w:left w:val="none" w:sz="0" w:space="0" w:color="auto"/>
        <w:bottom w:val="none" w:sz="0" w:space="0" w:color="auto"/>
        <w:right w:val="none" w:sz="0" w:space="0" w:color="auto"/>
      </w:divBdr>
      <w:divsChild>
        <w:div w:id="575821750">
          <w:marLeft w:val="547"/>
          <w:marRight w:val="0"/>
          <w:marTop w:val="0"/>
          <w:marBottom w:val="0"/>
          <w:divBdr>
            <w:top w:val="none" w:sz="0" w:space="0" w:color="auto"/>
            <w:left w:val="none" w:sz="0" w:space="0" w:color="auto"/>
            <w:bottom w:val="none" w:sz="0" w:space="0" w:color="auto"/>
            <w:right w:val="none" w:sz="0" w:space="0" w:color="auto"/>
          </w:divBdr>
        </w:div>
      </w:divsChild>
    </w:div>
    <w:div w:id="192429539">
      <w:bodyDiv w:val="1"/>
      <w:marLeft w:val="0"/>
      <w:marRight w:val="0"/>
      <w:marTop w:val="0"/>
      <w:marBottom w:val="0"/>
      <w:divBdr>
        <w:top w:val="none" w:sz="0" w:space="0" w:color="auto"/>
        <w:left w:val="none" w:sz="0" w:space="0" w:color="auto"/>
        <w:bottom w:val="none" w:sz="0" w:space="0" w:color="auto"/>
        <w:right w:val="none" w:sz="0" w:space="0" w:color="auto"/>
      </w:divBdr>
    </w:div>
    <w:div w:id="192695384">
      <w:bodyDiv w:val="1"/>
      <w:marLeft w:val="0"/>
      <w:marRight w:val="0"/>
      <w:marTop w:val="0"/>
      <w:marBottom w:val="0"/>
      <w:divBdr>
        <w:top w:val="none" w:sz="0" w:space="0" w:color="auto"/>
        <w:left w:val="none" w:sz="0" w:space="0" w:color="auto"/>
        <w:bottom w:val="none" w:sz="0" w:space="0" w:color="auto"/>
        <w:right w:val="none" w:sz="0" w:space="0" w:color="auto"/>
      </w:divBdr>
    </w:div>
    <w:div w:id="211159114">
      <w:bodyDiv w:val="1"/>
      <w:marLeft w:val="0"/>
      <w:marRight w:val="0"/>
      <w:marTop w:val="0"/>
      <w:marBottom w:val="0"/>
      <w:divBdr>
        <w:top w:val="none" w:sz="0" w:space="0" w:color="auto"/>
        <w:left w:val="none" w:sz="0" w:space="0" w:color="auto"/>
        <w:bottom w:val="none" w:sz="0" w:space="0" w:color="auto"/>
        <w:right w:val="none" w:sz="0" w:space="0" w:color="auto"/>
      </w:divBdr>
    </w:div>
    <w:div w:id="227418749">
      <w:bodyDiv w:val="1"/>
      <w:marLeft w:val="0"/>
      <w:marRight w:val="0"/>
      <w:marTop w:val="0"/>
      <w:marBottom w:val="0"/>
      <w:divBdr>
        <w:top w:val="none" w:sz="0" w:space="0" w:color="auto"/>
        <w:left w:val="none" w:sz="0" w:space="0" w:color="auto"/>
        <w:bottom w:val="none" w:sz="0" w:space="0" w:color="auto"/>
        <w:right w:val="none" w:sz="0" w:space="0" w:color="auto"/>
      </w:divBdr>
    </w:div>
    <w:div w:id="309217646">
      <w:bodyDiv w:val="1"/>
      <w:marLeft w:val="0"/>
      <w:marRight w:val="0"/>
      <w:marTop w:val="0"/>
      <w:marBottom w:val="0"/>
      <w:divBdr>
        <w:top w:val="none" w:sz="0" w:space="0" w:color="auto"/>
        <w:left w:val="none" w:sz="0" w:space="0" w:color="auto"/>
        <w:bottom w:val="none" w:sz="0" w:space="0" w:color="auto"/>
        <w:right w:val="none" w:sz="0" w:space="0" w:color="auto"/>
      </w:divBdr>
    </w:div>
    <w:div w:id="340933922">
      <w:bodyDiv w:val="1"/>
      <w:marLeft w:val="0"/>
      <w:marRight w:val="0"/>
      <w:marTop w:val="0"/>
      <w:marBottom w:val="0"/>
      <w:divBdr>
        <w:top w:val="none" w:sz="0" w:space="0" w:color="auto"/>
        <w:left w:val="none" w:sz="0" w:space="0" w:color="auto"/>
        <w:bottom w:val="none" w:sz="0" w:space="0" w:color="auto"/>
        <w:right w:val="none" w:sz="0" w:space="0" w:color="auto"/>
      </w:divBdr>
    </w:div>
    <w:div w:id="350617653">
      <w:bodyDiv w:val="1"/>
      <w:marLeft w:val="0"/>
      <w:marRight w:val="0"/>
      <w:marTop w:val="0"/>
      <w:marBottom w:val="0"/>
      <w:divBdr>
        <w:top w:val="none" w:sz="0" w:space="0" w:color="auto"/>
        <w:left w:val="none" w:sz="0" w:space="0" w:color="auto"/>
        <w:bottom w:val="none" w:sz="0" w:space="0" w:color="auto"/>
        <w:right w:val="none" w:sz="0" w:space="0" w:color="auto"/>
      </w:divBdr>
    </w:div>
    <w:div w:id="370807038">
      <w:bodyDiv w:val="1"/>
      <w:marLeft w:val="0"/>
      <w:marRight w:val="0"/>
      <w:marTop w:val="0"/>
      <w:marBottom w:val="0"/>
      <w:divBdr>
        <w:top w:val="none" w:sz="0" w:space="0" w:color="auto"/>
        <w:left w:val="none" w:sz="0" w:space="0" w:color="auto"/>
        <w:bottom w:val="none" w:sz="0" w:space="0" w:color="auto"/>
        <w:right w:val="none" w:sz="0" w:space="0" w:color="auto"/>
      </w:divBdr>
    </w:div>
    <w:div w:id="385224941">
      <w:bodyDiv w:val="1"/>
      <w:marLeft w:val="0"/>
      <w:marRight w:val="0"/>
      <w:marTop w:val="0"/>
      <w:marBottom w:val="0"/>
      <w:divBdr>
        <w:top w:val="none" w:sz="0" w:space="0" w:color="auto"/>
        <w:left w:val="none" w:sz="0" w:space="0" w:color="auto"/>
        <w:bottom w:val="none" w:sz="0" w:space="0" w:color="auto"/>
        <w:right w:val="none" w:sz="0" w:space="0" w:color="auto"/>
      </w:divBdr>
    </w:div>
    <w:div w:id="401759950">
      <w:bodyDiv w:val="1"/>
      <w:marLeft w:val="0"/>
      <w:marRight w:val="0"/>
      <w:marTop w:val="0"/>
      <w:marBottom w:val="0"/>
      <w:divBdr>
        <w:top w:val="none" w:sz="0" w:space="0" w:color="auto"/>
        <w:left w:val="none" w:sz="0" w:space="0" w:color="auto"/>
        <w:bottom w:val="none" w:sz="0" w:space="0" w:color="auto"/>
        <w:right w:val="none" w:sz="0" w:space="0" w:color="auto"/>
      </w:divBdr>
    </w:div>
    <w:div w:id="443770464">
      <w:bodyDiv w:val="1"/>
      <w:marLeft w:val="0"/>
      <w:marRight w:val="0"/>
      <w:marTop w:val="0"/>
      <w:marBottom w:val="0"/>
      <w:divBdr>
        <w:top w:val="none" w:sz="0" w:space="0" w:color="auto"/>
        <w:left w:val="none" w:sz="0" w:space="0" w:color="auto"/>
        <w:bottom w:val="none" w:sz="0" w:space="0" w:color="auto"/>
        <w:right w:val="none" w:sz="0" w:space="0" w:color="auto"/>
      </w:divBdr>
    </w:div>
    <w:div w:id="484705106">
      <w:bodyDiv w:val="1"/>
      <w:marLeft w:val="0"/>
      <w:marRight w:val="0"/>
      <w:marTop w:val="0"/>
      <w:marBottom w:val="0"/>
      <w:divBdr>
        <w:top w:val="none" w:sz="0" w:space="0" w:color="auto"/>
        <w:left w:val="none" w:sz="0" w:space="0" w:color="auto"/>
        <w:bottom w:val="none" w:sz="0" w:space="0" w:color="auto"/>
        <w:right w:val="none" w:sz="0" w:space="0" w:color="auto"/>
      </w:divBdr>
    </w:div>
    <w:div w:id="518784438">
      <w:bodyDiv w:val="1"/>
      <w:marLeft w:val="0"/>
      <w:marRight w:val="0"/>
      <w:marTop w:val="0"/>
      <w:marBottom w:val="0"/>
      <w:divBdr>
        <w:top w:val="none" w:sz="0" w:space="0" w:color="auto"/>
        <w:left w:val="none" w:sz="0" w:space="0" w:color="auto"/>
        <w:bottom w:val="none" w:sz="0" w:space="0" w:color="auto"/>
        <w:right w:val="none" w:sz="0" w:space="0" w:color="auto"/>
      </w:divBdr>
    </w:div>
    <w:div w:id="549994868">
      <w:bodyDiv w:val="1"/>
      <w:marLeft w:val="0"/>
      <w:marRight w:val="0"/>
      <w:marTop w:val="0"/>
      <w:marBottom w:val="0"/>
      <w:divBdr>
        <w:top w:val="none" w:sz="0" w:space="0" w:color="auto"/>
        <w:left w:val="none" w:sz="0" w:space="0" w:color="auto"/>
        <w:bottom w:val="none" w:sz="0" w:space="0" w:color="auto"/>
        <w:right w:val="none" w:sz="0" w:space="0" w:color="auto"/>
      </w:divBdr>
    </w:div>
    <w:div w:id="559484314">
      <w:bodyDiv w:val="1"/>
      <w:marLeft w:val="0"/>
      <w:marRight w:val="0"/>
      <w:marTop w:val="0"/>
      <w:marBottom w:val="0"/>
      <w:divBdr>
        <w:top w:val="none" w:sz="0" w:space="0" w:color="auto"/>
        <w:left w:val="none" w:sz="0" w:space="0" w:color="auto"/>
        <w:bottom w:val="none" w:sz="0" w:space="0" w:color="auto"/>
        <w:right w:val="none" w:sz="0" w:space="0" w:color="auto"/>
      </w:divBdr>
      <w:divsChild>
        <w:div w:id="1818258893">
          <w:marLeft w:val="0"/>
          <w:marRight w:val="0"/>
          <w:marTop w:val="0"/>
          <w:marBottom w:val="0"/>
          <w:divBdr>
            <w:top w:val="none" w:sz="0" w:space="0" w:color="auto"/>
            <w:left w:val="none" w:sz="0" w:space="0" w:color="auto"/>
            <w:bottom w:val="none" w:sz="0" w:space="0" w:color="auto"/>
            <w:right w:val="none" w:sz="0" w:space="0" w:color="auto"/>
          </w:divBdr>
        </w:div>
      </w:divsChild>
    </w:div>
    <w:div w:id="649943626">
      <w:bodyDiv w:val="1"/>
      <w:marLeft w:val="0"/>
      <w:marRight w:val="0"/>
      <w:marTop w:val="0"/>
      <w:marBottom w:val="0"/>
      <w:divBdr>
        <w:top w:val="none" w:sz="0" w:space="0" w:color="auto"/>
        <w:left w:val="none" w:sz="0" w:space="0" w:color="auto"/>
        <w:bottom w:val="none" w:sz="0" w:space="0" w:color="auto"/>
        <w:right w:val="none" w:sz="0" w:space="0" w:color="auto"/>
      </w:divBdr>
    </w:div>
    <w:div w:id="658310602">
      <w:bodyDiv w:val="1"/>
      <w:marLeft w:val="0"/>
      <w:marRight w:val="0"/>
      <w:marTop w:val="0"/>
      <w:marBottom w:val="0"/>
      <w:divBdr>
        <w:top w:val="none" w:sz="0" w:space="0" w:color="auto"/>
        <w:left w:val="none" w:sz="0" w:space="0" w:color="auto"/>
        <w:bottom w:val="none" w:sz="0" w:space="0" w:color="auto"/>
        <w:right w:val="none" w:sz="0" w:space="0" w:color="auto"/>
      </w:divBdr>
    </w:div>
    <w:div w:id="739643285">
      <w:bodyDiv w:val="1"/>
      <w:marLeft w:val="0"/>
      <w:marRight w:val="0"/>
      <w:marTop w:val="0"/>
      <w:marBottom w:val="0"/>
      <w:divBdr>
        <w:top w:val="none" w:sz="0" w:space="0" w:color="auto"/>
        <w:left w:val="none" w:sz="0" w:space="0" w:color="auto"/>
        <w:bottom w:val="none" w:sz="0" w:space="0" w:color="auto"/>
        <w:right w:val="none" w:sz="0" w:space="0" w:color="auto"/>
      </w:divBdr>
    </w:div>
    <w:div w:id="763460625">
      <w:bodyDiv w:val="1"/>
      <w:marLeft w:val="0"/>
      <w:marRight w:val="0"/>
      <w:marTop w:val="0"/>
      <w:marBottom w:val="0"/>
      <w:divBdr>
        <w:top w:val="none" w:sz="0" w:space="0" w:color="auto"/>
        <w:left w:val="none" w:sz="0" w:space="0" w:color="auto"/>
        <w:bottom w:val="none" w:sz="0" w:space="0" w:color="auto"/>
        <w:right w:val="none" w:sz="0" w:space="0" w:color="auto"/>
      </w:divBdr>
    </w:div>
    <w:div w:id="768820354">
      <w:bodyDiv w:val="1"/>
      <w:marLeft w:val="0"/>
      <w:marRight w:val="0"/>
      <w:marTop w:val="0"/>
      <w:marBottom w:val="0"/>
      <w:divBdr>
        <w:top w:val="none" w:sz="0" w:space="0" w:color="auto"/>
        <w:left w:val="none" w:sz="0" w:space="0" w:color="auto"/>
        <w:bottom w:val="none" w:sz="0" w:space="0" w:color="auto"/>
        <w:right w:val="none" w:sz="0" w:space="0" w:color="auto"/>
      </w:divBdr>
      <w:divsChild>
        <w:div w:id="317999020">
          <w:marLeft w:val="0"/>
          <w:marRight w:val="0"/>
          <w:marTop w:val="0"/>
          <w:marBottom w:val="0"/>
          <w:divBdr>
            <w:top w:val="none" w:sz="0" w:space="0" w:color="auto"/>
            <w:left w:val="none" w:sz="0" w:space="0" w:color="auto"/>
            <w:bottom w:val="none" w:sz="0" w:space="0" w:color="auto"/>
            <w:right w:val="none" w:sz="0" w:space="0" w:color="auto"/>
          </w:divBdr>
        </w:div>
      </w:divsChild>
    </w:div>
    <w:div w:id="775947386">
      <w:bodyDiv w:val="1"/>
      <w:marLeft w:val="0"/>
      <w:marRight w:val="0"/>
      <w:marTop w:val="0"/>
      <w:marBottom w:val="0"/>
      <w:divBdr>
        <w:top w:val="none" w:sz="0" w:space="0" w:color="auto"/>
        <w:left w:val="none" w:sz="0" w:space="0" w:color="auto"/>
        <w:bottom w:val="none" w:sz="0" w:space="0" w:color="auto"/>
        <w:right w:val="none" w:sz="0" w:space="0" w:color="auto"/>
      </w:divBdr>
      <w:divsChild>
        <w:div w:id="955912351">
          <w:marLeft w:val="547"/>
          <w:marRight w:val="0"/>
          <w:marTop w:val="0"/>
          <w:marBottom w:val="0"/>
          <w:divBdr>
            <w:top w:val="none" w:sz="0" w:space="0" w:color="auto"/>
            <w:left w:val="none" w:sz="0" w:space="0" w:color="auto"/>
            <w:bottom w:val="none" w:sz="0" w:space="0" w:color="auto"/>
            <w:right w:val="none" w:sz="0" w:space="0" w:color="auto"/>
          </w:divBdr>
        </w:div>
      </w:divsChild>
    </w:div>
    <w:div w:id="804741281">
      <w:bodyDiv w:val="1"/>
      <w:marLeft w:val="0"/>
      <w:marRight w:val="0"/>
      <w:marTop w:val="0"/>
      <w:marBottom w:val="0"/>
      <w:divBdr>
        <w:top w:val="none" w:sz="0" w:space="0" w:color="auto"/>
        <w:left w:val="none" w:sz="0" w:space="0" w:color="auto"/>
        <w:bottom w:val="none" w:sz="0" w:space="0" w:color="auto"/>
        <w:right w:val="none" w:sz="0" w:space="0" w:color="auto"/>
      </w:divBdr>
    </w:div>
    <w:div w:id="861939050">
      <w:bodyDiv w:val="1"/>
      <w:marLeft w:val="0"/>
      <w:marRight w:val="0"/>
      <w:marTop w:val="0"/>
      <w:marBottom w:val="0"/>
      <w:divBdr>
        <w:top w:val="none" w:sz="0" w:space="0" w:color="auto"/>
        <w:left w:val="none" w:sz="0" w:space="0" w:color="auto"/>
        <w:bottom w:val="none" w:sz="0" w:space="0" w:color="auto"/>
        <w:right w:val="none" w:sz="0" w:space="0" w:color="auto"/>
      </w:divBdr>
      <w:divsChild>
        <w:div w:id="389227604">
          <w:marLeft w:val="547"/>
          <w:marRight w:val="0"/>
          <w:marTop w:val="0"/>
          <w:marBottom w:val="0"/>
          <w:divBdr>
            <w:top w:val="none" w:sz="0" w:space="0" w:color="auto"/>
            <w:left w:val="none" w:sz="0" w:space="0" w:color="auto"/>
            <w:bottom w:val="none" w:sz="0" w:space="0" w:color="auto"/>
            <w:right w:val="none" w:sz="0" w:space="0" w:color="auto"/>
          </w:divBdr>
        </w:div>
      </w:divsChild>
    </w:div>
    <w:div w:id="874736738">
      <w:bodyDiv w:val="1"/>
      <w:marLeft w:val="0"/>
      <w:marRight w:val="0"/>
      <w:marTop w:val="0"/>
      <w:marBottom w:val="0"/>
      <w:divBdr>
        <w:top w:val="none" w:sz="0" w:space="0" w:color="auto"/>
        <w:left w:val="none" w:sz="0" w:space="0" w:color="auto"/>
        <w:bottom w:val="none" w:sz="0" w:space="0" w:color="auto"/>
        <w:right w:val="none" w:sz="0" w:space="0" w:color="auto"/>
      </w:divBdr>
    </w:div>
    <w:div w:id="926425908">
      <w:bodyDiv w:val="1"/>
      <w:marLeft w:val="0"/>
      <w:marRight w:val="0"/>
      <w:marTop w:val="0"/>
      <w:marBottom w:val="0"/>
      <w:divBdr>
        <w:top w:val="none" w:sz="0" w:space="0" w:color="auto"/>
        <w:left w:val="none" w:sz="0" w:space="0" w:color="auto"/>
        <w:bottom w:val="none" w:sz="0" w:space="0" w:color="auto"/>
        <w:right w:val="none" w:sz="0" w:space="0" w:color="auto"/>
      </w:divBdr>
    </w:div>
    <w:div w:id="938026181">
      <w:bodyDiv w:val="1"/>
      <w:marLeft w:val="0"/>
      <w:marRight w:val="0"/>
      <w:marTop w:val="0"/>
      <w:marBottom w:val="0"/>
      <w:divBdr>
        <w:top w:val="none" w:sz="0" w:space="0" w:color="auto"/>
        <w:left w:val="none" w:sz="0" w:space="0" w:color="auto"/>
        <w:bottom w:val="none" w:sz="0" w:space="0" w:color="auto"/>
        <w:right w:val="none" w:sz="0" w:space="0" w:color="auto"/>
      </w:divBdr>
    </w:div>
    <w:div w:id="944768348">
      <w:bodyDiv w:val="1"/>
      <w:marLeft w:val="0"/>
      <w:marRight w:val="0"/>
      <w:marTop w:val="0"/>
      <w:marBottom w:val="0"/>
      <w:divBdr>
        <w:top w:val="none" w:sz="0" w:space="0" w:color="auto"/>
        <w:left w:val="none" w:sz="0" w:space="0" w:color="auto"/>
        <w:bottom w:val="none" w:sz="0" w:space="0" w:color="auto"/>
        <w:right w:val="none" w:sz="0" w:space="0" w:color="auto"/>
      </w:divBdr>
    </w:div>
    <w:div w:id="959264327">
      <w:bodyDiv w:val="1"/>
      <w:marLeft w:val="0"/>
      <w:marRight w:val="0"/>
      <w:marTop w:val="0"/>
      <w:marBottom w:val="0"/>
      <w:divBdr>
        <w:top w:val="none" w:sz="0" w:space="0" w:color="auto"/>
        <w:left w:val="none" w:sz="0" w:space="0" w:color="auto"/>
        <w:bottom w:val="none" w:sz="0" w:space="0" w:color="auto"/>
        <w:right w:val="none" w:sz="0" w:space="0" w:color="auto"/>
      </w:divBdr>
    </w:div>
    <w:div w:id="981538434">
      <w:bodyDiv w:val="1"/>
      <w:marLeft w:val="0"/>
      <w:marRight w:val="0"/>
      <w:marTop w:val="0"/>
      <w:marBottom w:val="0"/>
      <w:divBdr>
        <w:top w:val="none" w:sz="0" w:space="0" w:color="auto"/>
        <w:left w:val="none" w:sz="0" w:space="0" w:color="auto"/>
        <w:bottom w:val="none" w:sz="0" w:space="0" w:color="auto"/>
        <w:right w:val="none" w:sz="0" w:space="0" w:color="auto"/>
      </w:divBdr>
    </w:div>
    <w:div w:id="1035040685">
      <w:bodyDiv w:val="1"/>
      <w:marLeft w:val="0"/>
      <w:marRight w:val="0"/>
      <w:marTop w:val="0"/>
      <w:marBottom w:val="0"/>
      <w:divBdr>
        <w:top w:val="none" w:sz="0" w:space="0" w:color="auto"/>
        <w:left w:val="none" w:sz="0" w:space="0" w:color="auto"/>
        <w:bottom w:val="none" w:sz="0" w:space="0" w:color="auto"/>
        <w:right w:val="none" w:sz="0" w:space="0" w:color="auto"/>
      </w:divBdr>
    </w:div>
    <w:div w:id="1158960395">
      <w:bodyDiv w:val="1"/>
      <w:marLeft w:val="0"/>
      <w:marRight w:val="0"/>
      <w:marTop w:val="0"/>
      <w:marBottom w:val="0"/>
      <w:divBdr>
        <w:top w:val="none" w:sz="0" w:space="0" w:color="auto"/>
        <w:left w:val="none" w:sz="0" w:space="0" w:color="auto"/>
        <w:bottom w:val="none" w:sz="0" w:space="0" w:color="auto"/>
        <w:right w:val="none" w:sz="0" w:space="0" w:color="auto"/>
      </w:divBdr>
    </w:div>
    <w:div w:id="1199514151">
      <w:bodyDiv w:val="1"/>
      <w:marLeft w:val="0"/>
      <w:marRight w:val="0"/>
      <w:marTop w:val="0"/>
      <w:marBottom w:val="0"/>
      <w:divBdr>
        <w:top w:val="none" w:sz="0" w:space="0" w:color="auto"/>
        <w:left w:val="none" w:sz="0" w:space="0" w:color="auto"/>
        <w:bottom w:val="none" w:sz="0" w:space="0" w:color="auto"/>
        <w:right w:val="none" w:sz="0" w:space="0" w:color="auto"/>
      </w:divBdr>
      <w:divsChild>
        <w:div w:id="1290207307">
          <w:marLeft w:val="446"/>
          <w:marRight w:val="0"/>
          <w:marTop w:val="0"/>
          <w:marBottom w:val="0"/>
          <w:divBdr>
            <w:top w:val="none" w:sz="0" w:space="0" w:color="auto"/>
            <w:left w:val="none" w:sz="0" w:space="0" w:color="auto"/>
            <w:bottom w:val="none" w:sz="0" w:space="0" w:color="auto"/>
            <w:right w:val="none" w:sz="0" w:space="0" w:color="auto"/>
          </w:divBdr>
        </w:div>
      </w:divsChild>
    </w:div>
    <w:div w:id="1228882136">
      <w:bodyDiv w:val="1"/>
      <w:marLeft w:val="0"/>
      <w:marRight w:val="0"/>
      <w:marTop w:val="0"/>
      <w:marBottom w:val="0"/>
      <w:divBdr>
        <w:top w:val="none" w:sz="0" w:space="0" w:color="auto"/>
        <w:left w:val="none" w:sz="0" w:space="0" w:color="auto"/>
        <w:bottom w:val="none" w:sz="0" w:space="0" w:color="auto"/>
        <w:right w:val="none" w:sz="0" w:space="0" w:color="auto"/>
      </w:divBdr>
    </w:div>
    <w:div w:id="1235091478">
      <w:bodyDiv w:val="1"/>
      <w:marLeft w:val="0"/>
      <w:marRight w:val="0"/>
      <w:marTop w:val="0"/>
      <w:marBottom w:val="0"/>
      <w:divBdr>
        <w:top w:val="none" w:sz="0" w:space="0" w:color="auto"/>
        <w:left w:val="none" w:sz="0" w:space="0" w:color="auto"/>
        <w:bottom w:val="none" w:sz="0" w:space="0" w:color="auto"/>
        <w:right w:val="none" w:sz="0" w:space="0" w:color="auto"/>
      </w:divBdr>
    </w:div>
    <w:div w:id="1265573707">
      <w:bodyDiv w:val="1"/>
      <w:marLeft w:val="0"/>
      <w:marRight w:val="0"/>
      <w:marTop w:val="0"/>
      <w:marBottom w:val="0"/>
      <w:divBdr>
        <w:top w:val="none" w:sz="0" w:space="0" w:color="auto"/>
        <w:left w:val="none" w:sz="0" w:space="0" w:color="auto"/>
        <w:bottom w:val="none" w:sz="0" w:space="0" w:color="auto"/>
        <w:right w:val="none" w:sz="0" w:space="0" w:color="auto"/>
      </w:divBdr>
      <w:divsChild>
        <w:div w:id="24983371">
          <w:marLeft w:val="0"/>
          <w:marRight w:val="0"/>
          <w:marTop w:val="0"/>
          <w:marBottom w:val="0"/>
          <w:divBdr>
            <w:top w:val="none" w:sz="0" w:space="0" w:color="auto"/>
            <w:left w:val="none" w:sz="0" w:space="0" w:color="auto"/>
            <w:bottom w:val="none" w:sz="0" w:space="0" w:color="auto"/>
            <w:right w:val="none" w:sz="0" w:space="0" w:color="auto"/>
          </w:divBdr>
        </w:div>
        <w:div w:id="1125735647">
          <w:marLeft w:val="0"/>
          <w:marRight w:val="0"/>
          <w:marTop w:val="0"/>
          <w:marBottom w:val="0"/>
          <w:divBdr>
            <w:top w:val="none" w:sz="0" w:space="0" w:color="auto"/>
            <w:left w:val="none" w:sz="0" w:space="0" w:color="auto"/>
            <w:bottom w:val="none" w:sz="0" w:space="0" w:color="auto"/>
            <w:right w:val="none" w:sz="0" w:space="0" w:color="auto"/>
          </w:divBdr>
        </w:div>
        <w:div w:id="1459572627">
          <w:marLeft w:val="0"/>
          <w:marRight w:val="0"/>
          <w:marTop w:val="0"/>
          <w:marBottom w:val="0"/>
          <w:divBdr>
            <w:top w:val="none" w:sz="0" w:space="0" w:color="auto"/>
            <w:left w:val="none" w:sz="0" w:space="0" w:color="auto"/>
            <w:bottom w:val="none" w:sz="0" w:space="0" w:color="auto"/>
            <w:right w:val="none" w:sz="0" w:space="0" w:color="auto"/>
          </w:divBdr>
          <w:divsChild>
            <w:div w:id="651838671">
              <w:marLeft w:val="0"/>
              <w:marRight w:val="0"/>
              <w:marTop w:val="0"/>
              <w:marBottom w:val="0"/>
              <w:divBdr>
                <w:top w:val="none" w:sz="0" w:space="0" w:color="auto"/>
                <w:left w:val="none" w:sz="0" w:space="0" w:color="auto"/>
                <w:bottom w:val="none" w:sz="0" w:space="0" w:color="auto"/>
                <w:right w:val="none" w:sz="0" w:space="0" w:color="auto"/>
              </w:divBdr>
              <w:divsChild>
                <w:div w:id="591428661">
                  <w:marLeft w:val="0"/>
                  <w:marRight w:val="0"/>
                  <w:marTop w:val="0"/>
                  <w:marBottom w:val="0"/>
                  <w:divBdr>
                    <w:top w:val="none" w:sz="0" w:space="0" w:color="auto"/>
                    <w:left w:val="none" w:sz="0" w:space="0" w:color="auto"/>
                    <w:bottom w:val="none" w:sz="0" w:space="0" w:color="auto"/>
                    <w:right w:val="none" w:sz="0" w:space="0" w:color="auto"/>
                  </w:divBdr>
                  <w:divsChild>
                    <w:div w:id="19247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89917">
      <w:bodyDiv w:val="1"/>
      <w:marLeft w:val="0"/>
      <w:marRight w:val="0"/>
      <w:marTop w:val="0"/>
      <w:marBottom w:val="0"/>
      <w:divBdr>
        <w:top w:val="none" w:sz="0" w:space="0" w:color="auto"/>
        <w:left w:val="none" w:sz="0" w:space="0" w:color="auto"/>
        <w:bottom w:val="none" w:sz="0" w:space="0" w:color="auto"/>
        <w:right w:val="none" w:sz="0" w:space="0" w:color="auto"/>
      </w:divBdr>
    </w:div>
    <w:div w:id="1310014461">
      <w:bodyDiv w:val="1"/>
      <w:marLeft w:val="0"/>
      <w:marRight w:val="0"/>
      <w:marTop w:val="0"/>
      <w:marBottom w:val="0"/>
      <w:divBdr>
        <w:top w:val="none" w:sz="0" w:space="0" w:color="auto"/>
        <w:left w:val="none" w:sz="0" w:space="0" w:color="auto"/>
        <w:bottom w:val="none" w:sz="0" w:space="0" w:color="auto"/>
        <w:right w:val="none" w:sz="0" w:space="0" w:color="auto"/>
      </w:divBdr>
    </w:div>
    <w:div w:id="1323925189">
      <w:bodyDiv w:val="1"/>
      <w:marLeft w:val="0"/>
      <w:marRight w:val="0"/>
      <w:marTop w:val="0"/>
      <w:marBottom w:val="0"/>
      <w:divBdr>
        <w:top w:val="none" w:sz="0" w:space="0" w:color="auto"/>
        <w:left w:val="none" w:sz="0" w:space="0" w:color="auto"/>
        <w:bottom w:val="none" w:sz="0" w:space="0" w:color="auto"/>
        <w:right w:val="none" w:sz="0" w:space="0" w:color="auto"/>
      </w:divBdr>
    </w:div>
    <w:div w:id="1328558116">
      <w:bodyDiv w:val="1"/>
      <w:marLeft w:val="0"/>
      <w:marRight w:val="0"/>
      <w:marTop w:val="0"/>
      <w:marBottom w:val="0"/>
      <w:divBdr>
        <w:top w:val="none" w:sz="0" w:space="0" w:color="auto"/>
        <w:left w:val="none" w:sz="0" w:space="0" w:color="auto"/>
        <w:bottom w:val="none" w:sz="0" w:space="0" w:color="auto"/>
        <w:right w:val="none" w:sz="0" w:space="0" w:color="auto"/>
      </w:divBdr>
    </w:div>
    <w:div w:id="1415586467">
      <w:bodyDiv w:val="1"/>
      <w:marLeft w:val="0"/>
      <w:marRight w:val="0"/>
      <w:marTop w:val="0"/>
      <w:marBottom w:val="0"/>
      <w:divBdr>
        <w:top w:val="none" w:sz="0" w:space="0" w:color="auto"/>
        <w:left w:val="none" w:sz="0" w:space="0" w:color="auto"/>
        <w:bottom w:val="none" w:sz="0" w:space="0" w:color="auto"/>
        <w:right w:val="none" w:sz="0" w:space="0" w:color="auto"/>
      </w:divBdr>
    </w:div>
    <w:div w:id="1513686408">
      <w:bodyDiv w:val="1"/>
      <w:marLeft w:val="0"/>
      <w:marRight w:val="0"/>
      <w:marTop w:val="0"/>
      <w:marBottom w:val="0"/>
      <w:divBdr>
        <w:top w:val="none" w:sz="0" w:space="0" w:color="auto"/>
        <w:left w:val="none" w:sz="0" w:space="0" w:color="auto"/>
        <w:bottom w:val="none" w:sz="0" w:space="0" w:color="auto"/>
        <w:right w:val="none" w:sz="0" w:space="0" w:color="auto"/>
      </w:divBdr>
    </w:div>
    <w:div w:id="1548638722">
      <w:bodyDiv w:val="1"/>
      <w:marLeft w:val="0"/>
      <w:marRight w:val="0"/>
      <w:marTop w:val="0"/>
      <w:marBottom w:val="0"/>
      <w:divBdr>
        <w:top w:val="none" w:sz="0" w:space="0" w:color="auto"/>
        <w:left w:val="none" w:sz="0" w:space="0" w:color="auto"/>
        <w:bottom w:val="none" w:sz="0" w:space="0" w:color="auto"/>
        <w:right w:val="none" w:sz="0" w:space="0" w:color="auto"/>
      </w:divBdr>
      <w:divsChild>
        <w:div w:id="153843576">
          <w:marLeft w:val="547"/>
          <w:marRight w:val="0"/>
          <w:marTop w:val="0"/>
          <w:marBottom w:val="0"/>
          <w:divBdr>
            <w:top w:val="none" w:sz="0" w:space="0" w:color="auto"/>
            <w:left w:val="none" w:sz="0" w:space="0" w:color="auto"/>
            <w:bottom w:val="none" w:sz="0" w:space="0" w:color="auto"/>
            <w:right w:val="none" w:sz="0" w:space="0" w:color="auto"/>
          </w:divBdr>
        </w:div>
      </w:divsChild>
    </w:div>
    <w:div w:id="1646738787">
      <w:bodyDiv w:val="1"/>
      <w:marLeft w:val="0"/>
      <w:marRight w:val="0"/>
      <w:marTop w:val="0"/>
      <w:marBottom w:val="0"/>
      <w:divBdr>
        <w:top w:val="none" w:sz="0" w:space="0" w:color="auto"/>
        <w:left w:val="none" w:sz="0" w:space="0" w:color="auto"/>
        <w:bottom w:val="none" w:sz="0" w:space="0" w:color="auto"/>
        <w:right w:val="none" w:sz="0" w:space="0" w:color="auto"/>
      </w:divBdr>
    </w:div>
    <w:div w:id="1664506003">
      <w:bodyDiv w:val="1"/>
      <w:marLeft w:val="0"/>
      <w:marRight w:val="0"/>
      <w:marTop w:val="0"/>
      <w:marBottom w:val="0"/>
      <w:divBdr>
        <w:top w:val="none" w:sz="0" w:space="0" w:color="auto"/>
        <w:left w:val="none" w:sz="0" w:space="0" w:color="auto"/>
        <w:bottom w:val="none" w:sz="0" w:space="0" w:color="auto"/>
        <w:right w:val="none" w:sz="0" w:space="0" w:color="auto"/>
      </w:divBdr>
      <w:divsChild>
        <w:div w:id="89858974">
          <w:marLeft w:val="0"/>
          <w:marRight w:val="0"/>
          <w:marTop w:val="0"/>
          <w:marBottom w:val="0"/>
          <w:divBdr>
            <w:top w:val="none" w:sz="0" w:space="0" w:color="auto"/>
            <w:left w:val="none" w:sz="0" w:space="0" w:color="auto"/>
            <w:bottom w:val="none" w:sz="0" w:space="0" w:color="auto"/>
            <w:right w:val="none" w:sz="0" w:space="0" w:color="auto"/>
          </w:divBdr>
          <w:divsChild>
            <w:div w:id="667681242">
              <w:marLeft w:val="0"/>
              <w:marRight w:val="0"/>
              <w:marTop w:val="0"/>
              <w:marBottom w:val="0"/>
              <w:divBdr>
                <w:top w:val="none" w:sz="0" w:space="0" w:color="auto"/>
                <w:left w:val="none" w:sz="0" w:space="0" w:color="auto"/>
                <w:bottom w:val="none" w:sz="0" w:space="0" w:color="auto"/>
                <w:right w:val="none" w:sz="0" w:space="0" w:color="auto"/>
              </w:divBdr>
              <w:divsChild>
                <w:div w:id="1624650376">
                  <w:marLeft w:val="0"/>
                  <w:marRight w:val="0"/>
                  <w:marTop w:val="0"/>
                  <w:marBottom w:val="0"/>
                  <w:divBdr>
                    <w:top w:val="none" w:sz="0" w:space="0" w:color="auto"/>
                    <w:left w:val="none" w:sz="0" w:space="0" w:color="auto"/>
                    <w:bottom w:val="none" w:sz="0" w:space="0" w:color="auto"/>
                    <w:right w:val="none" w:sz="0" w:space="0" w:color="auto"/>
                  </w:divBdr>
                  <w:divsChild>
                    <w:div w:id="6545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459">
          <w:marLeft w:val="0"/>
          <w:marRight w:val="0"/>
          <w:marTop w:val="0"/>
          <w:marBottom w:val="0"/>
          <w:divBdr>
            <w:top w:val="none" w:sz="0" w:space="0" w:color="auto"/>
            <w:left w:val="none" w:sz="0" w:space="0" w:color="auto"/>
            <w:bottom w:val="none" w:sz="0" w:space="0" w:color="auto"/>
            <w:right w:val="none" w:sz="0" w:space="0" w:color="auto"/>
          </w:divBdr>
          <w:divsChild>
            <w:div w:id="15573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69137">
      <w:bodyDiv w:val="1"/>
      <w:marLeft w:val="0"/>
      <w:marRight w:val="0"/>
      <w:marTop w:val="0"/>
      <w:marBottom w:val="0"/>
      <w:divBdr>
        <w:top w:val="none" w:sz="0" w:space="0" w:color="auto"/>
        <w:left w:val="none" w:sz="0" w:space="0" w:color="auto"/>
        <w:bottom w:val="none" w:sz="0" w:space="0" w:color="auto"/>
        <w:right w:val="none" w:sz="0" w:space="0" w:color="auto"/>
      </w:divBdr>
    </w:div>
    <w:div w:id="1692032170">
      <w:bodyDiv w:val="1"/>
      <w:marLeft w:val="0"/>
      <w:marRight w:val="0"/>
      <w:marTop w:val="0"/>
      <w:marBottom w:val="0"/>
      <w:divBdr>
        <w:top w:val="none" w:sz="0" w:space="0" w:color="auto"/>
        <w:left w:val="none" w:sz="0" w:space="0" w:color="auto"/>
        <w:bottom w:val="none" w:sz="0" w:space="0" w:color="auto"/>
        <w:right w:val="none" w:sz="0" w:space="0" w:color="auto"/>
      </w:divBdr>
    </w:div>
    <w:div w:id="1712803250">
      <w:bodyDiv w:val="1"/>
      <w:marLeft w:val="0"/>
      <w:marRight w:val="0"/>
      <w:marTop w:val="0"/>
      <w:marBottom w:val="0"/>
      <w:divBdr>
        <w:top w:val="none" w:sz="0" w:space="0" w:color="auto"/>
        <w:left w:val="none" w:sz="0" w:space="0" w:color="auto"/>
        <w:bottom w:val="none" w:sz="0" w:space="0" w:color="auto"/>
        <w:right w:val="none" w:sz="0" w:space="0" w:color="auto"/>
      </w:divBdr>
    </w:div>
    <w:div w:id="1727144272">
      <w:bodyDiv w:val="1"/>
      <w:marLeft w:val="0"/>
      <w:marRight w:val="0"/>
      <w:marTop w:val="0"/>
      <w:marBottom w:val="0"/>
      <w:divBdr>
        <w:top w:val="none" w:sz="0" w:space="0" w:color="auto"/>
        <w:left w:val="none" w:sz="0" w:space="0" w:color="auto"/>
        <w:bottom w:val="none" w:sz="0" w:space="0" w:color="auto"/>
        <w:right w:val="none" w:sz="0" w:space="0" w:color="auto"/>
      </w:divBdr>
    </w:div>
    <w:div w:id="1798985256">
      <w:bodyDiv w:val="1"/>
      <w:marLeft w:val="0"/>
      <w:marRight w:val="0"/>
      <w:marTop w:val="0"/>
      <w:marBottom w:val="0"/>
      <w:divBdr>
        <w:top w:val="none" w:sz="0" w:space="0" w:color="auto"/>
        <w:left w:val="none" w:sz="0" w:space="0" w:color="auto"/>
        <w:bottom w:val="none" w:sz="0" w:space="0" w:color="auto"/>
        <w:right w:val="none" w:sz="0" w:space="0" w:color="auto"/>
      </w:divBdr>
    </w:div>
    <w:div w:id="1799880918">
      <w:bodyDiv w:val="1"/>
      <w:marLeft w:val="0"/>
      <w:marRight w:val="0"/>
      <w:marTop w:val="0"/>
      <w:marBottom w:val="0"/>
      <w:divBdr>
        <w:top w:val="none" w:sz="0" w:space="0" w:color="auto"/>
        <w:left w:val="none" w:sz="0" w:space="0" w:color="auto"/>
        <w:bottom w:val="none" w:sz="0" w:space="0" w:color="auto"/>
        <w:right w:val="none" w:sz="0" w:space="0" w:color="auto"/>
      </w:divBdr>
    </w:div>
    <w:div w:id="1839926068">
      <w:bodyDiv w:val="1"/>
      <w:marLeft w:val="0"/>
      <w:marRight w:val="0"/>
      <w:marTop w:val="0"/>
      <w:marBottom w:val="0"/>
      <w:divBdr>
        <w:top w:val="none" w:sz="0" w:space="0" w:color="auto"/>
        <w:left w:val="none" w:sz="0" w:space="0" w:color="auto"/>
        <w:bottom w:val="none" w:sz="0" w:space="0" w:color="auto"/>
        <w:right w:val="none" w:sz="0" w:space="0" w:color="auto"/>
      </w:divBdr>
    </w:div>
    <w:div w:id="1840653929">
      <w:bodyDiv w:val="1"/>
      <w:marLeft w:val="0"/>
      <w:marRight w:val="0"/>
      <w:marTop w:val="0"/>
      <w:marBottom w:val="0"/>
      <w:divBdr>
        <w:top w:val="none" w:sz="0" w:space="0" w:color="auto"/>
        <w:left w:val="none" w:sz="0" w:space="0" w:color="auto"/>
        <w:bottom w:val="none" w:sz="0" w:space="0" w:color="auto"/>
        <w:right w:val="none" w:sz="0" w:space="0" w:color="auto"/>
      </w:divBdr>
    </w:div>
    <w:div w:id="1842815154">
      <w:bodyDiv w:val="1"/>
      <w:marLeft w:val="0"/>
      <w:marRight w:val="0"/>
      <w:marTop w:val="0"/>
      <w:marBottom w:val="0"/>
      <w:divBdr>
        <w:top w:val="none" w:sz="0" w:space="0" w:color="auto"/>
        <w:left w:val="none" w:sz="0" w:space="0" w:color="auto"/>
        <w:bottom w:val="none" w:sz="0" w:space="0" w:color="auto"/>
        <w:right w:val="none" w:sz="0" w:space="0" w:color="auto"/>
      </w:divBdr>
    </w:div>
    <w:div w:id="1855072076">
      <w:bodyDiv w:val="1"/>
      <w:marLeft w:val="0"/>
      <w:marRight w:val="0"/>
      <w:marTop w:val="0"/>
      <w:marBottom w:val="0"/>
      <w:divBdr>
        <w:top w:val="none" w:sz="0" w:space="0" w:color="auto"/>
        <w:left w:val="none" w:sz="0" w:space="0" w:color="auto"/>
        <w:bottom w:val="none" w:sz="0" w:space="0" w:color="auto"/>
        <w:right w:val="none" w:sz="0" w:space="0" w:color="auto"/>
      </w:divBdr>
    </w:div>
    <w:div w:id="1861160574">
      <w:bodyDiv w:val="1"/>
      <w:marLeft w:val="0"/>
      <w:marRight w:val="0"/>
      <w:marTop w:val="0"/>
      <w:marBottom w:val="0"/>
      <w:divBdr>
        <w:top w:val="none" w:sz="0" w:space="0" w:color="auto"/>
        <w:left w:val="none" w:sz="0" w:space="0" w:color="auto"/>
        <w:bottom w:val="none" w:sz="0" w:space="0" w:color="auto"/>
        <w:right w:val="none" w:sz="0" w:space="0" w:color="auto"/>
      </w:divBdr>
    </w:div>
    <w:div w:id="1861312651">
      <w:bodyDiv w:val="1"/>
      <w:marLeft w:val="0"/>
      <w:marRight w:val="0"/>
      <w:marTop w:val="0"/>
      <w:marBottom w:val="0"/>
      <w:divBdr>
        <w:top w:val="none" w:sz="0" w:space="0" w:color="auto"/>
        <w:left w:val="none" w:sz="0" w:space="0" w:color="auto"/>
        <w:bottom w:val="none" w:sz="0" w:space="0" w:color="auto"/>
        <w:right w:val="none" w:sz="0" w:space="0" w:color="auto"/>
      </w:divBdr>
      <w:divsChild>
        <w:div w:id="1628469859">
          <w:marLeft w:val="0"/>
          <w:marRight w:val="0"/>
          <w:marTop w:val="0"/>
          <w:marBottom w:val="0"/>
          <w:divBdr>
            <w:top w:val="none" w:sz="0" w:space="0" w:color="auto"/>
            <w:left w:val="none" w:sz="0" w:space="0" w:color="auto"/>
            <w:bottom w:val="none" w:sz="0" w:space="0" w:color="auto"/>
            <w:right w:val="none" w:sz="0" w:space="0" w:color="auto"/>
          </w:divBdr>
        </w:div>
        <w:div w:id="1921014476">
          <w:marLeft w:val="0"/>
          <w:marRight w:val="0"/>
          <w:marTop w:val="0"/>
          <w:marBottom w:val="0"/>
          <w:divBdr>
            <w:top w:val="none" w:sz="0" w:space="0" w:color="auto"/>
            <w:left w:val="none" w:sz="0" w:space="0" w:color="auto"/>
            <w:bottom w:val="none" w:sz="0" w:space="0" w:color="auto"/>
            <w:right w:val="none" w:sz="0" w:space="0" w:color="auto"/>
          </w:divBdr>
        </w:div>
        <w:div w:id="2034991056">
          <w:marLeft w:val="0"/>
          <w:marRight w:val="0"/>
          <w:marTop w:val="0"/>
          <w:marBottom w:val="0"/>
          <w:divBdr>
            <w:top w:val="none" w:sz="0" w:space="0" w:color="auto"/>
            <w:left w:val="none" w:sz="0" w:space="0" w:color="auto"/>
            <w:bottom w:val="none" w:sz="0" w:space="0" w:color="auto"/>
            <w:right w:val="none" w:sz="0" w:space="0" w:color="auto"/>
          </w:divBdr>
          <w:divsChild>
            <w:div w:id="1737363824">
              <w:marLeft w:val="0"/>
              <w:marRight w:val="0"/>
              <w:marTop w:val="0"/>
              <w:marBottom w:val="0"/>
              <w:divBdr>
                <w:top w:val="none" w:sz="0" w:space="0" w:color="auto"/>
                <w:left w:val="none" w:sz="0" w:space="0" w:color="auto"/>
                <w:bottom w:val="none" w:sz="0" w:space="0" w:color="auto"/>
                <w:right w:val="none" w:sz="0" w:space="0" w:color="auto"/>
              </w:divBdr>
              <w:divsChild>
                <w:div w:id="756174035">
                  <w:marLeft w:val="0"/>
                  <w:marRight w:val="0"/>
                  <w:marTop w:val="0"/>
                  <w:marBottom w:val="0"/>
                  <w:divBdr>
                    <w:top w:val="none" w:sz="0" w:space="0" w:color="auto"/>
                    <w:left w:val="none" w:sz="0" w:space="0" w:color="auto"/>
                    <w:bottom w:val="none" w:sz="0" w:space="0" w:color="auto"/>
                    <w:right w:val="none" w:sz="0" w:space="0" w:color="auto"/>
                  </w:divBdr>
                  <w:divsChild>
                    <w:div w:id="13367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131198">
      <w:bodyDiv w:val="1"/>
      <w:marLeft w:val="0"/>
      <w:marRight w:val="0"/>
      <w:marTop w:val="0"/>
      <w:marBottom w:val="0"/>
      <w:divBdr>
        <w:top w:val="none" w:sz="0" w:space="0" w:color="auto"/>
        <w:left w:val="none" w:sz="0" w:space="0" w:color="auto"/>
        <w:bottom w:val="none" w:sz="0" w:space="0" w:color="auto"/>
        <w:right w:val="none" w:sz="0" w:space="0" w:color="auto"/>
      </w:divBdr>
    </w:div>
    <w:div w:id="1964800709">
      <w:bodyDiv w:val="1"/>
      <w:marLeft w:val="0"/>
      <w:marRight w:val="0"/>
      <w:marTop w:val="0"/>
      <w:marBottom w:val="0"/>
      <w:divBdr>
        <w:top w:val="none" w:sz="0" w:space="0" w:color="auto"/>
        <w:left w:val="none" w:sz="0" w:space="0" w:color="auto"/>
        <w:bottom w:val="none" w:sz="0" w:space="0" w:color="auto"/>
        <w:right w:val="none" w:sz="0" w:space="0" w:color="auto"/>
      </w:divBdr>
    </w:div>
    <w:div w:id="1979727033">
      <w:bodyDiv w:val="1"/>
      <w:marLeft w:val="0"/>
      <w:marRight w:val="0"/>
      <w:marTop w:val="0"/>
      <w:marBottom w:val="0"/>
      <w:divBdr>
        <w:top w:val="none" w:sz="0" w:space="0" w:color="auto"/>
        <w:left w:val="none" w:sz="0" w:space="0" w:color="auto"/>
        <w:bottom w:val="none" w:sz="0" w:space="0" w:color="auto"/>
        <w:right w:val="none" w:sz="0" w:space="0" w:color="auto"/>
      </w:divBdr>
    </w:div>
    <w:div w:id="1983999675">
      <w:bodyDiv w:val="1"/>
      <w:marLeft w:val="0"/>
      <w:marRight w:val="0"/>
      <w:marTop w:val="0"/>
      <w:marBottom w:val="0"/>
      <w:divBdr>
        <w:top w:val="none" w:sz="0" w:space="0" w:color="auto"/>
        <w:left w:val="none" w:sz="0" w:space="0" w:color="auto"/>
        <w:bottom w:val="none" w:sz="0" w:space="0" w:color="auto"/>
        <w:right w:val="none" w:sz="0" w:space="0" w:color="auto"/>
      </w:divBdr>
    </w:div>
    <w:div w:id="1988431146">
      <w:bodyDiv w:val="1"/>
      <w:marLeft w:val="0"/>
      <w:marRight w:val="0"/>
      <w:marTop w:val="0"/>
      <w:marBottom w:val="0"/>
      <w:divBdr>
        <w:top w:val="none" w:sz="0" w:space="0" w:color="auto"/>
        <w:left w:val="none" w:sz="0" w:space="0" w:color="auto"/>
        <w:bottom w:val="none" w:sz="0" w:space="0" w:color="auto"/>
        <w:right w:val="none" w:sz="0" w:space="0" w:color="auto"/>
      </w:divBdr>
    </w:div>
    <w:div w:id="1993022397">
      <w:bodyDiv w:val="1"/>
      <w:marLeft w:val="0"/>
      <w:marRight w:val="0"/>
      <w:marTop w:val="0"/>
      <w:marBottom w:val="0"/>
      <w:divBdr>
        <w:top w:val="none" w:sz="0" w:space="0" w:color="auto"/>
        <w:left w:val="none" w:sz="0" w:space="0" w:color="auto"/>
        <w:bottom w:val="none" w:sz="0" w:space="0" w:color="auto"/>
        <w:right w:val="none" w:sz="0" w:space="0" w:color="auto"/>
      </w:divBdr>
    </w:div>
    <w:div w:id="1998487487">
      <w:bodyDiv w:val="1"/>
      <w:marLeft w:val="0"/>
      <w:marRight w:val="0"/>
      <w:marTop w:val="0"/>
      <w:marBottom w:val="0"/>
      <w:divBdr>
        <w:top w:val="none" w:sz="0" w:space="0" w:color="auto"/>
        <w:left w:val="none" w:sz="0" w:space="0" w:color="auto"/>
        <w:bottom w:val="none" w:sz="0" w:space="0" w:color="auto"/>
        <w:right w:val="none" w:sz="0" w:space="0" w:color="auto"/>
      </w:divBdr>
      <w:divsChild>
        <w:div w:id="262998553">
          <w:marLeft w:val="0"/>
          <w:marRight w:val="0"/>
          <w:marTop w:val="0"/>
          <w:marBottom w:val="0"/>
          <w:divBdr>
            <w:top w:val="none" w:sz="0" w:space="0" w:color="auto"/>
            <w:left w:val="none" w:sz="0" w:space="0" w:color="auto"/>
            <w:bottom w:val="none" w:sz="0" w:space="0" w:color="auto"/>
            <w:right w:val="none" w:sz="0" w:space="0" w:color="auto"/>
          </w:divBdr>
          <w:divsChild>
            <w:div w:id="1957368000">
              <w:marLeft w:val="0"/>
              <w:marRight w:val="0"/>
              <w:marTop w:val="0"/>
              <w:marBottom w:val="0"/>
              <w:divBdr>
                <w:top w:val="none" w:sz="0" w:space="0" w:color="auto"/>
                <w:left w:val="none" w:sz="0" w:space="0" w:color="auto"/>
                <w:bottom w:val="none" w:sz="0" w:space="0" w:color="auto"/>
                <w:right w:val="none" w:sz="0" w:space="0" w:color="auto"/>
              </w:divBdr>
            </w:div>
          </w:divsChild>
        </w:div>
        <w:div w:id="1390418962">
          <w:marLeft w:val="0"/>
          <w:marRight w:val="0"/>
          <w:marTop w:val="0"/>
          <w:marBottom w:val="0"/>
          <w:divBdr>
            <w:top w:val="none" w:sz="0" w:space="0" w:color="auto"/>
            <w:left w:val="none" w:sz="0" w:space="0" w:color="auto"/>
            <w:bottom w:val="none" w:sz="0" w:space="0" w:color="auto"/>
            <w:right w:val="none" w:sz="0" w:space="0" w:color="auto"/>
          </w:divBdr>
          <w:divsChild>
            <w:div w:id="1759643003">
              <w:marLeft w:val="0"/>
              <w:marRight w:val="0"/>
              <w:marTop w:val="0"/>
              <w:marBottom w:val="0"/>
              <w:divBdr>
                <w:top w:val="none" w:sz="0" w:space="0" w:color="auto"/>
                <w:left w:val="none" w:sz="0" w:space="0" w:color="auto"/>
                <w:bottom w:val="none" w:sz="0" w:space="0" w:color="auto"/>
                <w:right w:val="none" w:sz="0" w:space="0" w:color="auto"/>
              </w:divBdr>
              <w:divsChild>
                <w:div w:id="2007971566">
                  <w:marLeft w:val="0"/>
                  <w:marRight w:val="0"/>
                  <w:marTop w:val="0"/>
                  <w:marBottom w:val="0"/>
                  <w:divBdr>
                    <w:top w:val="none" w:sz="0" w:space="0" w:color="auto"/>
                    <w:left w:val="none" w:sz="0" w:space="0" w:color="auto"/>
                    <w:bottom w:val="none" w:sz="0" w:space="0" w:color="auto"/>
                    <w:right w:val="none" w:sz="0" w:space="0" w:color="auto"/>
                  </w:divBdr>
                  <w:divsChild>
                    <w:div w:id="17202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539580">
      <w:bodyDiv w:val="1"/>
      <w:marLeft w:val="0"/>
      <w:marRight w:val="0"/>
      <w:marTop w:val="0"/>
      <w:marBottom w:val="0"/>
      <w:divBdr>
        <w:top w:val="none" w:sz="0" w:space="0" w:color="auto"/>
        <w:left w:val="none" w:sz="0" w:space="0" w:color="auto"/>
        <w:bottom w:val="none" w:sz="0" w:space="0" w:color="auto"/>
        <w:right w:val="none" w:sz="0" w:space="0" w:color="auto"/>
      </w:divBdr>
      <w:divsChild>
        <w:div w:id="373845878">
          <w:marLeft w:val="0"/>
          <w:marRight w:val="0"/>
          <w:marTop w:val="0"/>
          <w:marBottom w:val="0"/>
          <w:divBdr>
            <w:top w:val="none" w:sz="0" w:space="0" w:color="auto"/>
            <w:left w:val="none" w:sz="0" w:space="0" w:color="auto"/>
            <w:bottom w:val="none" w:sz="0" w:space="0" w:color="auto"/>
            <w:right w:val="none" w:sz="0" w:space="0" w:color="auto"/>
          </w:divBdr>
          <w:divsChild>
            <w:div w:id="1773163590">
              <w:marLeft w:val="0"/>
              <w:marRight w:val="0"/>
              <w:marTop w:val="0"/>
              <w:marBottom w:val="0"/>
              <w:divBdr>
                <w:top w:val="none" w:sz="0" w:space="0" w:color="auto"/>
                <w:left w:val="none" w:sz="0" w:space="0" w:color="auto"/>
                <w:bottom w:val="none" w:sz="0" w:space="0" w:color="auto"/>
                <w:right w:val="none" w:sz="0" w:space="0" w:color="auto"/>
              </w:divBdr>
              <w:divsChild>
                <w:div w:id="487790806">
                  <w:marLeft w:val="0"/>
                  <w:marRight w:val="0"/>
                  <w:marTop w:val="0"/>
                  <w:marBottom w:val="0"/>
                  <w:divBdr>
                    <w:top w:val="none" w:sz="0" w:space="0" w:color="auto"/>
                    <w:left w:val="none" w:sz="0" w:space="0" w:color="auto"/>
                    <w:bottom w:val="none" w:sz="0" w:space="0" w:color="auto"/>
                    <w:right w:val="none" w:sz="0" w:space="0" w:color="auto"/>
                  </w:divBdr>
                  <w:divsChild>
                    <w:div w:id="4015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7189">
          <w:marLeft w:val="0"/>
          <w:marRight w:val="0"/>
          <w:marTop w:val="0"/>
          <w:marBottom w:val="0"/>
          <w:divBdr>
            <w:top w:val="none" w:sz="0" w:space="0" w:color="auto"/>
            <w:left w:val="none" w:sz="0" w:space="0" w:color="auto"/>
            <w:bottom w:val="none" w:sz="0" w:space="0" w:color="auto"/>
            <w:right w:val="none" w:sz="0" w:space="0" w:color="auto"/>
          </w:divBdr>
          <w:divsChild>
            <w:div w:id="62423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42616">
      <w:bodyDiv w:val="1"/>
      <w:marLeft w:val="0"/>
      <w:marRight w:val="0"/>
      <w:marTop w:val="0"/>
      <w:marBottom w:val="0"/>
      <w:divBdr>
        <w:top w:val="none" w:sz="0" w:space="0" w:color="auto"/>
        <w:left w:val="none" w:sz="0" w:space="0" w:color="auto"/>
        <w:bottom w:val="none" w:sz="0" w:space="0" w:color="auto"/>
        <w:right w:val="none" w:sz="0" w:space="0" w:color="auto"/>
      </w:divBdr>
    </w:div>
    <w:div w:id="211124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ec.europa.eu/document/download/15a33521-87f1-4939-92a1-ef23f2b09c6c_en?filename=mdcg_2023-6_en.pdf"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ec.europa.eu/medical-devices-sector/new-regulations/guidance-mdcg-endorsed-documents-and-other-guidance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ealth.ec.europa.eu/document/download/831f9b60-88de-4197-858f-d001c5b0cc26_en?filename=mdcg&#8230;" TargetMode="External"/><Relationship Id="rId3" Type="http://schemas.openxmlformats.org/officeDocument/2006/relationships/hyperlink" Target="https://www.ema.europa.eu/en/documents/other/reflection-paper-use-real-world-data-non-interventional-studies-generate-real-world-evidence-regulatory-purposes_en.pdf" TargetMode="External"/><Relationship Id="rId7" Type="http://schemas.openxmlformats.org/officeDocument/2006/relationships/hyperlink" Target="https://www.equator-network.org/?post_type=eq_guidelines&amp;eq_guidelines_study_design=experimental-studies&amp;eq_guidelines_clinical_specialty=0&amp;eq_guidelines_report_section=0&amp;s=+&amp;btn_submit=Search+Reporting+Guidelines&amp;eq_guidelines_study_design_sub_cat=0" TargetMode="External"/><Relationship Id="rId2" Type="http://schemas.openxmlformats.org/officeDocument/2006/relationships/hyperlink" Target="https://health.ec.europa.eu/medical-devices-sector/new-regulations/guidance-mdcg-endorsed-documents-and-other-guidance_en" TargetMode="External"/><Relationship Id="rId1" Type="http://schemas.openxmlformats.org/officeDocument/2006/relationships/hyperlink" Target="https://www.fda.gov/media/99447/download" TargetMode="External"/><Relationship Id="rId6" Type="http://schemas.openxmlformats.org/officeDocument/2006/relationships/hyperlink" Target="https://www.prisma-statement.org/prisma-2020-flow-diagram" TargetMode="External"/><Relationship Id="rId5" Type="http://schemas.openxmlformats.org/officeDocument/2006/relationships/hyperlink" Target="https://training.cochrane.org/" TargetMode="External"/><Relationship Id="rId4" Type="http://schemas.openxmlformats.org/officeDocument/2006/relationships/hyperlink" Target="https://www.imdrf.org/sites/default/files/2023-04/14.%20Real%20World%20Evidence%20-%20Lyu%20Yunfeng%20%28China%29.pdf" TargetMode="External"/><Relationship Id="rId9" Type="http://schemas.openxmlformats.org/officeDocument/2006/relationships/hyperlink" Target="https://health.ec.europa.eu/medical-devices-sector/new-regulations/guidance-mdcg-endorsed-documents-and-other-guidance_en" TargetMode="External"/></Relationships>
</file>

<file path=word/theme/theme1.xml><?xml version="1.0" encoding="utf-8"?>
<a:theme xmlns:a="http://schemas.openxmlformats.org/drawingml/2006/main" name="Tema MDCG">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6f7c-498f-4ed1-bd51-3231bbd3e7f1">
      <Terms xmlns="http://schemas.microsoft.com/office/infopath/2007/PartnerControls"/>
    </lcf76f155ced4ddcb4097134ff3c332f>
    <TaxCatchAll xmlns="b99877e3-b5f6-468e-bd72-e7b51addd53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D1743BE688E94C86044D04AE88C198" ma:contentTypeVersion="18" ma:contentTypeDescription="Crée un document." ma:contentTypeScope="" ma:versionID="20e95233f6492b9a420d414618e24f7a">
  <xsd:schema xmlns:xsd="http://www.w3.org/2001/XMLSchema" xmlns:xs="http://www.w3.org/2001/XMLSchema" xmlns:p="http://schemas.microsoft.com/office/2006/metadata/properties" xmlns:ns2="b6616f7c-498f-4ed1-bd51-3231bbd3e7f1" xmlns:ns3="b99877e3-b5f6-468e-bd72-e7b51addd53e" targetNamespace="http://schemas.microsoft.com/office/2006/metadata/properties" ma:root="true" ma:fieldsID="4819264ad8485189fb3b80dd8b501654" ns2:_="" ns3:_="">
    <xsd:import namespace="b6616f7c-498f-4ed1-bd51-3231bbd3e7f1"/>
    <xsd:import namespace="b99877e3-b5f6-468e-bd72-e7b51addd5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6f7c-498f-4ed1-bd51-3231bbd3e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fdcf462-c6f4-4151-b6c9-8bc7f69719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877e3-b5f6-468e-bd72-e7b51addd53e"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7476d6a7-b380-4948-86d4-28386c60c41e}" ma:internalName="TaxCatchAll" ma:showField="CatchAllData" ma:web="b99877e3-b5f6-468e-bd72-e7b51addd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73D8C-9CFD-4C22-8491-AB4EE07BBE21}">
  <ds:schemaRefs>
    <ds:schemaRef ds:uri="http://schemas.microsoft.com/office/2006/metadata/properties"/>
    <ds:schemaRef ds:uri="http://schemas.microsoft.com/office/infopath/2007/PartnerControls"/>
    <ds:schemaRef ds:uri="3c38067c-daa0-4a8d-af4a-01d2698174fc"/>
    <ds:schemaRef ds:uri="de5c82c6-d94a-46b4-b86e-d76bd3e938bc"/>
  </ds:schemaRefs>
</ds:datastoreItem>
</file>

<file path=customXml/itemProps2.xml><?xml version="1.0" encoding="utf-8"?>
<ds:datastoreItem xmlns:ds="http://schemas.openxmlformats.org/officeDocument/2006/customXml" ds:itemID="{F870A935-4EF0-4788-8FD7-8E8620D0A82F}"/>
</file>

<file path=customXml/itemProps3.xml><?xml version="1.0" encoding="utf-8"?>
<ds:datastoreItem xmlns:ds="http://schemas.openxmlformats.org/officeDocument/2006/customXml" ds:itemID="{BB6DEEC6-398D-49BB-90C5-03171E499F7E}">
  <ds:schemaRefs>
    <ds:schemaRef ds:uri="http://schemas.openxmlformats.org/officeDocument/2006/bibliography"/>
  </ds:schemaRefs>
</ds:datastoreItem>
</file>

<file path=customXml/itemProps4.xml><?xml version="1.0" encoding="utf-8"?>
<ds:datastoreItem xmlns:ds="http://schemas.openxmlformats.org/officeDocument/2006/customXml" ds:itemID="{009CE2BF-A391-44A3-8054-A6245899D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38910</Words>
  <Characters>214007</Characters>
  <Application>Microsoft Office Word</Application>
  <DocSecurity>4</DocSecurity>
  <Lines>1783</Lines>
  <Paragraphs>504</Paragraphs>
  <ScaleCrop>false</ScaleCrop>
  <Company>HPRA</Company>
  <LinksUpToDate>false</LinksUpToDate>
  <CharactersWithSpaces>252413</CharactersWithSpaces>
  <SharedDoc>false</SharedDoc>
  <HLinks>
    <vt:vector size="582" baseType="variant">
      <vt:variant>
        <vt:i4>5898354</vt:i4>
      </vt:variant>
      <vt:variant>
        <vt:i4>516</vt:i4>
      </vt:variant>
      <vt:variant>
        <vt:i4>0</vt:i4>
      </vt:variant>
      <vt:variant>
        <vt:i4>5</vt:i4>
      </vt:variant>
      <vt:variant>
        <vt:lpwstr>https://health.ec.europa.eu/medical-devices-sector/new-regulations/guidance-mdcg-endorsed-documents-and-other-guidance_en</vt:lpwstr>
      </vt:variant>
      <vt:variant>
        <vt:lpwstr/>
      </vt:variant>
      <vt:variant>
        <vt:i4>7995400</vt:i4>
      </vt:variant>
      <vt:variant>
        <vt:i4>513</vt:i4>
      </vt:variant>
      <vt:variant>
        <vt:i4>0</vt:i4>
      </vt:variant>
      <vt:variant>
        <vt:i4>5</vt:i4>
      </vt:variant>
      <vt:variant>
        <vt:lpwstr>https://health.ec.europa.eu/document/download/15a33521-87f1-4939-92a1-ef23f2b09c6c_en?filename=mdcg_2023-6_en.pdf</vt:lpwstr>
      </vt:variant>
      <vt:variant>
        <vt:lpwstr/>
      </vt:variant>
      <vt:variant>
        <vt:i4>1572925</vt:i4>
      </vt:variant>
      <vt:variant>
        <vt:i4>506</vt:i4>
      </vt:variant>
      <vt:variant>
        <vt:i4>0</vt:i4>
      </vt:variant>
      <vt:variant>
        <vt:i4>5</vt:i4>
      </vt:variant>
      <vt:variant>
        <vt:lpwstr/>
      </vt:variant>
      <vt:variant>
        <vt:lpwstr>_Toc233793581</vt:lpwstr>
      </vt:variant>
      <vt:variant>
        <vt:i4>1572925</vt:i4>
      </vt:variant>
      <vt:variant>
        <vt:i4>500</vt:i4>
      </vt:variant>
      <vt:variant>
        <vt:i4>0</vt:i4>
      </vt:variant>
      <vt:variant>
        <vt:i4>5</vt:i4>
      </vt:variant>
      <vt:variant>
        <vt:lpwstr/>
      </vt:variant>
      <vt:variant>
        <vt:lpwstr>_Toc233793580</vt:lpwstr>
      </vt:variant>
      <vt:variant>
        <vt:i4>1507389</vt:i4>
      </vt:variant>
      <vt:variant>
        <vt:i4>494</vt:i4>
      </vt:variant>
      <vt:variant>
        <vt:i4>0</vt:i4>
      </vt:variant>
      <vt:variant>
        <vt:i4>5</vt:i4>
      </vt:variant>
      <vt:variant>
        <vt:lpwstr/>
      </vt:variant>
      <vt:variant>
        <vt:lpwstr>_Toc233793579</vt:lpwstr>
      </vt:variant>
      <vt:variant>
        <vt:i4>1507389</vt:i4>
      </vt:variant>
      <vt:variant>
        <vt:i4>488</vt:i4>
      </vt:variant>
      <vt:variant>
        <vt:i4>0</vt:i4>
      </vt:variant>
      <vt:variant>
        <vt:i4>5</vt:i4>
      </vt:variant>
      <vt:variant>
        <vt:lpwstr/>
      </vt:variant>
      <vt:variant>
        <vt:lpwstr>_Toc233793578</vt:lpwstr>
      </vt:variant>
      <vt:variant>
        <vt:i4>1507389</vt:i4>
      </vt:variant>
      <vt:variant>
        <vt:i4>482</vt:i4>
      </vt:variant>
      <vt:variant>
        <vt:i4>0</vt:i4>
      </vt:variant>
      <vt:variant>
        <vt:i4>5</vt:i4>
      </vt:variant>
      <vt:variant>
        <vt:lpwstr/>
      </vt:variant>
      <vt:variant>
        <vt:lpwstr>_Toc233793577</vt:lpwstr>
      </vt:variant>
      <vt:variant>
        <vt:i4>1507389</vt:i4>
      </vt:variant>
      <vt:variant>
        <vt:i4>476</vt:i4>
      </vt:variant>
      <vt:variant>
        <vt:i4>0</vt:i4>
      </vt:variant>
      <vt:variant>
        <vt:i4>5</vt:i4>
      </vt:variant>
      <vt:variant>
        <vt:lpwstr/>
      </vt:variant>
      <vt:variant>
        <vt:lpwstr>_Toc233793576</vt:lpwstr>
      </vt:variant>
      <vt:variant>
        <vt:i4>1507389</vt:i4>
      </vt:variant>
      <vt:variant>
        <vt:i4>470</vt:i4>
      </vt:variant>
      <vt:variant>
        <vt:i4>0</vt:i4>
      </vt:variant>
      <vt:variant>
        <vt:i4>5</vt:i4>
      </vt:variant>
      <vt:variant>
        <vt:lpwstr/>
      </vt:variant>
      <vt:variant>
        <vt:lpwstr>_Toc233793575</vt:lpwstr>
      </vt:variant>
      <vt:variant>
        <vt:i4>1507389</vt:i4>
      </vt:variant>
      <vt:variant>
        <vt:i4>464</vt:i4>
      </vt:variant>
      <vt:variant>
        <vt:i4>0</vt:i4>
      </vt:variant>
      <vt:variant>
        <vt:i4>5</vt:i4>
      </vt:variant>
      <vt:variant>
        <vt:lpwstr/>
      </vt:variant>
      <vt:variant>
        <vt:lpwstr>_Toc233793574</vt:lpwstr>
      </vt:variant>
      <vt:variant>
        <vt:i4>1507389</vt:i4>
      </vt:variant>
      <vt:variant>
        <vt:i4>458</vt:i4>
      </vt:variant>
      <vt:variant>
        <vt:i4>0</vt:i4>
      </vt:variant>
      <vt:variant>
        <vt:i4>5</vt:i4>
      </vt:variant>
      <vt:variant>
        <vt:lpwstr/>
      </vt:variant>
      <vt:variant>
        <vt:lpwstr>_Toc233793573</vt:lpwstr>
      </vt:variant>
      <vt:variant>
        <vt:i4>1507389</vt:i4>
      </vt:variant>
      <vt:variant>
        <vt:i4>452</vt:i4>
      </vt:variant>
      <vt:variant>
        <vt:i4>0</vt:i4>
      </vt:variant>
      <vt:variant>
        <vt:i4>5</vt:i4>
      </vt:variant>
      <vt:variant>
        <vt:lpwstr/>
      </vt:variant>
      <vt:variant>
        <vt:lpwstr>_Toc233793572</vt:lpwstr>
      </vt:variant>
      <vt:variant>
        <vt:i4>1507389</vt:i4>
      </vt:variant>
      <vt:variant>
        <vt:i4>446</vt:i4>
      </vt:variant>
      <vt:variant>
        <vt:i4>0</vt:i4>
      </vt:variant>
      <vt:variant>
        <vt:i4>5</vt:i4>
      </vt:variant>
      <vt:variant>
        <vt:lpwstr/>
      </vt:variant>
      <vt:variant>
        <vt:lpwstr>_Toc233793571</vt:lpwstr>
      </vt:variant>
      <vt:variant>
        <vt:i4>1507389</vt:i4>
      </vt:variant>
      <vt:variant>
        <vt:i4>440</vt:i4>
      </vt:variant>
      <vt:variant>
        <vt:i4>0</vt:i4>
      </vt:variant>
      <vt:variant>
        <vt:i4>5</vt:i4>
      </vt:variant>
      <vt:variant>
        <vt:lpwstr/>
      </vt:variant>
      <vt:variant>
        <vt:lpwstr>_Toc233793570</vt:lpwstr>
      </vt:variant>
      <vt:variant>
        <vt:i4>1441853</vt:i4>
      </vt:variant>
      <vt:variant>
        <vt:i4>434</vt:i4>
      </vt:variant>
      <vt:variant>
        <vt:i4>0</vt:i4>
      </vt:variant>
      <vt:variant>
        <vt:i4>5</vt:i4>
      </vt:variant>
      <vt:variant>
        <vt:lpwstr/>
      </vt:variant>
      <vt:variant>
        <vt:lpwstr>_Toc233793569</vt:lpwstr>
      </vt:variant>
      <vt:variant>
        <vt:i4>1441853</vt:i4>
      </vt:variant>
      <vt:variant>
        <vt:i4>428</vt:i4>
      </vt:variant>
      <vt:variant>
        <vt:i4>0</vt:i4>
      </vt:variant>
      <vt:variant>
        <vt:i4>5</vt:i4>
      </vt:variant>
      <vt:variant>
        <vt:lpwstr/>
      </vt:variant>
      <vt:variant>
        <vt:lpwstr>_Toc233793568</vt:lpwstr>
      </vt:variant>
      <vt:variant>
        <vt:i4>1441853</vt:i4>
      </vt:variant>
      <vt:variant>
        <vt:i4>422</vt:i4>
      </vt:variant>
      <vt:variant>
        <vt:i4>0</vt:i4>
      </vt:variant>
      <vt:variant>
        <vt:i4>5</vt:i4>
      </vt:variant>
      <vt:variant>
        <vt:lpwstr/>
      </vt:variant>
      <vt:variant>
        <vt:lpwstr>_Toc233793567</vt:lpwstr>
      </vt:variant>
      <vt:variant>
        <vt:i4>1441853</vt:i4>
      </vt:variant>
      <vt:variant>
        <vt:i4>416</vt:i4>
      </vt:variant>
      <vt:variant>
        <vt:i4>0</vt:i4>
      </vt:variant>
      <vt:variant>
        <vt:i4>5</vt:i4>
      </vt:variant>
      <vt:variant>
        <vt:lpwstr/>
      </vt:variant>
      <vt:variant>
        <vt:lpwstr>_Toc233793566</vt:lpwstr>
      </vt:variant>
      <vt:variant>
        <vt:i4>1441853</vt:i4>
      </vt:variant>
      <vt:variant>
        <vt:i4>410</vt:i4>
      </vt:variant>
      <vt:variant>
        <vt:i4>0</vt:i4>
      </vt:variant>
      <vt:variant>
        <vt:i4>5</vt:i4>
      </vt:variant>
      <vt:variant>
        <vt:lpwstr/>
      </vt:variant>
      <vt:variant>
        <vt:lpwstr>_Toc233793565</vt:lpwstr>
      </vt:variant>
      <vt:variant>
        <vt:i4>1441853</vt:i4>
      </vt:variant>
      <vt:variant>
        <vt:i4>404</vt:i4>
      </vt:variant>
      <vt:variant>
        <vt:i4>0</vt:i4>
      </vt:variant>
      <vt:variant>
        <vt:i4>5</vt:i4>
      </vt:variant>
      <vt:variant>
        <vt:lpwstr/>
      </vt:variant>
      <vt:variant>
        <vt:lpwstr>_Toc233793564</vt:lpwstr>
      </vt:variant>
      <vt:variant>
        <vt:i4>1441853</vt:i4>
      </vt:variant>
      <vt:variant>
        <vt:i4>398</vt:i4>
      </vt:variant>
      <vt:variant>
        <vt:i4>0</vt:i4>
      </vt:variant>
      <vt:variant>
        <vt:i4>5</vt:i4>
      </vt:variant>
      <vt:variant>
        <vt:lpwstr/>
      </vt:variant>
      <vt:variant>
        <vt:lpwstr>_Toc233793563</vt:lpwstr>
      </vt:variant>
      <vt:variant>
        <vt:i4>1441853</vt:i4>
      </vt:variant>
      <vt:variant>
        <vt:i4>392</vt:i4>
      </vt:variant>
      <vt:variant>
        <vt:i4>0</vt:i4>
      </vt:variant>
      <vt:variant>
        <vt:i4>5</vt:i4>
      </vt:variant>
      <vt:variant>
        <vt:lpwstr/>
      </vt:variant>
      <vt:variant>
        <vt:lpwstr>_Toc233793562</vt:lpwstr>
      </vt:variant>
      <vt:variant>
        <vt:i4>1441853</vt:i4>
      </vt:variant>
      <vt:variant>
        <vt:i4>386</vt:i4>
      </vt:variant>
      <vt:variant>
        <vt:i4>0</vt:i4>
      </vt:variant>
      <vt:variant>
        <vt:i4>5</vt:i4>
      </vt:variant>
      <vt:variant>
        <vt:lpwstr/>
      </vt:variant>
      <vt:variant>
        <vt:lpwstr>_Toc233793561</vt:lpwstr>
      </vt:variant>
      <vt:variant>
        <vt:i4>1441853</vt:i4>
      </vt:variant>
      <vt:variant>
        <vt:i4>380</vt:i4>
      </vt:variant>
      <vt:variant>
        <vt:i4>0</vt:i4>
      </vt:variant>
      <vt:variant>
        <vt:i4>5</vt:i4>
      </vt:variant>
      <vt:variant>
        <vt:lpwstr/>
      </vt:variant>
      <vt:variant>
        <vt:lpwstr>_Toc233793560</vt:lpwstr>
      </vt:variant>
      <vt:variant>
        <vt:i4>1376317</vt:i4>
      </vt:variant>
      <vt:variant>
        <vt:i4>374</vt:i4>
      </vt:variant>
      <vt:variant>
        <vt:i4>0</vt:i4>
      </vt:variant>
      <vt:variant>
        <vt:i4>5</vt:i4>
      </vt:variant>
      <vt:variant>
        <vt:lpwstr/>
      </vt:variant>
      <vt:variant>
        <vt:lpwstr>_Toc233793559</vt:lpwstr>
      </vt:variant>
      <vt:variant>
        <vt:i4>1376317</vt:i4>
      </vt:variant>
      <vt:variant>
        <vt:i4>368</vt:i4>
      </vt:variant>
      <vt:variant>
        <vt:i4>0</vt:i4>
      </vt:variant>
      <vt:variant>
        <vt:i4>5</vt:i4>
      </vt:variant>
      <vt:variant>
        <vt:lpwstr/>
      </vt:variant>
      <vt:variant>
        <vt:lpwstr>_Toc233793558</vt:lpwstr>
      </vt:variant>
      <vt:variant>
        <vt:i4>1376317</vt:i4>
      </vt:variant>
      <vt:variant>
        <vt:i4>362</vt:i4>
      </vt:variant>
      <vt:variant>
        <vt:i4>0</vt:i4>
      </vt:variant>
      <vt:variant>
        <vt:i4>5</vt:i4>
      </vt:variant>
      <vt:variant>
        <vt:lpwstr/>
      </vt:variant>
      <vt:variant>
        <vt:lpwstr>_Toc233793557</vt:lpwstr>
      </vt:variant>
      <vt:variant>
        <vt:i4>1376317</vt:i4>
      </vt:variant>
      <vt:variant>
        <vt:i4>356</vt:i4>
      </vt:variant>
      <vt:variant>
        <vt:i4>0</vt:i4>
      </vt:variant>
      <vt:variant>
        <vt:i4>5</vt:i4>
      </vt:variant>
      <vt:variant>
        <vt:lpwstr/>
      </vt:variant>
      <vt:variant>
        <vt:lpwstr>_Toc233793556</vt:lpwstr>
      </vt:variant>
      <vt:variant>
        <vt:i4>1376317</vt:i4>
      </vt:variant>
      <vt:variant>
        <vt:i4>350</vt:i4>
      </vt:variant>
      <vt:variant>
        <vt:i4>0</vt:i4>
      </vt:variant>
      <vt:variant>
        <vt:i4>5</vt:i4>
      </vt:variant>
      <vt:variant>
        <vt:lpwstr/>
      </vt:variant>
      <vt:variant>
        <vt:lpwstr>_Toc233793555</vt:lpwstr>
      </vt:variant>
      <vt:variant>
        <vt:i4>1376317</vt:i4>
      </vt:variant>
      <vt:variant>
        <vt:i4>344</vt:i4>
      </vt:variant>
      <vt:variant>
        <vt:i4>0</vt:i4>
      </vt:variant>
      <vt:variant>
        <vt:i4>5</vt:i4>
      </vt:variant>
      <vt:variant>
        <vt:lpwstr/>
      </vt:variant>
      <vt:variant>
        <vt:lpwstr>_Toc233793554</vt:lpwstr>
      </vt:variant>
      <vt:variant>
        <vt:i4>1376317</vt:i4>
      </vt:variant>
      <vt:variant>
        <vt:i4>338</vt:i4>
      </vt:variant>
      <vt:variant>
        <vt:i4>0</vt:i4>
      </vt:variant>
      <vt:variant>
        <vt:i4>5</vt:i4>
      </vt:variant>
      <vt:variant>
        <vt:lpwstr/>
      </vt:variant>
      <vt:variant>
        <vt:lpwstr>_Toc233793553</vt:lpwstr>
      </vt:variant>
      <vt:variant>
        <vt:i4>1376317</vt:i4>
      </vt:variant>
      <vt:variant>
        <vt:i4>332</vt:i4>
      </vt:variant>
      <vt:variant>
        <vt:i4>0</vt:i4>
      </vt:variant>
      <vt:variant>
        <vt:i4>5</vt:i4>
      </vt:variant>
      <vt:variant>
        <vt:lpwstr/>
      </vt:variant>
      <vt:variant>
        <vt:lpwstr>_Toc233793552</vt:lpwstr>
      </vt:variant>
      <vt:variant>
        <vt:i4>1376317</vt:i4>
      </vt:variant>
      <vt:variant>
        <vt:i4>326</vt:i4>
      </vt:variant>
      <vt:variant>
        <vt:i4>0</vt:i4>
      </vt:variant>
      <vt:variant>
        <vt:i4>5</vt:i4>
      </vt:variant>
      <vt:variant>
        <vt:lpwstr/>
      </vt:variant>
      <vt:variant>
        <vt:lpwstr>_Toc233793551</vt:lpwstr>
      </vt:variant>
      <vt:variant>
        <vt:i4>1376317</vt:i4>
      </vt:variant>
      <vt:variant>
        <vt:i4>320</vt:i4>
      </vt:variant>
      <vt:variant>
        <vt:i4>0</vt:i4>
      </vt:variant>
      <vt:variant>
        <vt:i4>5</vt:i4>
      </vt:variant>
      <vt:variant>
        <vt:lpwstr/>
      </vt:variant>
      <vt:variant>
        <vt:lpwstr>_Toc233793550</vt:lpwstr>
      </vt:variant>
      <vt:variant>
        <vt:i4>1310781</vt:i4>
      </vt:variant>
      <vt:variant>
        <vt:i4>314</vt:i4>
      </vt:variant>
      <vt:variant>
        <vt:i4>0</vt:i4>
      </vt:variant>
      <vt:variant>
        <vt:i4>5</vt:i4>
      </vt:variant>
      <vt:variant>
        <vt:lpwstr/>
      </vt:variant>
      <vt:variant>
        <vt:lpwstr>_Toc233793549</vt:lpwstr>
      </vt:variant>
      <vt:variant>
        <vt:i4>1310781</vt:i4>
      </vt:variant>
      <vt:variant>
        <vt:i4>308</vt:i4>
      </vt:variant>
      <vt:variant>
        <vt:i4>0</vt:i4>
      </vt:variant>
      <vt:variant>
        <vt:i4>5</vt:i4>
      </vt:variant>
      <vt:variant>
        <vt:lpwstr/>
      </vt:variant>
      <vt:variant>
        <vt:lpwstr>_Toc233793548</vt:lpwstr>
      </vt:variant>
      <vt:variant>
        <vt:i4>1310781</vt:i4>
      </vt:variant>
      <vt:variant>
        <vt:i4>302</vt:i4>
      </vt:variant>
      <vt:variant>
        <vt:i4>0</vt:i4>
      </vt:variant>
      <vt:variant>
        <vt:i4>5</vt:i4>
      </vt:variant>
      <vt:variant>
        <vt:lpwstr/>
      </vt:variant>
      <vt:variant>
        <vt:lpwstr>_Toc233793547</vt:lpwstr>
      </vt:variant>
      <vt:variant>
        <vt:i4>1310781</vt:i4>
      </vt:variant>
      <vt:variant>
        <vt:i4>296</vt:i4>
      </vt:variant>
      <vt:variant>
        <vt:i4>0</vt:i4>
      </vt:variant>
      <vt:variant>
        <vt:i4>5</vt:i4>
      </vt:variant>
      <vt:variant>
        <vt:lpwstr/>
      </vt:variant>
      <vt:variant>
        <vt:lpwstr>_Toc233793546</vt:lpwstr>
      </vt:variant>
      <vt:variant>
        <vt:i4>1310781</vt:i4>
      </vt:variant>
      <vt:variant>
        <vt:i4>290</vt:i4>
      </vt:variant>
      <vt:variant>
        <vt:i4>0</vt:i4>
      </vt:variant>
      <vt:variant>
        <vt:i4>5</vt:i4>
      </vt:variant>
      <vt:variant>
        <vt:lpwstr/>
      </vt:variant>
      <vt:variant>
        <vt:lpwstr>_Toc233793545</vt:lpwstr>
      </vt:variant>
      <vt:variant>
        <vt:i4>1310781</vt:i4>
      </vt:variant>
      <vt:variant>
        <vt:i4>284</vt:i4>
      </vt:variant>
      <vt:variant>
        <vt:i4>0</vt:i4>
      </vt:variant>
      <vt:variant>
        <vt:i4>5</vt:i4>
      </vt:variant>
      <vt:variant>
        <vt:lpwstr/>
      </vt:variant>
      <vt:variant>
        <vt:lpwstr>_Toc233793544</vt:lpwstr>
      </vt:variant>
      <vt:variant>
        <vt:i4>1310781</vt:i4>
      </vt:variant>
      <vt:variant>
        <vt:i4>278</vt:i4>
      </vt:variant>
      <vt:variant>
        <vt:i4>0</vt:i4>
      </vt:variant>
      <vt:variant>
        <vt:i4>5</vt:i4>
      </vt:variant>
      <vt:variant>
        <vt:lpwstr/>
      </vt:variant>
      <vt:variant>
        <vt:lpwstr>_Toc233793543</vt:lpwstr>
      </vt:variant>
      <vt:variant>
        <vt:i4>1310781</vt:i4>
      </vt:variant>
      <vt:variant>
        <vt:i4>272</vt:i4>
      </vt:variant>
      <vt:variant>
        <vt:i4>0</vt:i4>
      </vt:variant>
      <vt:variant>
        <vt:i4>5</vt:i4>
      </vt:variant>
      <vt:variant>
        <vt:lpwstr/>
      </vt:variant>
      <vt:variant>
        <vt:lpwstr>_Toc233793542</vt:lpwstr>
      </vt:variant>
      <vt:variant>
        <vt:i4>1310781</vt:i4>
      </vt:variant>
      <vt:variant>
        <vt:i4>266</vt:i4>
      </vt:variant>
      <vt:variant>
        <vt:i4>0</vt:i4>
      </vt:variant>
      <vt:variant>
        <vt:i4>5</vt:i4>
      </vt:variant>
      <vt:variant>
        <vt:lpwstr/>
      </vt:variant>
      <vt:variant>
        <vt:lpwstr>_Toc233793541</vt:lpwstr>
      </vt:variant>
      <vt:variant>
        <vt:i4>1310781</vt:i4>
      </vt:variant>
      <vt:variant>
        <vt:i4>260</vt:i4>
      </vt:variant>
      <vt:variant>
        <vt:i4>0</vt:i4>
      </vt:variant>
      <vt:variant>
        <vt:i4>5</vt:i4>
      </vt:variant>
      <vt:variant>
        <vt:lpwstr/>
      </vt:variant>
      <vt:variant>
        <vt:lpwstr>_Toc233793540</vt:lpwstr>
      </vt:variant>
      <vt:variant>
        <vt:i4>1245245</vt:i4>
      </vt:variant>
      <vt:variant>
        <vt:i4>254</vt:i4>
      </vt:variant>
      <vt:variant>
        <vt:i4>0</vt:i4>
      </vt:variant>
      <vt:variant>
        <vt:i4>5</vt:i4>
      </vt:variant>
      <vt:variant>
        <vt:lpwstr/>
      </vt:variant>
      <vt:variant>
        <vt:lpwstr>_Toc233793539</vt:lpwstr>
      </vt:variant>
      <vt:variant>
        <vt:i4>1245245</vt:i4>
      </vt:variant>
      <vt:variant>
        <vt:i4>248</vt:i4>
      </vt:variant>
      <vt:variant>
        <vt:i4>0</vt:i4>
      </vt:variant>
      <vt:variant>
        <vt:i4>5</vt:i4>
      </vt:variant>
      <vt:variant>
        <vt:lpwstr/>
      </vt:variant>
      <vt:variant>
        <vt:lpwstr>_Toc233793538</vt:lpwstr>
      </vt:variant>
      <vt:variant>
        <vt:i4>1245245</vt:i4>
      </vt:variant>
      <vt:variant>
        <vt:i4>242</vt:i4>
      </vt:variant>
      <vt:variant>
        <vt:i4>0</vt:i4>
      </vt:variant>
      <vt:variant>
        <vt:i4>5</vt:i4>
      </vt:variant>
      <vt:variant>
        <vt:lpwstr/>
      </vt:variant>
      <vt:variant>
        <vt:lpwstr>_Toc233793537</vt:lpwstr>
      </vt:variant>
      <vt:variant>
        <vt:i4>1245245</vt:i4>
      </vt:variant>
      <vt:variant>
        <vt:i4>236</vt:i4>
      </vt:variant>
      <vt:variant>
        <vt:i4>0</vt:i4>
      </vt:variant>
      <vt:variant>
        <vt:i4>5</vt:i4>
      </vt:variant>
      <vt:variant>
        <vt:lpwstr/>
      </vt:variant>
      <vt:variant>
        <vt:lpwstr>_Toc233793536</vt:lpwstr>
      </vt:variant>
      <vt:variant>
        <vt:i4>1245245</vt:i4>
      </vt:variant>
      <vt:variant>
        <vt:i4>230</vt:i4>
      </vt:variant>
      <vt:variant>
        <vt:i4>0</vt:i4>
      </vt:variant>
      <vt:variant>
        <vt:i4>5</vt:i4>
      </vt:variant>
      <vt:variant>
        <vt:lpwstr/>
      </vt:variant>
      <vt:variant>
        <vt:lpwstr>_Toc233793535</vt:lpwstr>
      </vt:variant>
      <vt:variant>
        <vt:i4>1245245</vt:i4>
      </vt:variant>
      <vt:variant>
        <vt:i4>224</vt:i4>
      </vt:variant>
      <vt:variant>
        <vt:i4>0</vt:i4>
      </vt:variant>
      <vt:variant>
        <vt:i4>5</vt:i4>
      </vt:variant>
      <vt:variant>
        <vt:lpwstr/>
      </vt:variant>
      <vt:variant>
        <vt:lpwstr>_Toc233793534</vt:lpwstr>
      </vt:variant>
      <vt:variant>
        <vt:i4>1245245</vt:i4>
      </vt:variant>
      <vt:variant>
        <vt:i4>218</vt:i4>
      </vt:variant>
      <vt:variant>
        <vt:i4>0</vt:i4>
      </vt:variant>
      <vt:variant>
        <vt:i4>5</vt:i4>
      </vt:variant>
      <vt:variant>
        <vt:lpwstr/>
      </vt:variant>
      <vt:variant>
        <vt:lpwstr>_Toc233793533</vt:lpwstr>
      </vt:variant>
      <vt:variant>
        <vt:i4>1245245</vt:i4>
      </vt:variant>
      <vt:variant>
        <vt:i4>212</vt:i4>
      </vt:variant>
      <vt:variant>
        <vt:i4>0</vt:i4>
      </vt:variant>
      <vt:variant>
        <vt:i4>5</vt:i4>
      </vt:variant>
      <vt:variant>
        <vt:lpwstr/>
      </vt:variant>
      <vt:variant>
        <vt:lpwstr>_Toc233793532</vt:lpwstr>
      </vt:variant>
      <vt:variant>
        <vt:i4>1245245</vt:i4>
      </vt:variant>
      <vt:variant>
        <vt:i4>206</vt:i4>
      </vt:variant>
      <vt:variant>
        <vt:i4>0</vt:i4>
      </vt:variant>
      <vt:variant>
        <vt:i4>5</vt:i4>
      </vt:variant>
      <vt:variant>
        <vt:lpwstr/>
      </vt:variant>
      <vt:variant>
        <vt:lpwstr>_Toc233793531</vt:lpwstr>
      </vt:variant>
      <vt:variant>
        <vt:i4>1245245</vt:i4>
      </vt:variant>
      <vt:variant>
        <vt:i4>200</vt:i4>
      </vt:variant>
      <vt:variant>
        <vt:i4>0</vt:i4>
      </vt:variant>
      <vt:variant>
        <vt:i4>5</vt:i4>
      </vt:variant>
      <vt:variant>
        <vt:lpwstr/>
      </vt:variant>
      <vt:variant>
        <vt:lpwstr>_Toc233793530</vt:lpwstr>
      </vt:variant>
      <vt:variant>
        <vt:i4>1179709</vt:i4>
      </vt:variant>
      <vt:variant>
        <vt:i4>194</vt:i4>
      </vt:variant>
      <vt:variant>
        <vt:i4>0</vt:i4>
      </vt:variant>
      <vt:variant>
        <vt:i4>5</vt:i4>
      </vt:variant>
      <vt:variant>
        <vt:lpwstr/>
      </vt:variant>
      <vt:variant>
        <vt:lpwstr>_Toc233793529</vt:lpwstr>
      </vt:variant>
      <vt:variant>
        <vt:i4>1179709</vt:i4>
      </vt:variant>
      <vt:variant>
        <vt:i4>188</vt:i4>
      </vt:variant>
      <vt:variant>
        <vt:i4>0</vt:i4>
      </vt:variant>
      <vt:variant>
        <vt:i4>5</vt:i4>
      </vt:variant>
      <vt:variant>
        <vt:lpwstr/>
      </vt:variant>
      <vt:variant>
        <vt:lpwstr>_Toc233793528</vt:lpwstr>
      </vt:variant>
      <vt:variant>
        <vt:i4>1179709</vt:i4>
      </vt:variant>
      <vt:variant>
        <vt:i4>182</vt:i4>
      </vt:variant>
      <vt:variant>
        <vt:i4>0</vt:i4>
      </vt:variant>
      <vt:variant>
        <vt:i4>5</vt:i4>
      </vt:variant>
      <vt:variant>
        <vt:lpwstr/>
      </vt:variant>
      <vt:variant>
        <vt:lpwstr>_Toc233793527</vt:lpwstr>
      </vt:variant>
      <vt:variant>
        <vt:i4>1179709</vt:i4>
      </vt:variant>
      <vt:variant>
        <vt:i4>176</vt:i4>
      </vt:variant>
      <vt:variant>
        <vt:i4>0</vt:i4>
      </vt:variant>
      <vt:variant>
        <vt:i4>5</vt:i4>
      </vt:variant>
      <vt:variant>
        <vt:lpwstr/>
      </vt:variant>
      <vt:variant>
        <vt:lpwstr>_Toc233793526</vt:lpwstr>
      </vt:variant>
      <vt:variant>
        <vt:i4>1179709</vt:i4>
      </vt:variant>
      <vt:variant>
        <vt:i4>170</vt:i4>
      </vt:variant>
      <vt:variant>
        <vt:i4>0</vt:i4>
      </vt:variant>
      <vt:variant>
        <vt:i4>5</vt:i4>
      </vt:variant>
      <vt:variant>
        <vt:lpwstr/>
      </vt:variant>
      <vt:variant>
        <vt:lpwstr>_Toc233793525</vt:lpwstr>
      </vt:variant>
      <vt:variant>
        <vt:i4>1179709</vt:i4>
      </vt:variant>
      <vt:variant>
        <vt:i4>164</vt:i4>
      </vt:variant>
      <vt:variant>
        <vt:i4>0</vt:i4>
      </vt:variant>
      <vt:variant>
        <vt:i4>5</vt:i4>
      </vt:variant>
      <vt:variant>
        <vt:lpwstr/>
      </vt:variant>
      <vt:variant>
        <vt:lpwstr>_Toc233793524</vt:lpwstr>
      </vt:variant>
      <vt:variant>
        <vt:i4>1179709</vt:i4>
      </vt:variant>
      <vt:variant>
        <vt:i4>158</vt:i4>
      </vt:variant>
      <vt:variant>
        <vt:i4>0</vt:i4>
      </vt:variant>
      <vt:variant>
        <vt:i4>5</vt:i4>
      </vt:variant>
      <vt:variant>
        <vt:lpwstr/>
      </vt:variant>
      <vt:variant>
        <vt:lpwstr>_Toc233793523</vt:lpwstr>
      </vt:variant>
      <vt:variant>
        <vt:i4>1179709</vt:i4>
      </vt:variant>
      <vt:variant>
        <vt:i4>152</vt:i4>
      </vt:variant>
      <vt:variant>
        <vt:i4>0</vt:i4>
      </vt:variant>
      <vt:variant>
        <vt:i4>5</vt:i4>
      </vt:variant>
      <vt:variant>
        <vt:lpwstr/>
      </vt:variant>
      <vt:variant>
        <vt:lpwstr>_Toc233793522</vt:lpwstr>
      </vt:variant>
      <vt:variant>
        <vt:i4>1179709</vt:i4>
      </vt:variant>
      <vt:variant>
        <vt:i4>146</vt:i4>
      </vt:variant>
      <vt:variant>
        <vt:i4>0</vt:i4>
      </vt:variant>
      <vt:variant>
        <vt:i4>5</vt:i4>
      </vt:variant>
      <vt:variant>
        <vt:lpwstr/>
      </vt:variant>
      <vt:variant>
        <vt:lpwstr>_Toc233793521</vt:lpwstr>
      </vt:variant>
      <vt:variant>
        <vt:i4>1179709</vt:i4>
      </vt:variant>
      <vt:variant>
        <vt:i4>140</vt:i4>
      </vt:variant>
      <vt:variant>
        <vt:i4>0</vt:i4>
      </vt:variant>
      <vt:variant>
        <vt:i4>5</vt:i4>
      </vt:variant>
      <vt:variant>
        <vt:lpwstr/>
      </vt:variant>
      <vt:variant>
        <vt:lpwstr>_Toc233793520</vt:lpwstr>
      </vt:variant>
      <vt:variant>
        <vt:i4>1114173</vt:i4>
      </vt:variant>
      <vt:variant>
        <vt:i4>134</vt:i4>
      </vt:variant>
      <vt:variant>
        <vt:i4>0</vt:i4>
      </vt:variant>
      <vt:variant>
        <vt:i4>5</vt:i4>
      </vt:variant>
      <vt:variant>
        <vt:lpwstr/>
      </vt:variant>
      <vt:variant>
        <vt:lpwstr>_Toc233793519</vt:lpwstr>
      </vt:variant>
      <vt:variant>
        <vt:i4>1114173</vt:i4>
      </vt:variant>
      <vt:variant>
        <vt:i4>128</vt:i4>
      </vt:variant>
      <vt:variant>
        <vt:i4>0</vt:i4>
      </vt:variant>
      <vt:variant>
        <vt:i4>5</vt:i4>
      </vt:variant>
      <vt:variant>
        <vt:lpwstr/>
      </vt:variant>
      <vt:variant>
        <vt:lpwstr>_Toc233793518</vt:lpwstr>
      </vt:variant>
      <vt:variant>
        <vt:i4>1114173</vt:i4>
      </vt:variant>
      <vt:variant>
        <vt:i4>122</vt:i4>
      </vt:variant>
      <vt:variant>
        <vt:i4>0</vt:i4>
      </vt:variant>
      <vt:variant>
        <vt:i4>5</vt:i4>
      </vt:variant>
      <vt:variant>
        <vt:lpwstr/>
      </vt:variant>
      <vt:variant>
        <vt:lpwstr>_Toc233793517</vt:lpwstr>
      </vt:variant>
      <vt:variant>
        <vt:i4>1114173</vt:i4>
      </vt:variant>
      <vt:variant>
        <vt:i4>116</vt:i4>
      </vt:variant>
      <vt:variant>
        <vt:i4>0</vt:i4>
      </vt:variant>
      <vt:variant>
        <vt:i4>5</vt:i4>
      </vt:variant>
      <vt:variant>
        <vt:lpwstr/>
      </vt:variant>
      <vt:variant>
        <vt:lpwstr>_Toc233793516</vt:lpwstr>
      </vt:variant>
      <vt:variant>
        <vt:i4>1114173</vt:i4>
      </vt:variant>
      <vt:variant>
        <vt:i4>110</vt:i4>
      </vt:variant>
      <vt:variant>
        <vt:i4>0</vt:i4>
      </vt:variant>
      <vt:variant>
        <vt:i4>5</vt:i4>
      </vt:variant>
      <vt:variant>
        <vt:lpwstr/>
      </vt:variant>
      <vt:variant>
        <vt:lpwstr>_Toc233793515</vt:lpwstr>
      </vt:variant>
      <vt:variant>
        <vt:i4>1114173</vt:i4>
      </vt:variant>
      <vt:variant>
        <vt:i4>104</vt:i4>
      </vt:variant>
      <vt:variant>
        <vt:i4>0</vt:i4>
      </vt:variant>
      <vt:variant>
        <vt:i4>5</vt:i4>
      </vt:variant>
      <vt:variant>
        <vt:lpwstr/>
      </vt:variant>
      <vt:variant>
        <vt:lpwstr>_Toc233793514</vt:lpwstr>
      </vt:variant>
      <vt:variant>
        <vt:i4>1114173</vt:i4>
      </vt:variant>
      <vt:variant>
        <vt:i4>98</vt:i4>
      </vt:variant>
      <vt:variant>
        <vt:i4>0</vt:i4>
      </vt:variant>
      <vt:variant>
        <vt:i4>5</vt:i4>
      </vt:variant>
      <vt:variant>
        <vt:lpwstr/>
      </vt:variant>
      <vt:variant>
        <vt:lpwstr>_Toc233793513</vt:lpwstr>
      </vt:variant>
      <vt:variant>
        <vt:i4>1114173</vt:i4>
      </vt:variant>
      <vt:variant>
        <vt:i4>92</vt:i4>
      </vt:variant>
      <vt:variant>
        <vt:i4>0</vt:i4>
      </vt:variant>
      <vt:variant>
        <vt:i4>5</vt:i4>
      </vt:variant>
      <vt:variant>
        <vt:lpwstr/>
      </vt:variant>
      <vt:variant>
        <vt:lpwstr>_Toc233793512</vt:lpwstr>
      </vt:variant>
      <vt:variant>
        <vt:i4>1114173</vt:i4>
      </vt:variant>
      <vt:variant>
        <vt:i4>86</vt:i4>
      </vt:variant>
      <vt:variant>
        <vt:i4>0</vt:i4>
      </vt:variant>
      <vt:variant>
        <vt:i4>5</vt:i4>
      </vt:variant>
      <vt:variant>
        <vt:lpwstr/>
      </vt:variant>
      <vt:variant>
        <vt:lpwstr>_Toc233793511</vt:lpwstr>
      </vt:variant>
      <vt:variant>
        <vt:i4>1114173</vt:i4>
      </vt:variant>
      <vt:variant>
        <vt:i4>80</vt:i4>
      </vt:variant>
      <vt:variant>
        <vt:i4>0</vt:i4>
      </vt:variant>
      <vt:variant>
        <vt:i4>5</vt:i4>
      </vt:variant>
      <vt:variant>
        <vt:lpwstr/>
      </vt:variant>
      <vt:variant>
        <vt:lpwstr>_Toc233793510</vt:lpwstr>
      </vt:variant>
      <vt:variant>
        <vt:i4>1048637</vt:i4>
      </vt:variant>
      <vt:variant>
        <vt:i4>74</vt:i4>
      </vt:variant>
      <vt:variant>
        <vt:i4>0</vt:i4>
      </vt:variant>
      <vt:variant>
        <vt:i4>5</vt:i4>
      </vt:variant>
      <vt:variant>
        <vt:lpwstr/>
      </vt:variant>
      <vt:variant>
        <vt:lpwstr>_Toc233793509</vt:lpwstr>
      </vt:variant>
      <vt:variant>
        <vt:i4>1048637</vt:i4>
      </vt:variant>
      <vt:variant>
        <vt:i4>68</vt:i4>
      </vt:variant>
      <vt:variant>
        <vt:i4>0</vt:i4>
      </vt:variant>
      <vt:variant>
        <vt:i4>5</vt:i4>
      </vt:variant>
      <vt:variant>
        <vt:lpwstr/>
      </vt:variant>
      <vt:variant>
        <vt:lpwstr>_Toc233793508</vt:lpwstr>
      </vt:variant>
      <vt:variant>
        <vt:i4>1048637</vt:i4>
      </vt:variant>
      <vt:variant>
        <vt:i4>62</vt:i4>
      </vt:variant>
      <vt:variant>
        <vt:i4>0</vt:i4>
      </vt:variant>
      <vt:variant>
        <vt:i4>5</vt:i4>
      </vt:variant>
      <vt:variant>
        <vt:lpwstr/>
      </vt:variant>
      <vt:variant>
        <vt:lpwstr>_Toc233793507</vt:lpwstr>
      </vt:variant>
      <vt:variant>
        <vt:i4>1048637</vt:i4>
      </vt:variant>
      <vt:variant>
        <vt:i4>56</vt:i4>
      </vt:variant>
      <vt:variant>
        <vt:i4>0</vt:i4>
      </vt:variant>
      <vt:variant>
        <vt:i4>5</vt:i4>
      </vt:variant>
      <vt:variant>
        <vt:lpwstr/>
      </vt:variant>
      <vt:variant>
        <vt:lpwstr>_Toc233793506</vt:lpwstr>
      </vt:variant>
      <vt:variant>
        <vt:i4>1048637</vt:i4>
      </vt:variant>
      <vt:variant>
        <vt:i4>50</vt:i4>
      </vt:variant>
      <vt:variant>
        <vt:i4>0</vt:i4>
      </vt:variant>
      <vt:variant>
        <vt:i4>5</vt:i4>
      </vt:variant>
      <vt:variant>
        <vt:lpwstr/>
      </vt:variant>
      <vt:variant>
        <vt:lpwstr>_Toc233793505</vt:lpwstr>
      </vt:variant>
      <vt:variant>
        <vt:i4>1048637</vt:i4>
      </vt:variant>
      <vt:variant>
        <vt:i4>44</vt:i4>
      </vt:variant>
      <vt:variant>
        <vt:i4>0</vt:i4>
      </vt:variant>
      <vt:variant>
        <vt:i4>5</vt:i4>
      </vt:variant>
      <vt:variant>
        <vt:lpwstr/>
      </vt:variant>
      <vt:variant>
        <vt:lpwstr>_Toc233793504</vt:lpwstr>
      </vt:variant>
      <vt:variant>
        <vt:i4>1048637</vt:i4>
      </vt:variant>
      <vt:variant>
        <vt:i4>38</vt:i4>
      </vt:variant>
      <vt:variant>
        <vt:i4>0</vt:i4>
      </vt:variant>
      <vt:variant>
        <vt:i4>5</vt:i4>
      </vt:variant>
      <vt:variant>
        <vt:lpwstr/>
      </vt:variant>
      <vt:variant>
        <vt:lpwstr>_Toc233793503</vt:lpwstr>
      </vt:variant>
      <vt:variant>
        <vt:i4>1048637</vt:i4>
      </vt:variant>
      <vt:variant>
        <vt:i4>32</vt:i4>
      </vt:variant>
      <vt:variant>
        <vt:i4>0</vt:i4>
      </vt:variant>
      <vt:variant>
        <vt:i4>5</vt:i4>
      </vt:variant>
      <vt:variant>
        <vt:lpwstr/>
      </vt:variant>
      <vt:variant>
        <vt:lpwstr>_Toc233793502</vt:lpwstr>
      </vt:variant>
      <vt:variant>
        <vt:i4>1048637</vt:i4>
      </vt:variant>
      <vt:variant>
        <vt:i4>26</vt:i4>
      </vt:variant>
      <vt:variant>
        <vt:i4>0</vt:i4>
      </vt:variant>
      <vt:variant>
        <vt:i4>5</vt:i4>
      </vt:variant>
      <vt:variant>
        <vt:lpwstr/>
      </vt:variant>
      <vt:variant>
        <vt:lpwstr>_Toc233793501</vt:lpwstr>
      </vt:variant>
      <vt:variant>
        <vt:i4>1048637</vt:i4>
      </vt:variant>
      <vt:variant>
        <vt:i4>20</vt:i4>
      </vt:variant>
      <vt:variant>
        <vt:i4>0</vt:i4>
      </vt:variant>
      <vt:variant>
        <vt:i4>5</vt:i4>
      </vt:variant>
      <vt:variant>
        <vt:lpwstr/>
      </vt:variant>
      <vt:variant>
        <vt:lpwstr>_Toc233793500</vt:lpwstr>
      </vt:variant>
      <vt:variant>
        <vt:i4>1638460</vt:i4>
      </vt:variant>
      <vt:variant>
        <vt:i4>14</vt:i4>
      </vt:variant>
      <vt:variant>
        <vt:i4>0</vt:i4>
      </vt:variant>
      <vt:variant>
        <vt:i4>5</vt:i4>
      </vt:variant>
      <vt:variant>
        <vt:lpwstr/>
      </vt:variant>
      <vt:variant>
        <vt:lpwstr>_Toc233793499</vt:lpwstr>
      </vt:variant>
      <vt:variant>
        <vt:i4>1638460</vt:i4>
      </vt:variant>
      <vt:variant>
        <vt:i4>8</vt:i4>
      </vt:variant>
      <vt:variant>
        <vt:i4>0</vt:i4>
      </vt:variant>
      <vt:variant>
        <vt:i4>5</vt:i4>
      </vt:variant>
      <vt:variant>
        <vt:lpwstr/>
      </vt:variant>
      <vt:variant>
        <vt:lpwstr>_Toc233793498</vt:lpwstr>
      </vt:variant>
      <vt:variant>
        <vt:i4>1638460</vt:i4>
      </vt:variant>
      <vt:variant>
        <vt:i4>2</vt:i4>
      </vt:variant>
      <vt:variant>
        <vt:i4>0</vt:i4>
      </vt:variant>
      <vt:variant>
        <vt:i4>5</vt:i4>
      </vt:variant>
      <vt:variant>
        <vt:lpwstr/>
      </vt:variant>
      <vt:variant>
        <vt:lpwstr>_Toc233793497</vt:lpwstr>
      </vt:variant>
      <vt:variant>
        <vt:i4>917602</vt:i4>
      </vt:variant>
      <vt:variant>
        <vt:i4>27</vt:i4>
      </vt:variant>
      <vt:variant>
        <vt:i4>0</vt:i4>
      </vt:variant>
      <vt:variant>
        <vt:i4>5</vt:i4>
      </vt:variant>
      <vt:variant>
        <vt:lpwstr>https://health.ec.europa.eu/medical-devices-sector/new-regulations/guidance-mdcg-endorsed-documents-and-other-guidance_en</vt:lpwstr>
      </vt:variant>
      <vt:variant>
        <vt:lpwstr>sec16</vt:lpwstr>
      </vt:variant>
      <vt:variant>
        <vt:i4>541458538</vt:i4>
      </vt:variant>
      <vt:variant>
        <vt:i4>24</vt:i4>
      </vt:variant>
      <vt:variant>
        <vt:i4>0</vt:i4>
      </vt:variant>
      <vt:variant>
        <vt:i4>5</vt:i4>
      </vt:variant>
      <vt:variant>
        <vt:lpwstr>https://health.ec.europa.eu/document/download/831f9b60-88de-4197-858f-d001c5b0cc26_en?filename=mdcg…</vt:lpwstr>
      </vt:variant>
      <vt:variant>
        <vt:lpwstr/>
      </vt:variant>
      <vt:variant>
        <vt:i4>6750301</vt:i4>
      </vt:variant>
      <vt:variant>
        <vt:i4>21</vt:i4>
      </vt:variant>
      <vt:variant>
        <vt:i4>0</vt:i4>
      </vt:variant>
      <vt:variant>
        <vt:i4>5</vt:i4>
      </vt:variant>
      <vt:variant>
        <vt:lpwstr>https://www.equator-network.org/?post_type=eq_guidelines&amp;eq_guidelines_study_design=experimental-studies&amp;eq_guidelines_clinical_specialty=0&amp;eq_guidelines_report_section=0&amp;s=+&amp;btn_submit=Search+Reporting+Guidelines&amp;eq_guidelines_study_design_sub_cat=0</vt:lpwstr>
      </vt:variant>
      <vt:variant>
        <vt:lpwstr/>
      </vt:variant>
      <vt:variant>
        <vt:i4>5505096</vt:i4>
      </vt:variant>
      <vt:variant>
        <vt:i4>18</vt:i4>
      </vt:variant>
      <vt:variant>
        <vt:i4>0</vt:i4>
      </vt:variant>
      <vt:variant>
        <vt:i4>5</vt:i4>
      </vt:variant>
      <vt:variant>
        <vt:lpwstr>https://www.prisma-statement.org/prisma-2020-flow-diagram</vt:lpwstr>
      </vt:variant>
      <vt:variant>
        <vt:lpwstr/>
      </vt:variant>
      <vt:variant>
        <vt:i4>7012464</vt:i4>
      </vt:variant>
      <vt:variant>
        <vt:i4>15</vt:i4>
      </vt:variant>
      <vt:variant>
        <vt:i4>0</vt:i4>
      </vt:variant>
      <vt:variant>
        <vt:i4>5</vt:i4>
      </vt:variant>
      <vt:variant>
        <vt:lpwstr>https://training.cochrane.org/</vt:lpwstr>
      </vt:variant>
      <vt:variant>
        <vt:lpwstr/>
      </vt:variant>
      <vt:variant>
        <vt:i4>2883700</vt:i4>
      </vt:variant>
      <vt:variant>
        <vt:i4>9</vt:i4>
      </vt:variant>
      <vt:variant>
        <vt:i4>0</vt:i4>
      </vt:variant>
      <vt:variant>
        <vt:i4>5</vt:i4>
      </vt:variant>
      <vt:variant>
        <vt:lpwstr>https://www.imdrf.org/sites/default/files/2023-04/14. Real World Evidence - Lyu Yunfeng %28China%29.pdf</vt:lpwstr>
      </vt:variant>
      <vt:variant>
        <vt:lpwstr/>
      </vt:variant>
      <vt:variant>
        <vt:i4>3145799</vt:i4>
      </vt:variant>
      <vt:variant>
        <vt:i4>6</vt:i4>
      </vt:variant>
      <vt:variant>
        <vt:i4>0</vt:i4>
      </vt:variant>
      <vt:variant>
        <vt:i4>5</vt:i4>
      </vt:variant>
      <vt:variant>
        <vt:lpwstr>https://www.ema.europa.eu/en/documents/other/reflection-paper-use-real-world-data-non-interventional-studies-generate-real-world-evidence-regulatory-purposes_en.pdf</vt:lpwstr>
      </vt:variant>
      <vt:variant>
        <vt:lpwstr/>
      </vt:variant>
      <vt:variant>
        <vt:i4>5898354</vt:i4>
      </vt:variant>
      <vt:variant>
        <vt:i4>3</vt:i4>
      </vt:variant>
      <vt:variant>
        <vt:i4>0</vt:i4>
      </vt:variant>
      <vt:variant>
        <vt:i4>5</vt:i4>
      </vt:variant>
      <vt:variant>
        <vt:lpwstr>https://health.ec.europa.eu/medical-devices-sector/new-regulations/guidance-mdcg-endorsed-documents-and-other-guidance_en</vt:lpwstr>
      </vt:variant>
      <vt:variant>
        <vt:lpwstr/>
      </vt:variant>
      <vt:variant>
        <vt:i4>4784154</vt:i4>
      </vt:variant>
      <vt:variant>
        <vt:i4>0</vt:i4>
      </vt:variant>
      <vt:variant>
        <vt:i4>0</vt:i4>
      </vt:variant>
      <vt:variant>
        <vt:i4>5</vt:i4>
      </vt:variant>
      <vt:variant>
        <vt:lpwstr>https://www.fda.gov/media/99447/download</vt:lpwstr>
      </vt:variant>
      <vt:variant>
        <vt:lpwstr/>
      </vt:variant>
      <vt:variant>
        <vt:i4>2228339</vt:i4>
      </vt:variant>
      <vt:variant>
        <vt:i4>0</vt:i4>
      </vt:variant>
      <vt:variant>
        <vt:i4>0</vt:i4>
      </vt:variant>
      <vt:variant>
        <vt:i4>5</vt:i4>
      </vt:variant>
      <vt:variant>
        <vt:lpwstr>https://www.imdrf.org/sites/default/files/2025-01/IMDRF_SaMD WG_Software-Specific Risk_N81 Final_0.pdf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Paul-Etienne Schaeffer</dc:creator>
  <cp:keywords/>
  <dc:description/>
  <cp:lastModifiedBy>Paul-Etienne Schaeffer</cp:lastModifiedBy>
  <cp:revision>2</cp:revision>
  <cp:lastPrinted>2026-07-02T05:03:00Z</cp:lastPrinted>
  <dcterms:created xsi:type="dcterms:W3CDTF">2026-08-13T08:25:00Z</dcterms:created>
  <dcterms:modified xsi:type="dcterms:W3CDTF">2026-08-13T08:25:00Z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0x0101000ED1743BE688E94C86044D04AE88C198</vt:lpwstr>
  </property>
  <property fmtid="{D5CDD505-2E9C-101B-9397-08002B2CF9AE}" pid="3" name="MSIP_Label_6bd9ddd1-4d20-43f6-abfa-fc3c07406f94_Enabled">
    <vt:lpwstr>true</vt:lpwstr>
  </property>
  <property fmtid="{D5CDD505-2E9C-101B-9397-08002B2CF9AE}" pid="4" name="MSIP_Label_6bd9ddd1-4d20-43f6-abfa-fc3c07406f94_SetDate">
    <vt:lpwstr>2023-10-25T17:00:32Z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eb7a5bd8-45a8-4675-ad0b-8496b4753519</vt:lpwstr>
  </property>
  <property fmtid="{D5CDD505-2E9C-101B-9397-08002B2CF9AE}" pid="9" name="MSIP_Label_6bd9ddd1-4d20-43f6-abfa-fc3c07406f94_ContentBits">
    <vt:lpwstr>0</vt:lpwstr>
  </property>
  <property fmtid="{D5CDD505-2E9C-101B-9397-08002B2CF9AE}" pid="10" name="MediaServiceImageTags">
    <vt:lpwstr/>
  </property>
</Properties>
</file>