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59E0E" w14:textId="2D3E16A1" w:rsidR="00C96ED5" w:rsidRPr="007C704F" w:rsidRDefault="001F587C" w:rsidP="00777D45">
      <w:pPr>
        <w:pStyle w:val="Pagedecouverture"/>
        <w:rPr>
          <w:lang w:val="en-IE"/>
        </w:rPr>
      </w:pPr>
      <w:r>
        <w:rPr>
          <w:noProof/>
          <w:lang w:val="en-IE"/>
        </w:rPr>
        <w:drawing>
          <wp:inline distT="0" distB="0" distL="0" distR="0" wp14:anchorId="0E39C142" wp14:editId="35AF9D9B">
            <wp:extent cx="5778500" cy="4216400"/>
            <wp:effectExtent l="0" t="0" r="0" b="0"/>
            <wp:docPr id="1" name="Picture 1" descr="171BA1BE-06A1-4757-8CE8-38C8005EC8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71BA1BE-06A1-4757-8CE8-38C8005EC8F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0" cy="42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46B6E" w14:textId="77777777" w:rsidR="009D0132" w:rsidRPr="007C704F" w:rsidRDefault="009D0132" w:rsidP="00BC2AA4">
      <w:pPr>
        <w:rPr>
          <w:lang w:val="en-IE"/>
        </w:rPr>
        <w:sectPr w:rsidR="009D0132" w:rsidRPr="007C704F" w:rsidSect="001C770A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39"/>
          <w:pgMar w:top="1134" w:right="1417" w:bottom="1134" w:left="1417" w:header="709" w:footer="709" w:gutter="0"/>
          <w:pgNumType w:start="0"/>
          <w:cols w:space="720"/>
          <w:docGrid w:linePitch="360"/>
        </w:sectPr>
      </w:pPr>
    </w:p>
    <w:p w14:paraId="2C07B7FD" w14:textId="5AEBB8CA" w:rsidR="005B3E29" w:rsidRPr="007C704F" w:rsidRDefault="00777D45" w:rsidP="00777D45">
      <w:pPr>
        <w:pStyle w:val="Typedudocument"/>
        <w:rPr>
          <w:lang w:val="en-IE"/>
        </w:rPr>
      </w:pPr>
      <w:r w:rsidRPr="00777D45">
        <w:lastRenderedPageBreak/>
        <w:t>COMMISSION IMPLEMENTING DECISION (EU) …/…</w:t>
      </w:r>
    </w:p>
    <w:p w14:paraId="3F2A1C82" w14:textId="583EAC2C" w:rsidR="005B3E29" w:rsidRPr="007C704F" w:rsidRDefault="00777D45" w:rsidP="00777D45">
      <w:pPr>
        <w:pStyle w:val="Datedadoption"/>
        <w:rPr>
          <w:lang w:val="en-IE"/>
        </w:rPr>
      </w:pPr>
      <w:r w:rsidRPr="00777D45">
        <w:t xml:space="preserve">of </w:t>
      </w:r>
      <w:r w:rsidRPr="00777D45">
        <w:rPr>
          <w:rStyle w:val="Marker2"/>
        </w:rPr>
        <w:t>XXX</w:t>
      </w:r>
    </w:p>
    <w:p w14:paraId="7111CA2B" w14:textId="39EDDE64" w:rsidR="00C642A4" w:rsidRPr="007C704F" w:rsidRDefault="00777D45" w:rsidP="00777D45">
      <w:pPr>
        <w:pStyle w:val="Titreobjet"/>
        <w:rPr>
          <w:lang w:val="en-IE"/>
        </w:rPr>
      </w:pPr>
      <w:r w:rsidRPr="00777D45">
        <w:t>amending Implementing Decision (EU) 2021/1195 as regards the harmonised standard for sterilization of health care products</w:t>
      </w:r>
    </w:p>
    <w:p w14:paraId="777834B7" w14:textId="4CC07BC8" w:rsidR="009D1C14" w:rsidRPr="007C704F" w:rsidRDefault="00777D45" w:rsidP="00777D45">
      <w:pPr>
        <w:pStyle w:val="IntrtEEE"/>
        <w:rPr>
          <w:lang w:val="en-IE"/>
        </w:rPr>
      </w:pPr>
      <w:r w:rsidRPr="00777D45">
        <w:t>(Text with EEA relevance)</w:t>
      </w:r>
    </w:p>
    <w:p w14:paraId="53E08997" w14:textId="3268BF1B" w:rsidR="005B3E29" w:rsidRPr="007C704F" w:rsidRDefault="005B3E29" w:rsidP="005110E1">
      <w:pPr>
        <w:pStyle w:val="Institutionquiagit"/>
        <w:rPr>
          <w:lang w:val="en-IE"/>
        </w:rPr>
      </w:pPr>
      <w:r w:rsidRPr="007C704F">
        <w:rPr>
          <w:lang w:val="en-IE"/>
        </w:rPr>
        <w:t>THE EUROPEAN COMMISSION,</w:t>
      </w:r>
    </w:p>
    <w:p w14:paraId="680B48AF" w14:textId="47BD7567" w:rsidR="005B3E29" w:rsidRPr="007C704F" w:rsidRDefault="005B3E29" w:rsidP="005110E1">
      <w:pPr>
        <w:rPr>
          <w:lang w:val="en-IE"/>
        </w:rPr>
      </w:pPr>
      <w:r w:rsidRPr="007C704F">
        <w:rPr>
          <w:lang w:val="en-IE"/>
        </w:rPr>
        <w:t>Having reg</w:t>
      </w:r>
      <w:r w:rsidR="002142F8" w:rsidRPr="007C704F">
        <w:rPr>
          <w:lang w:val="en-IE"/>
        </w:rPr>
        <w:t>ard to the Treaty on the Functio</w:t>
      </w:r>
      <w:r w:rsidRPr="007C704F">
        <w:rPr>
          <w:lang w:val="en-IE"/>
        </w:rPr>
        <w:t>ning of the European Union,</w:t>
      </w:r>
    </w:p>
    <w:p w14:paraId="13F051D2" w14:textId="426876DA" w:rsidR="005B3E29" w:rsidRPr="007C704F" w:rsidRDefault="005B3E29" w:rsidP="005B3E29">
      <w:pPr>
        <w:rPr>
          <w:lang w:val="en-IE"/>
        </w:rPr>
      </w:pPr>
      <w:r w:rsidRPr="007C704F">
        <w:rPr>
          <w:lang w:val="en-IE"/>
        </w:rPr>
        <w:t xml:space="preserve">Having regard to Regulation (EU) No 1025/2012 of the European Parliament and of the Council of 25 October 2012 on European standardisation, amending Council Directives 89/686/EEC and 93/15/EEC and Directives 94/9/EC, 94/25/EC, </w:t>
      </w:r>
      <w:r w:rsidR="0071465B" w:rsidRPr="007C704F">
        <w:rPr>
          <w:lang w:val="en-IE"/>
        </w:rPr>
        <w:t>9</w:t>
      </w:r>
      <w:r w:rsidRPr="007C704F">
        <w:rPr>
          <w:lang w:val="en-IE"/>
        </w:rPr>
        <w:t>5/16/EC, 97/23/EC, 98/34/EC, 2004/22/EC, 2007/23/EC, 2009/23/EC and 2009/105/EC of the European Parliament and of the Council and repealing Council Decision 87/95/EEC and Decision No 1673/2006/EC of the European Parliament and of the Council</w:t>
      </w:r>
      <w:r w:rsidRPr="007C704F">
        <w:rPr>
          <w:rStyle w:val="FootnoteReference"/>
          <w:lang w:val="en-IE"/>
        </w:rPr>
        <w:footnoteReference w:id="2"/>
      </w:r>
      <w:r w:rsidRPr="007C704F">
        <w:rPr>
          <w:lang w:val="en-IE"/>
        </w:rPr>
        <w:t>, and in particular Article 10(6) thereof</w:t>
      </w:r>
      <w:r w:rsidR="00271244" w:rsidRPr="007C704F">
        <w:rPr>
          <w:lang w:val="en-IE"/>
        </w:rPr>
        <w:t>,</w:t>
      </w:r>
    </w:p>
    <w:p w14:paraId="057F9C84" w14:textId="77777777" w:rsidR="005B3E29" w:rsidRPr="007C704F" w:rsidRDefault="005B3E29" w:rsidP="005B3E29">
      <w:pPr>
        <w:rPr>
          <w:lang w:val="en-IE"/>
        </w:rPr>
      </w:pPr>
      <w:r w:rsidRPr="007C704F">
        <w:rPr>
          <w:lang w:val="en-IE"/>
        </w:rPr>
        <w:t>Whereas:</w:t>
      </w:r>
    </w:p>
    <w:p w14:paraId="11583B55" w14:textId="77777777" w:rsidR="002E23FE" w:rsidRPr="00FA61B3" w:rsidRDefault="002E23FE" w:rsidP="00F23461">
      <w:pPr>
        <w:pStyle w:val="Considrant"/>
        <w:numPr>
          <w:ilvl w:val="0"/>
          <w:numId w:val="24"/>
        </w:numPr>
        <w:rPr>
          <w:lang w:val="en-IE"/>
        </w:rPr>
      </w:pPr>
      <w:r w:rsidRPr="00FA61B3">
        <w:rPr>
          <w:lang w:val="en-IE"/>
        </w:rPr>
        <w:t>In accordance with Article 8(1) of Regulation (EU) 2017/746 of the European Parliament and of the Council</w:t>
      </w:r>
      <w:r w:rsidRPr="00FA61B3">
        <w:rPr>
          <w:rStyle w:val="FootnoteReference"/>
          <w:lang w:val="en-IE"/>
        </w:rPr>
        <w:footnoteReference w:id="3"/>
      </w:r>
      <w:r w:rsidRPr="00FA61B3">
        <w:rPr>
          <w:lang w:val="en-IE"/>
        </w:rPr>
        <w:t xml:space="preserve">, devices that are in conformity with the relevant harmonised standards, or the relevant parts of those standards, the references of which have been published in the </w:t>
      </w:r>
      <w:r w:rsidRPr="00FA61B3">
        <w:rPr>
          <w:i/>
          <w:iCs/>
          <w:lang w:val="en-IE"/>
        </w:rPr>
        <w:t>Official Journal of the European Union</w:t>
      </w:r>
      <w:r w:rsidRPr="00FA61B3">
        <w:rPr>
          <w:lang w:val="en-IE"/>
        </w:rPr>
        <w:t>, are to be presumed to be in conformity with the requirements covered by those standards or parts thereof set out in that Regulation.</w:t>
      </w:r>
    </w:p>
    <w:p w14:paraId="00E8E162" w14:textId="77777777" w:rsidR="002E23FE" w:rsidRPr="00FA61B3" w:rsidRDefault="002E23FE" w:rsidP="002E23FE">
      <w:pPr>
        <w:pStyle w:val="Considrant"/>
        <w:rPr>
          <w:lang w:val="en-IE"/>
        </w:rPr>
      </w:pPr>
      <w:r w:rsidRPr="00FA61B3" w:rsidDel="005A6A54">
        <w:rPr>
          <w:lang w:val="en-IE"/>
        </w:rPr>
        <w:t>By</w:t>
      </w:r>
      <w:r w:rsidRPr="00FA61B3">
        <w:rPr>
          <w:lang w:val="en-IE"/>
        </w:rPr>
        <w:t xml:space="preserve"> Implementing Decision C(2021) 2406</w:t>
      </w:r>
      <w:r w:rsidRPr="00FA61B3">
        <w:rPr>
          <w:rStyle w:val="FootnoteReference"/>
          <w:lang w:val="en-IE"/>
        </w:rPr>
        <w:footnoteReference w:id="4"/>
      </w:r>
      <w:r w:rsidRPr="00FA61B3">
        <w:rPr>
          <w:lang w:val="en-IE"/>
        </w:rPr>
        <w:t xml:space="preserve">, the Commission made a request to the European Committee for Standardization (CEN) and the European Committee for Electrotechnical Standardization (CENELEC) for the revision of existing harmonised standards on </w:t>
      </w:r>
      <w:r w:rsidRPr="00FA61B3">
        <w:rPr>
          <w:i/>
          <w:iCs/>
          <w:lang w:val="en-IE"/>
        </w:rPr>
        <w:t>in vitro</w:t>
      </w:r>
      <w:r w:rsidRPr="00FA61B3">
        <w:rPr>
          <w:lang w:val="en-IE"/>
        </w:rPr>
        <w:t xml:space="preserve"> diagnostic medical devices developed in support of Directive 98/79/EC of the European Parliament and the Council</w:t>
      </w:r>
      <w:r w:rsidRPr="00FA61B3">
        <w:rPr>
          <w:rStyle w:val="FootnoteReference"/>
          <w:lang w:val="en-IE"/>
        </w:rPr>
        <w:footnoteReference w:id="5"/>
      </w:r>
      <w:r w:rsidRPr="00FA61B3">
        <w:rPr>
          <w:lang w:val="en-IE"/>
        </w:rPr>
        <w:t xml:space="preserve"> (‘the request’).</w:t>
      </w:r>
    </w:p>
    <w:p w14:paraId="5418BD5F" w14:textId="7A3AC0F2" w:rsidR="004D25B2" w:rsidRPr="00364E1E" w:rsidRDefault="004D25B2" w:rsidP="005554B4">
      <w:pPr>
        <w:pStyle w:val="Considrant"/>
        <w:rPr>
          <w:lang w:val="en-IE"/>
        </w:rPr>
      </w:pPr>
      <w:r w:rsidRPr="00364E1E">
        <w:rPr>
          <w:lang w:val="en-IE"/>
        </w:rPr>
        <w:t xml:space="preserve">On the basis of the request, CEN and CENELEC revised </w:t>
      </w:r>
      <w:r w:rsidR="002E23FE">
        <w:rPr>
          <w:lang w:val="en-IE"/>
        </w:rPr>
        <w:t xml:space="preserve">the </w:t>
      </w:r>
      <w:r w:rsidRPr="00364E1E">
        <w:rPr>
          <w:lang w:val="en-IE"/>
        </w:rPr>
        <w:t>harmonised standard</w:t>
      </w:r>
      <w:r w:rsidR="004C4E2F" w:rsidRPr="00364E1E">
        <w:rPr>
          <w:lang w:val="en-IE"/>
        </w:rPr>
        <w:t xml:space="preserve"> </w:t>
      </w:r>
      <w:r w:rsidR="00364E1E" w:rsidRPr="00364E1E">
        <w:rPr>
          <w:lang w:val="en-IE"/>
        </w:rPr>
        <w:t>EN ISO 11137-1:2015 on sterilization of health care products with its amendment EN ISO 11137-1:2015/A2:2019</w:t>
      </w:r>
      <w:r w:rsidRPr="00364E1E">
        <w:rPr>
          <w:lang w:val="en-IE"/>
        </w:rPr>
        <w:t xml:space="preserve">, the reference of which </w:t>
      </w:r>
      <w:r w:rsidR="002E23FE">
        <w:rPr>
          <w:lang w:val="en-IE"/>
        </w:rPr>
        <w:t>is</w:t>
      </w:r>
      <w:r w:rsidRPr="00364E1E">
        <w:rPr>
          <w:lang w:val="en-IE"/>
        </w:rPr>
        <w:t xml:space="preserve"> published in the </w:t>
      </w:r>
      <w:r w:rsidRPr="00364E1E">
        <w:rPr>
          <w:i/>
          <w:iCs/>
          <w:lang w:val="en-IE"/>
        </w:rPr>
        <w:t xml:space="preserve">Official Journal of </w:t>
      </w:r>
      <w:r w:rsidRPr="00364E1E">
        <w:rPr>
          <w:i/>
          <w:iCs/>
          <w:lang w:val="en-IE"/>
        </w:rPr>
        <w:lastRenderedPageBreak/>
        <w:t>the European Union</w:t>
      </w:r>
      <w:r w:rsidRPr="00364E1E">
        <w:rPr>
          <w:lang w:val="en-IE"/>
        </w:rPr>
        <w:t xml:space="preserve"> in support of Regulation (EU) 2017/74</w:t>
      </w:r>
      <w:r w:rsidR="002E23FE">
        <w:rPr>
          <w:lang w:val="en-IE"/>
        </w:rPr>
        <w:t>6,</w:t>
      </w:r>
      <w:r w:rsidR="004C4E2F" w:rsidRPr="00364E1E">
        <w:rPr>
          <w:lang w:val="en-IE"/>
        </w:rPr>
        <w:t xml:space="preserve"> in order to take into account the latest technical and scientific progress.</w:t>
      </w:r>
    </w:p>
    <w:p w14:paraId="2E37F8C8" w14:textId="4AABD36C" w:rsidR="00344D70" w:rsidRPr="008C0C33" w:rsidRDefault="00344D70" w:rsidP="008C0C33">
      <w:pPr>
        <w:pStyle w:val="Considrant"/>
        <w:rPr>
          <w:lang w:val="en-IE"/>
        </w:rPr>
      </w:pPr>
      <w:r w:rsidRPr="004C4E2F">
        <w:rPr>
          <w:lang w:val="en-IE"/>
        </w:rPr>
        <w:t>The revision of th</w:t>
      </w:r>
      <w:r w:rsidR="002E23FE">
        <w:rPr>
          <w:lang w:val="en-IE"/>
        </w:rPr>
        <w:t xml:space="preserve">at standard </w:t>
      </w:r>
      <w:r w:rsidRPr="004C4E2F">
        <w:rPr>
          <w:lang w:val="en-IE"/>
        </w:rPr>
        <w:t>resulted in the adoption of</w:t>
      </w:r>
      <w:r w:rsidR="002E23FE">
        <w:rPr>
          <w:lang w:val="en-IE"/>
        </w:rPr>
        <w:t xml:space="preserve"> the</w:t>
      </w:r>
      <w:r w:rsidRPr="004C4E2F">
        <w:rPr>
          <w:lang w:val="en-IE"/>
        </w:rPr>
        <w:t xml:space="preserve"> </w:t>
      </w:r>
      <w:r w:rsidR="000347FA">
        <w:rPr>
          <w:lang w:val="en-IE"/>
        </w:rPr>
        <w:t xml:space="preserve">superseding </w:t>
      </w:r>
      <w:r w:rsidRPr="004C4E2F">
        <w:rPr>
          <w:lang w:val="en-IE"/>
        </w:rPr>
        <w:t xml:space="preserve">harmonised standard </w:t>
      </w:r>
      <w:r w:rsidR="00364E1E" w:rsidRPr="00364E1E">
        <w:rPr>
          <w:lang w:val="en-IE"/>
        </w:rPr>
        <w:t>EN ISO 11137-1:2026</w:t>
      </w:r>
      <w:r w:rsidR="002E23FE">
        <w:rPr>
          <w:lang w:val="en-IE"/>
        </w:rPr>
        <w:t xml:space="preserve"> </w:t>
      </w:r>
      <w:r w:rsidRPr="008C0C33">
        <w:rPr>
          <w:lang w:val="en-IE"/>
        </w:rPr>
        <w:t xml:space="preserve">(‘the </w:t>
      </w:r>
      <w:r w:rsidR="000347FA">
        <w:rPr>
          <w:lang w:val="en-IE"/>
        </w:rPr>
        <w:t xml:space="preserve">superseding </w:t>
      </w:r>
      <w:r w:rsidRPr="008C0C33">
        <w:rPr>
          <w:lang w:val="en-IE"/>
        </w:rPr>
        <w:t>standard’).</w:t>
      </w:r>
    </w:p>
    <w:p w14:paraId="36004160" w14:textId="3333EAE1" w:rsidR="00EE71F4" w:rsidRPr="007C704F" w:rsidRDefault="00835197" w:rsidP="0048733B">
      <w:pPr>
        <w:pStyle w:val="Considrant"/>
        <w:rPr>
          <w:lang w:val="en-IE"/>
        </w:rPr>
      </w:pPr>
      <w:r w:rsidRPr="007C704F">
        <w:rPr>
          <w:lang w:val="en-IE"/>
        </w:rPr>
        <w:t>The Co</w:t>
      </w:r>
      <w:r w:rsidR="00EB1003" w:rsidRPr="007C704F">
        <w:rPr>
          <w:lang w:val="en-IE"/>
        </w:rPr>
        <w:t>m</w:t>
      </w:r>
      <w:r w:rsidRPr="007C704F">
        <w:rPr>
          <w:lang w:val="en-IE"/>
        </w:rPr>
        <w:t xml:space="preserve">mission </w:t>
      </w:r>
      <w:r w:rsidR="00051333" w:rsidRPr="007C704F">
        <w:rPr>
          <w:lang w:val="en-IE"/>
        </w:rPr>
        <w:t xml:space="preserve">has assessed, </w:t>
      </w:r>
      <w:r w:rsidRPr="007C704F">
        <w:rPr>
          <w:lang w:val="en-IE"/>
        </w:rPr>
        <w:t xml:space="preserve">together with CEN and </w:t>
      </w:r>
      <w:r w:rsidR="00407804" w:rsidRPr="007C704F">
        <w:rPr>
          <w:lang w:val="en-IE"/>
        </w:rPr>
        <w:t>CENELEC</w:t>
      </w:r>
      <w:r w:rsidR="00051333" w:rsidRPr="007C704F">
        <w:rPr>
          <w:lang w:val="en-IE"/>
        </w:rPr>
        <w:t>,</w:t>
      </w:r>
      <w:r w:rsidRPr="007C704F">
        <w:rPr>
          <w:lang w:val="en-IE"/>
        </w:rPr>
        <w:t xml:space="preserve"> whether</w:t>
      </w:r>
      <w:r w:rsidR="00475347" w:rsidRPr="007C704F">
        <w:rPr>
          <w:lang w:val="en-IE"/>
        </w:rPr>
        <w:t xml:space="preserve"> </w:t>
      </w:r>
      <w:r w:rsidR="009862ED" w:rsidRPr="007C704F">
        <w:rPr>
          <w:lang w:val="en-IE"/>
        </w:rPr>
        <w:t>the</w:t>
      </w:r>
      <w:r w:rsidR="005B25A1" w:rsidRPr="007C704F">
        <w:rPr>
          <w:lang w:val="en-IE"/>
        </w:rPr>
        <w:t xml:space="preserve"> </w:t>
      </w:r>
      <w:r w:rsidR="000347FA">
        <w:rPr>
          <w:lang w:val="en-IE"/>
        </w:rPr>
        <w:t xml:space="preserve">superseding </w:t>
      </w:r>
      <w:r w:rsidR="008C0C33">
        <w:rPr>
          <w:lang w:val="en-IE"/>
        </w:rPr>
        <w:t>standard</w:t>
      </w:r>
      <w:r w:rsidR="002E23FE">
        <w:rPr>
          <w:lang w:val="en-IE"/>
        </w:rPr>
        <w:t xml:space="preserve"> complies </w:t>
      </w:r>
      <w:r w:rsidR="000B15DB" w:rsidRPr="007C704F">
        <w:rPr>
          <w:lang w:val="en-IE"/>
        </w:rPr>
        <w:t>with the request.</w:t>
      </w:r>
    </w:p>
    <w:p w14:paraId="667C7634" w14:textId="32EEA8BB" w:rsidR="000B15DB" w:rsidRPr="007C704F" w:rsidRDefault="005B25A1" w:rsidP="00427BBF">
      <w:pPr>
        <w:pStyle w:val="Considrant"/>
        <w:rPr>
          <w:lang w:val="en-IE"/>
        </w:rPr>
      </w:pPr>
      <w:r w:rsidRPr="007C704F">
        <w:rPr>
          <w:lang w:val="en-IE"/>
        </w:rPr>
        <w:t xml:space="preserve">The </w:t>
      </w:r>
      <w:r w:rsidR="000347FA">
        <w:rPr>
          <w:lang w:val="en-IE"/>
        </w:rPr>
        <w:t xml:space="preserve">superseding </w:t>
      </w:r>
      <w:r w:rsidR="008C0C33">
        <w:rPr>
          <w:lang w:val="en-IE"/>
        </w:rPr>
        <w:t>standard</w:t>
      </w:r>
      <w:r w:rsidR="002E23FE">
        <w:rPr>
          <w:lang w:val="en-IE"/>
        </w:rPr>
        <w:t xml:space="preserve"> satisfies </w:t>
      </w:r>
      <w:r w:rsidR="000B15DB" w:rsidRPr="007C704F">
        <w:rPr>
          <w:lang w:val="en-IE"/>
        </w:rPr>
        <w:t xml:space="preserve">the requirements which </w:t>
      </w:r>
      <w:r w:rsidR="00E37EBF">
        <w:rPr>
          <w:lang w:val="en-IE"/>
        </w:rPr>
        <w:t xml:space="preserve">it aims </w:t>
      </w:r>
      <w:r w:rsidR="000B15DB" w:rsidRPr="007C704F">
        <w:rPr>
          <w:lang w:val="en-IE"/>
        </w:rPr>
        <w:t>to cover</w:t>
      </w:r>
      <w:r w:rsidR="00952865" w:rsidRPr="007C704F">
        <w:rPr>
          <w:lang w:val="en-IE"/>
        </w:rPr>
        <w:t>,</w:t>
      </w:r>
      <w:r w:rsidR="000B15DB" w:rsidRPr="007C704F">
        <w:rPr>
          <w:lang w:val="en-IE"/>
        </w:rPr>
        <w:t xml:space="preserve"> and which are set out in Regulation (EU) 2017/74</w:t>
      </w:r>
      <w:r w:rsidR="002E23FE">
        <w:rPr>
          <w:lang w:val="en-IE"/>
        </w:rPr>
        <w:t>6</w:t>
      </w:r>
      <w:r w:rsidR="000B15DB" w:rsidRPr="007C704F">
        <w:rPr>
          <w:lang w:val="en-IE"/>
        </w:rPr>
        <w:t>. It is therefore appropriate to publish the reference of</w:t>
      </w:r>
      <w:r w:rsidR="00427BBF" w:rsidRPr="007C704F">
        <w:rPr>
          <w:lang w:val="en-IE"/>
        </w:rPr>
        <w:t xml:space="preserve"> </w:t>
      </w:r>
      <w:r w:rsidR="00144975" w:rsidRPr="007C704F">
        <w:rPr>
          <w:lang w:val="en-IE"/>
        </w:rPr>
        <w:t>th</w:t>
      </w:r>
      <w:r w:rsidR="000347FA">
        <w:rPr>
          <w:lang w:val="en-IE"/>
        </w:rPr>
        <w:t xml:space="preserve">e superseding </w:t>
      </w:r>
      <w:r w:rsidR="008C0C33">
        <w:rPr>
          <w:lang w:val="en-IE"/>
        </w:rPr>
        <w:t>standard</w:t>
      </w:r>
      <w:r w:rsidR="00E37EBF">
        <w:rPr>
          <w:lang w:val="en-IE"/>
        </w:rPr>
        <w:t xml:space="preserve"> </w:t>
      </w:r>
      <w:r w:rsidR="00427BBF" w:rsidRPr="007C704F">
        <w:rPr>
          <w:lang w:val="en-IE"/>
        </w:rPr>
        <w:t xml:space="preserve">in </w:t>
      </w:r>
      <w:r w:rsidR="000B15DB" w:rsidRPr="007C704F">
        <w:rPr>
          <w:lang w:val="en-IE"/>
        </w:rPr>
        <w:t xml:space="preserve">the </w:t>
      </w:r>
      <w:r w:rsidR="000B15DB" w:rsidRPr="007C704F">
        <w:rPr>
          <w:i/>
          <w:iCs/>
          <w:lang w:val="en-IE"/>
        </w:rPr>
        <w:t>Official Journal of the European Union</w:t>
      </w:r>
      <w:r w:rsidR="000B15DB" w:rsidRPr="007C704F">
        <w:rPr>
          <w:lang w:val="en-IE"/>
        </w:rPr>
        <w:t>.</w:t>
      </w:r>
    </w:p>
    <w:p w14:paraId="7A33268C" w14:textId="77777777" w:rsidR="002E23FE" w:rsidRDefault="002E23FE" w:rsidP="002E23FE">
      <w:pPr>
        <w:pStyle w:val="Considrant"/>
        <w:rPr>
          <w:lang w:val="en-IE"/>
        </w:rPr>
      </w:pPr>
      <w:r w:rsidRPr="00FA61B3">
        <w:rPr>
          <w:lang w:val="en-IE"/>
        </w:rPr>
        <w:t>The Annex to Commission Implementing Decision (EU) 2021/1195</w:t>
      </w:r>
      <w:r w:rsidRPr="00FA61B3">
        <w:rPr>
          <w:rStyle w:val="FootnoteReference"/>
          <w:lang w:val="en-IE"/>
        </w:rPr>
        <w:footnoteReference w:id="6"/>
      </w:r>
      <w:r w:rsidRPr="00FA61B3">
        <w:rPr>
          <w:lang w:val="en-IE"/>
        </w:rPr>
        <w:t xml:space="preserve"> lists the references of harmonised standards for </w:t>
      </w:r>
      <w:r w:rsidRPr="00FA61B3">
        <w:rPr>
          <w:i/>
          <w:iCs/>
          <w:lang w:val="en-IE"/>
        </w:rPr>
        <w:t>in vitro</w:t>
      </w:r>
      <w:r w:rsidRPr="00FA61B3">
        <w:rPr>
          <w:lang w:val="en-IE"/>
        </w:rPr>
        <w:t xml:space="preserve"> diagnostic medical devices drafted in support of Regulation (EU) 2017/746.</w:t>
      </w:r>
    </w:p>
    <w:p w14:paraId="170E8E31" w14:textId="1651CA94" w:rsidR="002E23FE" w:rsidRDefault="002E23FE" w:rsidP="002E23FE">
      <w:pPr>
        <w:pStyle w:val="Considrant"/>
        <w:rPr>
          <w:lang w:val="en-IE"/>
        </w:rPr>
      </w:pPr>
      <w:r w:rsidRPr="007C704F">
        <w:rPr>
          <w:lang w:val="en-IE"/>
        </w:rPr>
        <w:t xml:space="preserve">As the harmonised standard </w:t>
      </w:r>
      <w:r w:rsidRPr="002737CA">
        <w:rPr>
          <w:lang w:val="en-IE"/>
        </w:rPr>
        <w:t>EN ISO 11137-1:2015 with its amendment EN ISO 11137-1:2015/A2:2019</w:t>
      </w:r>
      <w:r>
        <w:rPr>
          <w:lang w:val="en-IE"/>
        </w:rPr>
        <w:t xml:space="preserve"> </w:t>
      </w:r>
      <w:r w:rsidR="00712BE5">
        <w:rPr>
          <w:lang w:val="en-IE"/>
        </w:rPr>
        <w:t xml:space="preserve">has </w:t>
      </w:r>
      <w:r w:rsidRPr="008C0C33">
        <w:rPr>
          <w:lang w:val="en-IE"/>
        </w:rPr>
        <w:t xml:space="preserve">been </w:t>
      </w:r>
      <w:r>
        <w:rPr>
          <w:lang w:val="en-IE"/>
        </w:rPr>
        <w:t xml:space="preserve">revised, </w:t>
      </w:r>
      <w:r w:rsidRPr="008C0C33">
        <w:rPr>
          <w:lang w:val="en-IE"/>
        </w:rPr>
        <w:t xml:space="preserve">the reference to </w:t>
      </w:r>
      <w:r w:rsidR="00712BE5">
        <w:rPr>
          <w:lang w:val="en-IE"/>
        </w:rPr>
        <w:t xml:space="preserve">its </w:t>
      </w:r>
      <w:r w:rsidRPr="008C0C33">
        <w:rPr>
          <w:lang w:val="en-IE"/>
        </w:rPr>
        <w:t>previous version should be deleted from the Annex to Implementing Decision (EU) 2021/11</w:t>
      </w:r>
      <w:r w:rsidR="00712BE5">
        <w:rPr>
          <w:lang w:val="en-IE"/>
        </w:rPr>
        <w:t>95.</w:t>
      </w:r>
    </w:p>
    <w:p w14:paraId="61BC2811" w14:textId="5351C739" w:rsidR="00CC10F2" w:rsidRPr="002E23FE" w:rsidRDefault="00CC10F2" w:rsidP="002E23FE">
      <w:pPr>
        <w:pStyle w:val="Considrant"/>
        <w:rPr>
          <w:lang w:val="en-IE"/>
        </w:rPr>
      </w:pPr>
      <w:r w:rsidRPr="002E23FE">
        <w:rPr>
          <w:lang w:val="en-IE"/>
        </w:rPr>
        <w:t>Implementing Decision (EU) 2021/11</w:t>
      </w:r>
      <w:r w:rsidR="00712BE5">
        <w:rPr>
          <w:lang w:val="en-IE"/>
        </w:rPr>
        <w:t>95</w:t>
      </w:r>
      <w:r w:rsidRPr="002E23FE">
        <w:rPr>
          <w:lang w:val="en-IE"/>
        </w:rPr>
        <w:t xml:space="preserve"> should therefore be amended accordingly.</w:t>
      </w:r>
    </w:p>
    <w:p w14:paraId="3A66211B" w14:textId="5429B0A9" w:rsidR="008A54B0" w:rsidRPr="004771CE" w:rsidRDefault="00491A12" w:rsidP="00FB39EF">
      <w:pPr>
        <w:pStyle w:val="Considrant"/>
        <w:rPr>
          <w:lang w:val="en-IE"/>
        </w:rPr>
      </w:pPr>
      <w:r w:rsidRPr="004771CE">
        <w:rPr>
          <w:lang w:val="en-IE"/>
        </w:rPr>
        <w:t xml:space="preserve">In order to give manufacturers and other economic operators sufficient time to adapt their processes and devices that are covered by </w:t>
      </w:r>
      <w:r w:rsidR="008C0C33" w:rsidRPr="004771CE">
        <w:rPr>
          <w:lang w:val="en-IE"/>
        </w:rPr>
        <w:t>the harmonised standard</w:t>
      </w:r>
      <w:r w:rsidR="004771CE" w:rsidRPr="004771CE">
        <w:rPr>
          <w:lang w:val="en-IE"/>
        </w:rPr>
        <w:t xml:space="preserve"> EN ISO 11137-1:2015 with its amendment EN ISO 11137-1:2015/A2:2019</w:t>
      </w:r>
      <w:r w:rsidR="008C0C33" w:rsidRPr="004771CE">
        <w:rPr>
          <w:lang w:val="en-IE"/>
        </w:rPr>
        <w:t xml:space="preserve">, </w:t>
      </w:r>
      <w:r w:rsidRPr="004771CE">
        <w:rPr>
          <w:lang w:val="en-IE"/>
        </w:rPr>
        <w:t>it is necessary to defer the withdrawal of the reference</w:t>
      </w:r>
      <w:r w:rsidR="008C0C33" w:rsidRPr="004771CE">
        <w:rPr>
          <w:lang w:val="en-IE"/>
        </w:rPr>
        <w:t xml:space="preserve"> of th</w:t>
      </w:r>
      <w:r w:rsidR="00712BE5">
        <w:rPr>
          <w:lang w:val="en-IE"/>
        </w:rPr>
        <w:t>at</w:t>
      </w:r>
      <w:r w:rsidR="004771CE">
        <w:rPr>
          <w:lang w:val="en-IE"/>
        </w:rPr>
        <w:t xml:space="preserve"> </w:t>
      </w:r>
      <w:r w:rsidRPr="004771CE">
        <w:rPr>
          <w:lang w:val="en-IE"/>
        </w:rPr>
        <w:t>harmonised standard.</w:t>
      </w:r>
    </w:p>
    <w:p w14:paraId="20B58101" w14:textId="7F265D0D" w:rsidR="005B3E29" w:rsidRPr="007C704F" w:rsidRDefault="005B3E29" w:rsidP="007E3919">
      <w:pPr>
        <w:pStyle w:val="Considrant"/>
        <w:rPr>
          <w:lang w:val="en-IE"/>
        </w:rPr>
      </w:pPr>
      <w:r w:rsidRPr="007C704F">
        <w:rPr>
          <w:lang w:val="en-IE"/>
        </w:rPr>
        <w:t xml:space="preserve">Compliance with a harmonised standard confers a presumption of conformity with the corresponding essential requirements set out in Union harmonisation legislation from the date of publication of the reference of such standard in the </w:t>
      </w:r>
      <w:r w:rsidRPr="007C704F">
        <w:rPr>
          <w:i/>
          <w:iCs/>
          <w:lang w:val="en-IE"/>
        </w:rPr>
        <w:t>Official Journal of the European Union</w:t>
      </w:r>
      <w:r w:rsidRPr="007C704F">
        <w:rPr>
          <w:lang w:val="en-IE"/>
        </w:rPr>
        <w:t>.</w:t>
      </w:r>
      <w:r w:rsidR="00055C4A" w:rsidRPr="007C704F">
        <w:rPr>
          <w:lang w:val="en-IE"/>
        </w:rPr>
        <w:t xml:space="preserve"> </w:t>
      </w:r>
      <w:r w:rsidRPr="007C704F">
        <w:rPr>
          <w:lang w:val="en-IE"/>
        </w:rPr>
        <w:t xml:space="preserve">This Decision should therefore enter into force on the </w:t>
      </w:r>
      <w:r w:rsidR="00230A49" w:rsidRPr="007C704F">
        <w:rPr>
          <w:lang w:val="en-IE"/>
        </w:rPr>
        <w:t xml:space="preserve">day </w:t>
      </w:r>
      <w:r w:rsidRPr="007C704F">
        <w:rPr>
          <w:lang w:val="en-IE"/>
        </w:rPr>
        <w:t>of its publication</w:t>
      </w:r>
      <w:r w:rsidR="004C13B4" w:rsidRPr="007C704F">
        <w:rPr>
          <w:lang w:val="en-IE"/>
        </w:rPr>
        <w:t>,</w:t>
      </w:r>
    </w:p>
    <w:p w14:paraId="6E22B603" w14:textId="2FD48327" w:rsidR="005B3E29" w:rsidRPr="007C704F" w:rsidRDefault="005B3E29" w:rsidP="005B3E29">
      <w:pPr>
        <w:pStyle w:val="Formuledadoption"/>
        <w:rPr>
          <w:lang w:val="en-IE"/>
        </w:rPr>
      </w:pPr>
      <w:bookmarkStart w:id="0" w:name="_Hlk192183930"/>
      <w:bookmarkStart w:id="1" w:name="_Hlk192183968"/>
      <w:r w:rsidRPr="007C704F">
        <w:rPr>
          <w:lang w:val="en-IE"/>
        </w:rPr>
        <w:t>HAS ADOPTED THIS DECISION:</w:t>
      </w:r>
    </w:p>
    <w:bookmarkEnd w:id="0"/>
    <w:p w14:paraId="44AD8933" w14:textId="2742A2DC" w:rsidR="005B3E29" w:rsidRPr="007C704F" w:rsidRDefault="005B3E29" w:rsidP="005B3E29">
      <w:pPr>
        <w:pStyle w:val="Titrearticle"/>
        <w:rPr>
          <w:lang w:val="en-IE"/>
        </w:rPr>
      </w:pPr>
      <w:r w:rsidRPr="007C704F">
        <w:rPr>
          <w:lang w:val="en-IE"/>
        </w:rPr>
        <w:t>Article 1</w:t>
      </w:r>
    </w:p>
    <w:bookmarkEnd w:id="1"/>
    <w:p w14:paraId="2AB331EC" w14:textId="0E34A139" w:rsidR="00793858" w:rsidRPr="007C704F" w:rsidRDefault="00933FC9" w:rsidP="005B3E29">
      <w:pPr>
        <w:rPr>
          <w:lang w:val="en-IE"/>
        </w:rPr>
      </w:pPr>
      <w:r w:rsidRPr="007C704F">
        <w:rPr>
          <w:lang w:val="en-IE"/>
        </w:rPr>
        <w:t>The A</w:t>
      </w:r>
      <w:r w:rsidR="00793858" w:rsidRPr="007C704F">
        <w:rPr>
          <w:lang w:val="en-IE"/>
        </w:rPr>
        <w:t xml:space="preserve">nnex to Implementing Decision (EU) </w:t>
      </w:r>
      <w:r w:rsidR="005A6A54" w:rsidRPr="007C704F">
        <w:rPr>
          <w:lang w:val="en-IE"/>
        </w:rPr>
        <w:t>2021/11</w:t>
      </w:r>
      <w:r w:rsidR="00712BE5">
        <w:rPr>
          <w:lang w:val="en-IE"/>
        </w:rPr>
        <w:t>95</w:t>
      </w:r>
      <w:r w:rsidR="00793858" w:rsidRPr="007C704F">
        <w:rPr>
          <w:lang w:val="en-IE"/>
        </w:rPr>
        <w:t xml:space="preserve"> is amended in accordance with </w:t>
      </w:r>
      <w:r w:rsidR="005639F0" w:rsidRPr="007C704F">
        <w:rPr>
          <w:lang w:val="en-IE"/>
        </w:rPr>
        <w:t xml:space="preserve">the </w:t>
      </w:r>
      <w:r w:rsidR="00205A17" w:rsidRPr="007C704F">
        <w:rPr>
          <w:lang w:val="en-IE"/>
        </w:rPr>
        <w:t xml:space="preserve">Annex </w:t>
      </w:r>
      <w:r w:rsidR="00793858" w:rsidRPr="007C704F">
        <w:rPr>
          <w:lang w:val="en-IE"/>
        </w:rPr>
        <w:t>to this Decision</w:t>
      </w:r>
      <w:r w:rsidR="00F10498" w:rsidRPr="007C704F">
        <w:rPr>
          <w:lang w:val="en-IE"/>
        </w:rPr>
        <w:t>.</w:t>
      </w:r>
    </w:p>
    <w:p w14:paraId="75399060" w14:textId="77777777" w:rsidR="00832005" w:rsidRPr="007C704F" w:rsidRDefault="00832005" w:rsidP="00832005">
      <w:pPr>
        <w:pStyle w:val="Titrearticle"/>
        <w:rPr>
          <w:lang w:val="en-IE"/>
        </w:rPr>
      </w:pPr>
      <w:r w:rsidRPr="007C704F">
        <w:rPr>
          <w:lang w:val="en-IE"/>
        </w:rPr>
        <w:lastRenderedPageBreak/>
        <w:t>Article 2</w:t>
      </w:r>
    </w:p>
    <w:p w14:paraId="3C64B03B" w14:textId="3669FE80" w:rsidR="00832005" w:rsidRPr="007C704F" w:rsidRDefault="00832005" w:rsidP="00832005">
      <w:pPr>
        <w:keepNext/>
        <w:rPr>
          <w:lang w:val="en-IE"/>
        </w:rPr>
      </w:pPr>
      <w:r w:rsidRPr="007C704F">
        <w:rPr>
          <w:lang w:val="en-IE"/>
        </w:rPr>
        <w:t xml:space="preserve">This Decision shall enter into force on the day of its publication in the </w:t>
      </w:r>
      <w:r w:rsidRPr="007C704F">
        <w:rPr>
          <w:i/>
          <w:lang w:val="en-IE"/>
        </w:rPr>
        <w:t>Official Journal of the European Union</w:t>
      </w:r>
      <w:r w:rsidRPr="007C704F">
        <w:rPr>
          <w:lang w:val="en-IE"/>
        </w:rPr>
        <w:t>.</w:t>
      </w:r>
    </w:p>
    <w:p w14:paraId="106451DB" w14:textId="6EF926E7" w:rsidR="005A7E6E" w:rsidRPr="007C704F" w:rsidRDefault="005A7E6E" w:rsidP="00832005">
      <w:pPr>
        <w:keepNext/>
        <w:rPr>
          <w:lang w:val="en-IE"/>
        </w:rPr>
      </w:pPr>
      <w:r w:rsidRPr="007C704F">
        <w:rPr>
          <w:lang w:val="en-IE"/>
        </w:rPr>
        <w:t>Point (1)</w:t>
      </w:r>
      <w:r w:rsidR="00364E1E">
        <w:rPr>
          <w:lang w:val="en-IE"/>
        </w:rPr>
        <w:t xml:space="preserve"> </w:t>
      </w:r>
      <w:r w:rsidR="00EE1EBB">
        <w:rPr>
          <w:lang w:val="en-IE"/>
        </w:rPr>
        <w:t xml:space="preserve">of the Annex </w:t>
      </w:r>
      <w:r w:rsidRPr="007C704F">
        <w:rPr>
          <w:lang w:val="en-IE"/>
        </w:rPr>
        <w:t xml:space="preserve">shall apply from </w:t>
      </w:r>
      <w:r w:rsidR="00A07AE0" w:rsidRPr="007C704F">
        <w:rPr>
          <w:lang w:val="en-IE"/>
        </w:rPr>
        <w:t xml:space="preserve">… </w:t>
      </w:r>
      <w:r w:rsidRPr="007C704F">
        <w:rPr>
          <w:lang w:val="en-IE"/>
        </w:rPr>
        <w:t>[</w:t>
      </w:r>
      <w:r w:rsidRPr="007C704F">
        <w:rPr>
          <w:i/>
          <w:iCs/>
          <w:lang w:val="en-IE"/>
        </w:rPr>
        <w:t xml:space="preserve">18 months from the </w:t>
      </w:r>
      <w:r w:rsidR="006F3ABF" w:rsidRPr="007C704F">
        <w:rPr>
          <w:i/>
          <w:iCs/>
          <w:lang w:val="en-IE"/>
        </w:rPr>
        <w:t xml:space="preserve">date </w:t>
      </w:r>
      <w:r w:rsidRPr="007C704F">
        <w:rPr>
          <w:i/>
          <w:iCs/>
          <w:lang w:val="en-IE"/>
        </w:rPr>
        <w:t>of publication</w:t>
      </w:r>
      <w:r w:rsidR="00DF53FB" w:rsidRPr="007C704F">
        <w:rPr>
          <w:i/>
          <w:iCs/>
          <w:lang w:val="en-IE"/>
        </w:rPr>
        <w:t xml:space="preserve"> of this Decision</w:t>
      </w:r>
      <w:r w:rsidRPr="007C704F">
        <w:rPr>
          <w:lang w:val="en-IE"/>
        </w:rPr>
        <w:t>].</w:t>
      </w:r>
    </w:p>
    <w:p w14:paraId="7DC99CEC" w14:textId="343F9099" w:rsidR="00832005" w:rsidRPr="007C704F" w:rsidRDefault="00777D45" w:rsidP="00777D45">
      <w:pPr>
        <w:pStyle w:val="Fait"/>
        <w:rPr>
          <w:lang w:val="en-IE"/>
        </w:rPr>
      </w:pPr>
      <w:r w:rsidRPr="00777D45">
        <w:t>Done at Brussels,</w:t>
      </w:r>
    </w:p>
    <w:p w14:paraId="3A96139A" w14:textId="77777777" w:rsidR="00832005" w:rsidRPr="007C704F" w:rsidRDefault="00832005" w:rsidP="00832005">
      <w:pPr>
        <w:pStyle w:val="Institutionquisigne"/>
        <w:rPr>
          <w:lang w:val="en-IE"/>
        </w:rPr>
      </w:pPr>
      <w:r w:rsidRPr="007C704F">
        <w:rPr>
          <w:lang w:val="en-IE"/>
        </w:rPr>
        <w:tab/>
        <w:t>For the Commission</w:t>
      </w:r>
    </w:p>
    <w:p w14:paraId="2A7ADD2E" w14:textId="77777777" w:rsidR="00832005" w:rsidRPr="001F587C" w:rsidRDefault="00832005" w:rsidP="00832005">
      <w:pPr>
        <w:pStyle w:val="Personnequisigne"/>
        <w:rPr>
          <w:lang w:val="de-DE"/>
        </w:rPr>
      </w:pPr>
      <w:r w:rsidRPr="007C704F">
        <w:rPr>
          <w:lang w:val="en-IE"/>
        </w:rPr>
        <w:tab/>
      </w:r>
      <w:r w:rsidRPr="001F587C">
        <w:rPr>
          <w:lang w:val="de-DE"/>
        </w:rPr>
        <w:t>The President</w:t>
      </w:r>
    </w:p>
    <w:p w14:paraId="07CD4A1E" w14:textId="268648DD" w:rsidR="005B3E29" w:rsidRPr="001F587C" w:rsidRDefault="00832005" w:rsidP="00832005">
      <w:pPr>
        <w:pStyle w:val="Personnequisigne"/>
        <w:rPr>
          <w:lang w:val="de-DE"/>
        </w:rPr>
      </w:pPr>
      <w:r w:rsidRPr="001F587C">
        <w:rPr>
          <w:lang w:val="de-DE"/>
        </w:rPr>
        <w:tab/>
        <w:t>Ursula VON DER LEYEN</w:t>
      </w:r>
    </w:p>
    <w:p w14:paraId="32AD0A5B" w14:textId="337304F9" w:rsidR="00BD7077" w:rsidRPr="001F587C" w:rsidRDefault="00BD7077">
      <w:pPr>
        <w:spacing w:before="0" w:after="200" w:line="276" w:lineRule="auto"/>
        <w:jc w:val="left"/>
        <w:rPr>
          <w:iCs/>
          <w:lang w:val="de-DE"/>
        </w:rPr>
      </w:pPr>
      <w:r w:rsidRPr="001F587C">
        <w:rPr>
          <w:i/>
          <w:iCs/>
          <w:lang w:val="de-DE"/>
        </w:rPr>
        <w:br w:type="page"/>
      </w:r>
    </w:p>
    <w:p w14:paraId="6090213A" w14:textId="77777777" w:rsidR="00BD7077" w:rsidRPr="00D315E0" w:rsidRDefault="00BD7077" w:rsidP="00BD7077">
      <w:pPr>
        <w:pStyle w:val="Annexetitre"/>
        <w:rPr>
          <w:lang w:val="en-IE"/>
        </w:rPr>
      </w:pPr>
      <w:r w:rsidRPr="00D315E0">
        <w:rPr>
          <w:lang w:val="en-IE"/>
        </w:rPr>
        <w:lastRenderedPageBreak/>
        <w:t>ANNEX</w:t>
      </w:r>
    </w:p>
    <w:p w14:paraId="1457A090" w14:textId="77777777" w:rsidR="00BD7077" w:rsidRPr="00D315E0" w:rsidRDefault="00BD7077" w:rsidP="00BD7077">
      <w:pPr>
        <w:rPr>
          <w:lang w:val="en-IE"/>
        </w:rPr>
      </w:pPr>
      <w:bookmarkStart w:id="2" w:name="_Hlk155982513"/>
    </w:p>
    <w:bookmarkEnd w:id="2"/>
    <w:p w14:paraId="00B77CC6" w14:textId="77777777" w:rsidR="00BD7077" w:rsidRPr="001107B2" w:rsidRDefault="00BD7077" w:rsidP="00BD7077">
      <w:pPr>
        <w:rPr>
          <w:lang w:val="en-IE"/>
        </w:rPr>
      </w:pPr>
      <w:r w:rsidRPr="000E0908">
        <w:rPr>
          <w:lang w:val="en-IE"/>
        </w:rPr>
        <w:t>The Annex to Implementing Decision (EU) 2021/1195 is amended as follows:</w:t>
      </w:r>
    </w:p>
    <w:p w14:paraId="1A3A5DD9" w14:textId="77777777" w:rsidR="00BD7077" w:rsidRPr="001107B2" w:rsidRDefault="00BD7077" w:rsidP="00BD7077">
      <w:pPr>
        <w:rPr>
          <w:lang w:val="en-IE"/>
        </w:rPr>
      </w:pPr>
      <w:r w:rsidRPr="001107B2">
        <w:rPr>
          <w:lang w:val="en-IE"/>
        </w:rPr>
        <w:t xml:space="preserve">(1) entry No </w:t>
      </w:r>
      <w:r>
        <w:rPr>
          <w:lang w:val="en-IE"/>
        </w:rPr>
        <w:t>2</w:t>
      </w:r>
      <w:r w:rsidRPr="001107B2">
        <w:rPr>
          <w:lang w:val="en-IE"/>
        </w:rPr>
        <w:t xml:space="preserve"> is deleted</w:t>
      </w:r>
      <w:r>
        <w:rPr>
          <w:lang w:val="en-IE"/>
        </w:rPr>
        <w:t>;</w:t>
      </w:r>
    </w:p>
    <w:p w14:paraId="4C2EFDDD" w14:textId="77777777" w:rsidR="00BD7077" w:rsidRPr="001107B2" w:rsidRDefault="00BD7077" w:rsidP="00BD7077">
      <w:pPr>
        <w:rPr>
          <w:lang w:val="en-IE"/>
        </w:rPr>
      </w:pPr>
      <w:r w:rsidRPr="001107B2">
        <w:rPr>
          <w:lang w:val="en-IE"/>
        </w:rPr>
        <w:t>(2) the following entry is inserted: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1"/>
        <w:gridCol w:w="8719"/>
      </w:tblGrid>
      <w:tr w:rsidR="00BD7077" w:rsidRPr="00D315E0" w14:paraId="47D35866" w14:textId="77777777" w:rsidTr="00643085">
        <w:trPr>
          <w:trHeight w:val="12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DD6D2" w14:textId="77777777" w:rsidR="00BD7077" w:rsidRPr="001107B2" w:rsidRDefault="00BD7077" w:rsidP="00643085">
            <w:pPr>
              <w:spacing w:before="0" w:after="0"/>
              <w:jc w:val="right"/>
              <w:rPr>
                <w:lang w:val="en-IE"/>
              </w:rPr>
            </w:pPr>
            <w:r w:rsidRPr="001107B2">
              <w:rPr>
                <w:lang w:val="en-IE"/>
              </w:rPr>
              <w:t>‘</w:t>
            </w:r>
            <w:r>
              <w:rPr>
                <w:lang w:val="en-IE"/>
              </w:rPr>
              <w:t>2</w:t>
            </w:r>
            <w:r w:rsidRPr="001107B2">
              <w:rPr>
                <w:lang w:val="en-IE"/>
              </w:rPr>
              <w:t>a.</w:t>
            </w:r>
          </w:p>
        </w:tc>
        <w:tc>
          <w:tcPr>
            <w:tcW w:w="8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B71C0B" w14:textId="77777777" w:rsidR="00BD7077" w:rsidRDefault="00BD7077" w:rsidP="00643085">
            <w:pPr>
              <w:spacing w:before="0" w:after="0"/>
              <w:jc w:val="left"/>
              <w:rPr>
                <w:lang w:val="en-IE"/>
              </w:rPr>
            </w:pPr>
            <w:r w:rsidRPr="00944E50">
              <w:rPr>
                <w:lang w:val="en-IE"/>
              </w:rPr>
              <w:t>EN ISO 11137-1:202</w:t>
            </w:r>
            <w:r>
              <w:rPr>
                <w:lang w:val="en-IE"/>
              </w:rPr>
              <w:t>6</w:t>
            </w:r>
          </w:p>
          <w:p w14:paraId="5BBB9F19" w14:textId="77777777" w:rsidR="00BD7077" w:rsidRPr="00D315E0" w:rsidRDefault="00BD7077" w:rsidP="00643085">
            <w:pPr>
              <w:spacing w:before="0" w:after="0"/>
              <w:jc w:val="left"/>
              <w:rPr>
                <w:lang w:val="en-IE"/>
              </w:rPr>
            </w:pPr>
            <w:r w:rsidRPr="00944E50">
              <w:rPr>
                <w:lang w:val="en-IE"/>
              </w:rPr>
              <w:t>Sterilization of health care products - Radiation - Part 1: Requirements for the development, validation and routine control of a sterilization process for medical devices (ISO 11137-1:2025)</w:t>
            </w:r>
            <w:r w:rsidRPr="001107B2">
              <w:rPr>
                <w:lang w:val="en-IE"/>
              </w:rPr>
              <w:t>’</w:t>
            </w:r>
            <w:r>
              <w:rPr>
                <w:lang w:val="en-IE"/>
              </w:rPr>
              <w:t>.</w:t>
            </w:r>
          </w:p>
        </w:tc>
      </w:tr>
    </w:tbl>
    <w:p w14:paraId="5E929BF9" w14:textId="77777777" w:rsidR="00BD7077" w:rsidRPr="00BD7077" w:rsidRDefault="00BD7077" w:rsidP="00BD7077">
      <w:pPr>
        <w:pStyle w:val="Institutionquisigne"/>
        <w:rPr>
          <w:i w:val="0"/>
          <w:iCs/>
          <w:lang w:val="en-IE"/>
        </w:rPr>
      </w:pPr>
    </w:p>
    <w:sectPr w:rsidR="00BD7077" w:rsidRPr="00BD7077" w:rsidSect="001C770A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/>
      <w:pgMar w:top="1134" w:right="1417" w:bottom="1134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B7123" w14:textId="77777777" w:rsidR="005B742E" w:rsidRPr="00343F34" w:rsidRDefault="005B742E" w:rsidP="005B3E29">
      <w:pPr>
        <w:spacing w:before="0" w:after="0"/>
      </w:pPr>
      <w:r w:rsidRPr="00343F34">
        <w:separator/>
      </w:r>
    </w:p>
  </w:endnote>
  <w:endnote w:type="continuationSeparator" w:id="0">
    <w:p w14:paraId="48F11204" w14:textId="77777777" w:rsidR="005B742E" w:rsidRPr="00343F34" w:rsidRDefault="005B742E" w:rsidP="005B3E29">
      <w:pPr>
        <w:spacing w:before="0" w:after="0"/>
      </w:pPr>
      <w:r w:rsidRPr="00343F34">
        <w:continuationSeparator/>
      </w:r>
    </w:p>
  </w:endnote>
  <w:endnote w:type="continuationNotice" w:id="1">
    <w:p w14:paraId="1E1C1B36" w14:textId="77777777" w:rsidR="005B742E" w:rsidRPr="00343F34" w:rsidRDefault="005B742E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A96C0" w14:textId="63F3B831" w:rsidR="00777D45" w:rsidRPr="001C770A" w:rsidRDefault="001C770A" w:rsidP="001C770A">
    <w:pPr>
      <w:pStyle w:val="Footer"/>
      <w:rPr>
        <w:rFonts w:ascii="Arial" w:hAnsi="Arial" w:cs="Arial"/>
        <w:b/>
        <w:sz w:val="48"/>
      </w:rPr>
    </w:pPr>
    <w:r w:rsidRPr="001C770A">
      <w:rPr>
        <w:rFonts w:ascii="Arial" w:hAnsi="Arial" w:cs="Arial"/>
        <w:b/>
        <w:sz w:val="48"/>
      </w:rPr>
      <w:t>EN</w:t>
    </w:r>
    <w:r w:rsidRPr="001C770A">
      <w:rPr>
        <w:rFonts w:ascii="Arial" w:hAnsi="Arial" w:cs="Arial"/>
        <w:b/>
        <w:sz w:val="48"/>
      </w:rPr>
      <w:tab/>
    </w:r>
    <w:r w:rsidRPr="001C770A">
      <w:rPr>
        <w:rFonts w:ascii="Arial" w:hAnsi="Arial" w:cs="Arial"/>
        <w:b/>
        <w:sz w:val="48"/>
      </w:rPr>
      <w:tab/>
    </w:r>
    <w:r w:rsidRPr="001C770A">
      <w:tab/>
    </w:r>
    <w:r w:rsidRPr="001C770A">
      <w:rPr>
        <w:rFonts w:ascii="Arial" w:hAnsi="Arial" w:cs="Arial"/>
        <w:b/>
        <w:sz w:val="48"/>
      </w:rPr>
      <w:t>EN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140F6" w14:textId="13813C77" w:rsidR="00777D45" w:rsidRPr="001C770A" w:rsidRDefault="001C770A" w:rsidP="001C770A">
    <w:pPr>
      <w:pStyle w:val="Footer"/>
      <w:rPr>
        <w:rFonts w:ascii="Arial" w:hAnsi="Arial" w:cs="Arial"/>
        <w:b/>
        <w:sz w:val="48"/>
      </w:rPr>
    </w:pPr>
    <w:r w:rsidRPr="001C770A">
      <w:rPr>
        <w:rFonts w:ascii="Arial" w:hAnsi="Arial" w:cs="Arial"/>
        <w:b/>
        <w:sz w:val="48"/>
      </w:rPr>
      <w:t>EN</w:t>
    </w:r>
    <w:r w:rsidRPr="001C770A">
      <w:rPr>
        <w:rFonts w:ascii="Arial" w:hAnsi="Arial" w:cs="Arial"/>
        <w:b/>
        <w:sz w:val="48"/>
      </w:rPr>
      <w:tab/>
    </w:r>
    <w:r w:rsidRPr="001C770A">
      <w:rPr>
        <w:rFonts w:ascii="Arial" w:hAnsi="Arial" w:cs="Arial"/>
        <w:b/>
        <w:sz w:val="48"/>
      </w:rPr>
      <w:tab/>
    </w:r>
    <w:r w:rsidRPr="001C770A">
      <w:tab/>
    </w:r>
    <w:r w:rsidRPr="001C770A">
      <w:rPr>
        <w:rFonts w:ascii="Arial" w:hAnsi="Arial" w:cs="Arial"/>
        <w:b/>
        <w:sz w:val="48"/>
      </w:rPr>
      <w:t>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5F3EA" w14:textId="77777777" w:rsidR="00FB7325" w:rsidRDefault="00FB732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D2FAB" w14:textId="77777777" w:rsidR="00977606" w:rsidRPr="00343F34" w:rsidRDefault="00977606" w:rsidP="00566D8E">
    <w:pPr>
      <w:pStyle w:val="Footer"/>
      <w:rPr>
        <w:rFonts w:ascii="Arial" w:hAnsi="Arial" w:cs="Arial"/>
        <w:b/>
        <w:sz w:val="48"/>
      </w:rPr>
    </w:pPr>
    <w:r w:rsidRPr="00343F34">
      <w:rPr>
        <w:rFonts w:ascii="Arial" w:hAnsi="Arial" w:cs="Arial"/>
        <w:b/>
        <w:sz w:val="48"/>
      </w:rPr>
      <w:t>EN</w:t>
    </w:r>
    <w:r w:rsidRPr="00343F34">
      <w:rPr>
        <w:rFonts w:ascii="Arial" w:hAnsi="Arial" w:cs="Arial"/>
        <w:b/>
        <w:sz w:val="48"/>
      </w:rPr>
      <w:tab/>
    </w:r>
    <w:r w:rsidRPr="00343F34">
      <w:rPr>
        <w:rFonts w:ascii="Arial" w:hAnsi="Arial" w:cs="Arial"/>
        <w:b/>
        <w:sz w:val="48"/>
      </w:rPr>
      <w:tab/>
    </w:r>
    <w:r w:rsidRPr="00343F34">
      <w:tab/>
    </w:r>
    <w:r w:rsidRPr="00343F34">
      <w:rPr>
        <w:rFonts w:ascii="Arial" w:hAnsi="Arial" w:cs="Arial"/>
        <w:b/>
        <w:sz w:val="48"/>
      </w:rPr>
      <w:t>EN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0B16C" w14:textId="35454B53" w:rsidR="001C770A" w:rsidRPr="001C770A" w:rsidRDefault="001C770A" w:rsidP="001C770A">
    <w:pPr>
      <w:pStyle w:val="Footer"/>
      <w:rPr>
        <w:rFonts w:ascii="Arial" w:hAnsi="Arial" w:cs="Arial"/>
        <w:b/>
        <w:sz w:val="48"/>
      </w:rPr>
    </w:pPr>
    <w:r w:rsidRPr="001C770A">
      <w:rPr>
        <w:rFonts w:ascii="Arial" w:hAnsi="Arial" w:cs="Arial"/>
        <w:b/>
        <w:sz w:val="48"/>
      </w:rPr>
      <w:t>EN</w:t>
    </w:r>
    <w:r w:rsidRPr="001C770A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0</w:t>
    </w:r>
    <w:r>
      <w:fldChar w:fldCharType="end"/>
    </w:r>
    <w:r>
      <w:tab/>
    </w:r>
    <w:r w:rsidRPr="001C770A">
      <w:tab/>
    </w:r>
    <w:r w:rsidRPr="001C770A">
      <w:rPr>
        <w:rFonts w:ascii="Arial" w:hAnsi="Arial" w:cs="Arial"/>
        <w:b/>
        <w:sz w:val="48"/>
      </w:rPr>
      <w:t>EN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0EA04" w14:textId="77777777" w:rsidR="00566D8E" w:rsidRPr="00343F34" w:rsidRDefault="00566D8E" w:rsidP="001C77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4525E" w14:textId="77777777" w:rsidR="005B742E" w:rsidRPr="00343F34" w:rsidRDefault="005B742E" w:rsidP="005B3E29">
      <w:pPr>
        <w:spacing w:before="0" w:after="0"/>
      </w:pPr>
      <w:r w:rsidRPr="00343F34">
        <w:separator/>
      </w:r>
    </w:p>
  </w:footnote>
  <w:footnote w:type="continuationSeparator" w:id="0">
    <w:p w14:paraId="7AC7E42A" w14:textId="77777777" w:rsidR="005B742E" w:rsidRPr="00343F34" w:rsidRDefault="005B742E" w:rsidP="005B3E29">
      <w:pPr>
        <w:spacing w:before="0" w:after="0"/>
      </w:pPr>
      <w:r w:rsidRPr="00343F34">
        <w:continuationSeparator/>
      </w:r>
    </w:p>
  </w:footnote>
  <w:footnote w:type="continuationNotice" w:id="1">
    <w:p w14:paraId="62AB9915" w14:textId="77777777" w:rsidR="005B742E" w:rsidRPr="00343F34" w:rsidRDefault="005B742E">
      <w:pPr>
        <w:spacing w:before="0" w:after="0"/>
      </w:pPr>
    </w:p>
  </w:footnote>
  <w:footnote w:id="2">
    <w:p w14:paraId="676F1D3F" w14:textId="66AA640C" w:rsidR="005B3E29" w:rsidRPr="00343F34" w:rsidRDefault="005B3E29" w:rsidP="005B3E29">
      <w:pPr>
        <w:pStyle w:val="FootnoteText"/>
      </w:pPr>
      <w:r w:rsidRPr="00343F34">
        <w:rPr>
          <w:rStyle w:val="FootnoteReference"/>
        </w:rPr>
        <w:footnoteRef/>
      </w:r>
      <w:r w:rsidRPr="00343F34">
        <w:tab/>
        <w:t>OJ L 316, 14.11.2012, p. 12</w:t>
      </w:r>
      <w:r w:rsidR="001402D4" w:rsidRPr="00343F34">
        <w:t xml:space="preserve">, </w:t>
      </w:r>
      <w:r w:rsidR="007F337F" w:rsidRPr="00343F34">
        <w:t>ELI: </w:t>
      </w:r>
      <w:hyperlink r:id="rId1" w:tooltip="Gives access to this document through its ELI URI." w:history="1">
        <w:r w:rsidR="007F337F" w:rsidRPr="00343F34">
          <w:rPr>
            <w:rStyle w:val="Hyperlink"/>
          </w:rPr>
          <w:t>http://data.europa.eu/eli/reg/2012/1025/oj</w:t>
        </w:r>
      </w:hyperlink>
      <w:r w:rsidRPr="00343F34">
        <w:t>.</w:t>
      </w:r>
    </w:p>
  </w:footnote>
  <w:footnote w:id="3">
    <w:p w14:paraId="011B143E" w14:textId="77777777" w:rsidR="002E23FE" w:rsidRPr="00343F34" w:rsidRDefault="002E23FE" w:rsidP="002E23FE">
      <w:pPr>
        <w:pStyle w:val="FootnoteText"/>
      </w:pPr>
      <w:r w:rsidRPr="00343F34">
        <w:rPr>
          <w:rStyle w:val="FootnoteReference"/>
        </w:rPr>
        <w:footnoteRef/>
      </w:r>
      <w:r w:rsidRPr="00343F34">
        <w:tab/>
      </w:r>
      <w:r w:rsidRPr="00274B53">
        <w:t xml:space="preserve">Regulation (EU) 2017/746 of the European Parliament and of the Council of 5 April 2017 on </w:t>
      </w:r>
      <w:r w:rsidRPr="00274B53">
        <w:rPr>
          <w:i/>
          <w:iCs/>
        </w:rPr>
        <w:t>in vitro</w:t>
      </w:r>
      <w:r w:rsidRPr="00274B53">
        <w:t xml:space="preserve"> diagnostic medical devices and repealing Directive 98/79/EC and Commission Decision 2010/227/EU (OJ L 117, 5.5.2017, p. 176, ELI: </w:t>
      </w:r>
      <w:hyperlink r:id="rId2" w:history="1">
        <w:r w:rsidRPr="006F7459">
          <w:rPr>
            <w:rStyle w:val="Hyperlink"/>
          </w:rPr>
          <w:t>http://data.europa.eu/eli/reg/2017/746/oj</w:t>
        </w:r>
      </w:hyperlink>
      <w:r>
        <w:t>).</w:t>
      </w:r>
    </w:p>
  </w:footnote>
  <w:footnote w:id="4">
    <w:p w14:paraId="06E44560" w14:textId="77777777" w:rsidR="002E23FE" w:rsidRPr="00343F34" w:rsidRDefault="002E23FE" w:rsidP="002E23FE">
      <w:pPr>
        <w:pStyle w:val="FootnoteText"/>
      </w:pPr>
      <w:r w:rsidRPr="00343F34">
        <w:rPr>
          <w:rStyle w:val="FootnoteReference"/>
        </w:rPr>
        <w:footnoteRef/>
      </w:r>
      <w:r w:rsidRPr="00343F34">
        <w:tab/>
      </w:r>
      <w:r w:rsidRPr="00C503DE">
        <w:t xml:space="preserve">Commission Implementing Decision C(2021) 2406 of 14 April 2021 on a standardisation request to the European Committee for Standardization and the European Committee for Electrotechnical Standardization as regards medical devices in support of Regulation (EU) 2017/745 of the European Parliament and of the Council and </w:t>
      </w:r>
      <w:r w:rsidRPr="00C503DE">
        <w:rPr>
          <w:i/>
          <w:iCs/>
        </w:rPr>
        <w:t>in vitro</w:t>
      </w:r>
      <w:r w:rsidRPr="00C503DE">
        <w:t xml:space="preserve"> diagnostic medical devices in support of Regulation (EU) 2017/746 of the European Parliament and of the Council</w:t>
      </w:r>
      <w:r>
        <w:t xml:space="preserve"> (</w:t>
      </w:r>
      <w:hyperlink r:id="rId3" w:history="1">
        <w:r w:rsidRPr="0067046A">
          <w:rPr>
            <w:rStyle w:val="Hyperlink"/>
          </w:rPr>
          <w:t>https://ec.europa.eu/growth/tools-databases/enorm/mandate/575_en</w:t>
        </w:r>
      </w:hyperlink>
      <w:r>
        <w:t>)</w:t>
      </w:r>
      <w:r w:rsidRPr="00C503DE">
        <w:t>.</w:t>
      </w:r>
    </w:p>
  </w:footnote>
  <w:footnote w:id="5">
    <w:p w14:paraId="7E463159" w14:textId="77777777" w:rsidR="002E23FE" w:rsidRPr="00343F34" w:rsidRDefault="002E23FE" w:rsidP="002E23FE">
      <w:pPr>
        <w:pStyle w:val="FootnoteText"/>
      </w:pPr>
      <w:r w:rsidRPr="00343F34">
        <w:rPr>
          <w:rStyle w:val="FootnoteReference"/>
        </w:rPr>
        <w:footnoteRef/>
      </w:r>
      <w:r w:rsidRPr="00343F34">
        <w:tab/>
      </w:r>
      <w:r w:rsidRPr="00274B53">
        <w:t xml:space="preserve">Directive 98/79/EC of the European Parliament and of the Council of 27 October 1998 on </w:t>
      </w:r>
      <w:r w:rsidRPr="00274B53">
        <w:rPr>
          <w:i/>
          <w:iCs/>
        </w:rPr>
        <w:t>in vitro</w:t>
      </w:r>
      <w:r w:rsidRPr="00274B53">
        <w:t xml:space="preserve"> diagnostic medical devices (OJ L 331, 7.12.1998, p. 1, ELI: </w:t>
      </w:r>
      <w:hyperlink r:id="rId4" w:history="1">
        <w:r w:rsidRPr="006F7459">
          <w:rPr>
            <w:rStyle w:val="Hyperlink"/>
          </w:rPr>
          <w:t>http://data.europa.eu/eli/dir/1998/79/oj</w:t>
        </w:r>
      </w:hyperlink>
      <w:r>
        <w:t>).</w:t>
      </w:r>
    </w:p>
  </w:footnote>
  <w:footnote w:id="6">
    <w:p w14:paraId="0AF3D87C" w14:textId="77777777" w:rsidR="002E23FE" w:rsidRPr="00343F34" w:rsidRDefault="002E23FE" w:rsidP="002E23FE">
      <w:pPr>
        <w:pStyle w:val="FootnoteText"/>
      </w:pPr>
      <w:r w:rsidRPr="00343F34">
        <w:rPr>
          <w:rStyle w:val="FootnoteReference"/>
        </w:rPr>
        <w:footnoteRef/>
      </w:r>
      <w:r w:rsidRPr="00343F34">
        <w:tab/>
      </w:r>
      <w:r w:rsidRPr="00685D5F">
        <w:t xml:space="preserve">Commission Implementing Decision (EU) 2021/1195 of 19 July 2021 on the harmonised standards for </w:t>
      </w:r>
      <w:r w:rsidRPr="00685D5F">
        <w:rPr>
          <w:i/>
          <w:iCs/>
        </w:rPr>
        <w:t>in vitro</w:t>
      </w:r>
      <w:r w:rsidRPr="00685D5F">
        <w:t xml:space="preserve"> diagnostic medical devices drafted in support of Regulation (EU) 2017/746 of the European Parliament and of the Council (OJ L 258, 20.7.2021, p. 50, ELI: </w:t>
      </w:r>
      <w:hyperlink r:id="rId5" w:history="1">
        <w:r w:rsidRPr="006F7459">
          <w:rPr>
            <w:rStyle w:val="Hyperlink"/>
          </w:rPr>
          <w:t>http://data.europa.eu/eli/dec_impl/2021/1195/oj</w:t>
        </w:r>
      </w:hyperlink>
      <w: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89DBE" w14:textId="5DAB2A50" w:rsidR="00FB7325" w:rsidRDefault="005B742E">
    <w:pPr>
      <w:pStyle w:val="Header"/>
    </w:pPr>
    <w:r>
      <w:rPr>
        <w:noProof/>
      </w:rPr>
      <w:pict w14:anchorId="72F5E04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24376" o:spid="_x0000_s1026" type="#_x0000_t136" style="position:absolute;left:0;text-align:left;margin-left:0;margin-top:0;width:456.85pt;height:182.7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FD6D0" w14:textId="1CDDCFAD" w:rsidR="00FB7325" w:rsidRDefault="005B742E">
    <w:pPr>
      <w:pStyle w:val="Header"/>
    </w:pPr>
    <w:r>
      <w:rPr>
        <w:noProof/>
      </w:rPr>
      <w:pict w14:anchorId="54069DB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24377" o:spid="_x0000_s1027" type="#_x0000_t136" style="position:absolute;left:0;text-align:left;margin-left:0;margin-top:0;width:456.85pt;height:182.7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2A40B" w14:textId="20B46849" w:rsidR="00FB7325" w:rsidRDefault="005B742E">
    <w:pPr>
      <w:pStyle w:val="Header"/>
    </w:pPr>
    <w:r>
      <w:rPr>
        <w:noProof/>
      </w:rPr>
      <w:pict w14:anchorId="75A0464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24375" o:spid="_x0000_s1025" type="#_x0000_t136" style="position:absolute;left:0;text-align:left;margin-left:0;margin-top:0;width:456.85pt;height:182.7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042CB" w14:textId="356A34D7" w:rsidR="00977606" w:rsidRPr="00343F34" w:rsidRDefault="005B742E">
    <w:pPr>
      <w:pStyle w:val="Header"/>
    </w:pPr>
    <w:r>
      <w:rPr>
        <w:noProof/>
      </w:rPr>
      <w:pict w14:anchorId="65C443C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24379" o:spid="_x0000_s1029" type="#_x0000_t136" style="position:absolute;left:0;text-align:left;margin-left:0;margin-top:0;width:456.85pt;height:182.7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8E374" w14:textId="585B24F2" w:rsidR="00FB7325" w:rsidRDefault="005B742E">
    <w:pPr>
      <w:pStyle w:val="Header"/>
    </w:pPr>
    <w:r>
      <w:rPr>
        <w:noProof/>
      </w:rPr>
      <w:pict w14:anchorId="759BE5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24380" o:spid="_x0000_s1031" type="#_x0000_t136" style="position:absolute;left:0;text-align:left;margin-left:0;margin-top:0;width:456.85pt;height:182.75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  <w:r w:rsidR="001F587C"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09006CC1" wp14:editId="2C47C4F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801995" cy="2320925"/>
              <wp:effectExtent l="0" t="1476375" r="0" b="1336675"/>
              <wp:wrapNone/>
              <wp:docPr id="31548277" name="WordArt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801995" cy="23209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0BD69A" w14:textId="77777777" w:rsidR="001F587C" w:rsidRDefault="001F587C" w:rsidP="001F587C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:lang w:val="pt-PT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:lang w:val="pt-PT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006CC1" id="_x0000_t202" coordsize="21600,21600" o:spt="202" path="m,l,21600r21600,l21600,xe">
              <v:stroke joinstyle="miter"/>
              <v:path gradientshapeok="t" o:connecttype="rect"/>
            </v:shapetype>
            <v:shape id="WordArt 6" o:spid="_x0000_s1026" type="#_x0000_t202" style="position:absolute;left:0;text-align:left;margin-left:0;margin-top:0;width:456.85pt;height:182.75pt;rotation:-45;z-index:-251646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500BD69A" w14:textId="77777777" w:rsidR="001F587C" w:rsidRDefault="001F587C" w:rsidP="001F587C">
                    <w:pPr>
                      <w:jc w:val="center"/>
                      <w:rPr>
                        <w:color w:val="C0C0C0"/>
                        <w:sz w:val="2"/>
                        <w:szCs w:val="2"/>
                        <w:lang w:val="pt-PT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:lang w:val="pt-PT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31CEF" w14:textId="273BA6B8" w:rsidR="00977606" w:rsidRPr="00343F34" w:rsidRDefault="005B742E">
    <w:pPr>
      <w:pStyle w:val="Header"/>
    </w:pPr>
    <w:r>
      <w:rPr>
        <w:noProof/>
      </w:rPr>
      <w:pict w14:anchorId="03C7E8D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24378" o:spid="_x0000_s1028" type="#_x0000_t136" style="position:absolute;left:0;text-align:left;margin-left:0;margin-top:0;width:456.85pt;height:182.7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DFCE753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5B0C687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7EAB6F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1"/>
    <w:multiLevelType w:val="singleLevel"/>
    <w:tmpl w:val="1874980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6BB68F2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F35A7CF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8A32035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0CE6A0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1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4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5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6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7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8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0" w15:restartNumberingAfterBreak="0">
    <w:nsid w:val="64A12FA4"/>
    <w:multiLevelType w:val="multilevel"/>
    <w:tmpl w:val="428ECF3E"/>
    <w:name w:val="Heading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Heading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2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 w16cid:durableId="1869180534">
    <w:abstractNumId w:val="7"/>
  </w:num>
  <w:num w:numId="2" w16cid:durableId="128478188">
    <w:abstractNumId w:val="5"/>
  </w:num>
  <w:num w:numId="3" w16cid:durableId="1325091286">
    <w:abstractNumId w:val="4"/>
  </w:num>
  <w:num w:numId="4" w16cid:durableId="1547378244">
    <w:abstractNumId w:val="3"/>
  </w:num>
  <w:num w:numId="5" w16cid:durableId="686449584">
    <w:abstractNumId w:val="6"/>
  </w:num>
  <w:num w:numId="6" w16cid:durableId="1160385493">
    <w:abstractNumId w:val="2"/>
  </w:num>
  <w:num w:numId="7" w16cid:durableId="469638851">
    <w:abstractNumId w:val="1"/>
  </w:num>
  <w:num w:numId="8" w16cid:durableId="121265838">
    <w:abstractNumId w:val="0"/>
  </w:num>
  <w:num w:numId="9" w16cid:durableId="2089693441">
    <w:abstractNumId w:val="19"/>
  </w:num>
  <w:num w:numId="10" w16cid:durableId="1693998065">
    <w:abstractNumId w:val="12"/>
  </w:num>
  <w:num w:numId="11" w16cid:durableId="788817884">
    <w:abstractNumId w:val="21"/>
  </w:num>
  <w:num w:numId="12" w16cid:durableId="1535464848">
    <w:abstractNumId w:val="11"/>
  </w:num>
  <w:num w:numId="13" w16cid:durableId="639657071">
    <w:abstractNumId w:val="13"/>
  </w:num>
  <w:num w:numId="14" w16cid:durableId="361050661">
    <w:abstractNumId w:val="14"/>
  </w:num>
  <w:num w:numId="15" w16cid:durableId="472790552">
    <w:abstractNumId w:val="9"/>
  </w:num>
  <w:num w:numId="16" w16cid:durableId="384646725">
    <w:abstractNumId w:val="20"/>
  </w:num>
  <w:num w:numId="17" w16cid:durableId="2031682509">
    <w:abstractNumId w:val="8"/>
  </w:num>
  <w:num w:numId="18" w16cid:durableId="150604668">
    <w:abstractNumId w:val="15"/>
  </w:num>
  <w:num w:numId="19" w16cid:durableId="472332852">
    <w:abstractNumId w:val="17"/>
  </w:num>
  <w:num w:numId="20" w16cid:durableId="1298296966">
    <w:abstractNumId w:val="18"/>
  </w:num>
  <w:num w:numId="21" w16cid:durableId="1306230484">
    <w:abstractNumId w:val="10"/>
  </w:num>
  <w:num w:numId="22" w16cid:durableId="24066917">
    <w:abstractNumId w:val="16"/>
  </w:num>
  <w:num w:numId="23" w16cid:durableId="485436588">
    <w:abstractNumId w:val="22"/>
  </w:num>
  <w:num w:numId="24" w16cid:durableId="1604192994">
    <w:abstractNumId w:val="22"/>
    <w:lvlOverride w:ilvl="0">
      <w:startOverride w:val="1"/>
    </w:lvlOverride>
  </w:num>
  <w:num w:numId="25" w16cid:durableId="2089693441">
    <w:abstractNumId w:val="19"/>
  </w:num>
  <w:num w:numId="26" w16cid:durableId="1693998065">
    <w:abstractNumId w:val="12"/>
  </w:num>
  <w:num w:numId="27" w16cid:durableId="788817884">
    <w:abstractNumId w:val="21"/>
  </w:num>
  <w:num w:numId="28" w16cid:durableId="1535464848">
    <w:abstractNumId w:val="11"/>
  </w:num>
  <w:num w:numId="29" w16cid:durableId="639657071">
    <w:abstractNumId w:val="13"/>
  </w:num>
  <w:num w:numId="30" w16cid:durableId="361050661">
    <w:abstractNumId w:val="14"/>
  </w:num>
  <w:num w:numId="31" w16cid:durableId="472790552">
    <w:abstractNumId w:val="9"/>
  </w:num>
  <w:num w:numId="32" w16cid:durableId="384646725">
    <w:abstractNumId w:val="20"/>
  </w:num>
  <w:num w:numId="33" w16cid:durableId="2031682509">
    <w:abstractNumId w:val="8"/>
  </w:num>
  <w:num w:numId="34" w16cid:durableId="150604668">
    <w:abstractNumId w:val="15"/>
  </w:num>
  <w:num w:numId="35" w16cid:durableId="472332852">
    <w:abstractNumId w:val="17"/>
  </w:num>
  <w:num w:numId="36" w16cid:durableId="1298296966">
    <w:abstractNumId w:val="18"/>
  </w:num>
  <w:num w:numId="37" w16cid:durableId="1306230484">
    <w:abstractNumId w:val="10"/>
  </w:num>
  <w:num w:numId="38" w16cid:durableId="24066917">
    <w:abstractNumId w:val="16"/>
  </w:num>
  <w:num w:numId="39" w16cid:durableId="485436588">
    <w:abstractNumId w:val="2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R_RefLast" w:val="0"/>
    <w:docVar w:name="DQCDateTime" w:val="2026-07-17 17:43:11"/>
    <w:docVar w:name="DQCResult_Distribution" w:val="0;0"/>
    <w:docVar w:name="DQCResult_DocumentContent" w:val="0;0"/>
    <w:docVar w:name="DQCResult_DocumentSize" w:val="0;0"/>
    <w:docVar w:name="DQCResult_InvalidFootnotes" w:val="0;0"/>
    <w:docVar w:name="DQCResult_ModifiedMarkers" w:val="0;0"/>
    <w:docVar w:name="DQCResult_ModifiedNumbering" w:val="0;0"/>
    <w:docVar w:name="DQCResult_Objects" w:val="0;0"/>
    <w:docVar w:name="DQCResult_StructureCheck" w:val="0;0"/>
    <w:docVar w:name="DQCStatus" w:val="Yellow"/>
    <w:docVar w:name="DQCVersion" w:val="3"/>
    <w:docVar w:name="DQCWithWarnings" w:val="0"/>
    <w:docVar w:name="LW_CORRIGENDUM" w:val="&lt;UNUSED&gt;"/>
    <w:docVar w:name="LW_COVERPAGE_EXISTS" w:val="True"/>
    <w:docVar w:name="LW_COVERPAGE_GUID" w:val="171BA1BE-06A1-4757-8CE8-38C8005EC8FE"/>
    <w:docVar w:name="LW_COVERPAGE_TYPE" w:val="1"/>
    <w:docVar w:name="LW_CROSSREFERENCE" w:val="&lt;UNUSED&gt;"/>
    <w:docVar w:name="LW_DATE.ADOPT.CP" w:val="of XXX"/>
    <w:docVar w:name="LW_DATE.ADOPT.CP_DATEFORMAT" w:val="of %DATE%"/>
    <w:docVar w:name="LW_DATE.ADOPT.CP_ISODATE" w:val="&lt;EMPTY&gt;"/>
    <w:docVar w:name="LW_DocType" w:val="COM"/>
    <w:docVar w:name="LW_EMISSION" w:val="&lt;EMPTY&gt;"/>
    <w:docVar w:name="LW_EMISSION_ISODATE" w:val="&lt;EMPTY&gt;"/>
    <w:docVar w:name="LW_EMISSION_LOCATION" w:val="BRX"/>
    <w:docVar w:name="LW_EMISSION_PREFIX" w:val="Brussels, "/>
    <w:docVar w:name="LW_EMISSION_SUFFIX" w:val=" "/>
    <w:docVar w:name="LW_ID_DOCMODEL" w:val="SJ-032"/>
    <w:docVar w:name="LW_ID_DOCSIGNATURE" w:val="SJ-032"/>
    <w:docVar w:name="LW_ID_DOCSTRUCTURE" w:val="COM/AA"/>
    <w:docVar w:name="LW_ID_DOCTYPE" w:val="SJ-032"/>
    <w:docVar w:name="LW_INTERETEEE.CP" w:val="(Text with EEA relevance)"/>
    <w:docVar w:name="LW_LANGUE" w:val="EN"/>
    <w:docVar w:name="LW_LANGUESFAISANTFOI.CP" w:val="&lt;UNUSED&gt;"/>
    <w:docVar w:name="LW_LEVEL_OF_SENSITIVITY" w:val="Standard treatment"/>
    <w:docVar w:name="LW_NOM.INST" w:val="EUROPEAN COMMISSION"/>
    <w:docVar w:name="LW_NOM.INST_JOINTDOC" w:val="&lt;EMPTY&gt;"/>
    <w:docVar w:name="LW_PART_NBR" w:val="1"/>
    <w:docVar w:name="LW_PART_NBR_TOTAL" w:val="1"/>
    <w:docVar w:name="LW_REF.INST.NEW" w:val="&lt;EMPTY&gt;"/>
    <w:docVar w:name="LW_REF.INST.NEW_ADOPTED" w:val="draft"/>
    <w:docVar w:name="LW_REF.INST.NEW_TEXT" w:val="(2026) XXX"/>
    <w:docVar w:name="LW_REF.INTERNE" w:val="&lt;UNUSED&gt;"/>
    <w:docVar w:name="LW_SENSITIVITY" w:val="&lt;?xml version=&quot;1.0&quot; encoding=&quot;utf-8&quot;?&gt;_x000d__x000a_&lt;SensitivityLevel xmlns:xsd=&quot;http://www.w3.org/2001/XMLSchema&quot; xmlns:xsi=&quot;http://www.w3.org/2001/XMLSchema-instance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UPERTITRE" w:val="&lt;UNUSED&gt;"/>
    <w:docVar w:name="LW_TITRE.OBJ.CP" w:val="amending Implementing Decision (EU) 2021/1195 as regards the harmonised standard for sterilization of health care products"/>
    <w:docVar w:name="LW_TYPE.DOC.CP" w:val="COMMISSION IMPLEMENTING DECISION (EU) \u8230?/\u8230?"/>
  </w:docVars>
  <w:rsids>
    <w:rsidRoot w:val="005B3E29"/>
    <w:rsid w:val="000016E4"/>
    <w:rsid w:val="0000258B"/>
    <w:rsid w:val="00003149"/>
    <w:rsid w:val="000038DD"/>
    <w:rsid w:val="0000492B"/>
    <w:rsid w:val="00012168"/>
    <w:rsid w:val="0001486D"/>
    <w:rsid w:val="000162B5"/>
    <w:rsid w:val="00016AA4"/>
    <w:rsid w:val="00016BF2"/>
    <w:rsid w:val="00016F2A"/>
    <w:rsid w:val="000205FA"/>
    <w:rsid w:val="00023B5A"/>
    <w:rsid w:val="000279C2"/>
    <w:rsid w:val="00030590"/>
    <w:rsid w:val="000319AE"/>
    <w:rsid w:val="000325BF"/>
    <w:rsid w:val="0003278D"/>
    <w:rsid w:val="00034171"/>
    <w:rsid w:val="000347FA"/>
    <w:rsid w:val="000358C0"/>
    <w:rsid w:val="000409DC"/>
    <w:rsid w:val="0004155E"/>
    <w:rsid w:val="000425A5"/>
    <w:rsid w:val="000434AF"/>
    <w:rsid w:val="00045453"/>
    <w:rsid w:val="0004612F"/>
    <w:rsid w:val="000463B9"/>
    <w:rsid w:val="00051333"/>
    <w:rsid w:val="00051431"/>
    <w:rsid w:val="000535F9"/>
    <w:rsid w:val="00053CB9"/>
    <w:rsid w:val="00055C4A"/>
    <w:rsid w:val="000560C0"/>
    <w:rsid w:val="00056273"/>
    <w:rsid w:val="00061A77"/>
    <w:rsid w:val="00061E6D"/>
    <w:rsid w:val="00063DEE"/>
    <w:rsid w:val="00064903"/>
    <w:rsid w:val="00066153"/>
    <w:rsid w:val="00066236"/>
    <w:rsid w:val="0006740F"/>
    <w:rsid w:val="000729BE"/>
    <w:rsid w:val="00072C87"/>
    <w:rsid w:val="00072FF8"/>
    <w:rsid w:val="0007454A"/>
    <w:rsid w:val="00075035"/>
    <w:rsid w:val="0007692A"/>
    <w:rsid w:val="00076AD7"/>
    <w:rsid w:val="00084CF6"/>
    <w:rsid w:val="000914C1"/>
    <w:rsid w:val="00093CA5"/>
    <w:rsid w:val="000960D4"/>
    <w:rsid w:val="00097520"/>
    <w:rsid w:val="000A1DED"/>
    <w:rsid w:val="000A4BD4"/>
    <w:rsid w:val="000A7517"/>
    <w:rsid w:val="000A7BE5"/>
    <w:rsid w:val="000B15DB"/>
    <w:rsid w:val="000B28C5"/>
    <w:rsid w:val="000B5713"/>
    <w:rsid w:val="000B789B"/>
    <w:rsid w:val="000B794B"/>
    <w:rsid w:val="000C0E66"/>
    <w:rsid w:val="000C1E9A"/>
    <w:rsid w:val="000C6049"/>
    <w:rsid w:val="000C6B6F"/>
    <w:rsid w:val="000C743D"/>
    <w:rsid w:val="000D37FC"/>
    <w:rsid w:val="000D431C"/>
    <w:rsid w:val="000D4AC8"/>
    <w:rsid w:val="000D7DAE"/>
    <w:rsid w:val="000E0DBC"/>
    <w:rsid w:val="000E198E"/>
    <w:rsid w:val="000E240E"/>
    <w:rsid w:val="000F39CC"/>
    <w:rsid w:val="000F3C1F"/>
    <w:rsid w:val="000F4BA5"/>
    <w:rsid w:val="000F6985"/>
    <w:rsid w:val="00102140"/>
    <w:rsid w:val="00104344"/>
    <w:rsid w:val="00107AAF"/>
    <w:rsid w:val="00114373"/>
    <w:rsid w:val="001161A6"/>
    <w:rsid w:val="00116A99"/>
    <w:rsid w:val="00117166"/>
    <w:rsid w:val="00124134"/>
    <w:rsid w:val="00125A39"/>
    <w:rsid w:val="0013552C"/>
    <w:rsid w:val="00136432"/>
    <w:rsid w:val="00136AF3"/>
    <w:rsid w:val="001402D4"/>
    <w:rsid w:val="00142AC1"/>
    <w:rsid w:val="00144975"/>
    <w:rsid w:val="001454AB"/>
    <w:rsid w:val="00145B32"/>
    <w:rsid w:val="00145E3D"/>
    <w:rsid w:val="001466A9"/>
    <w:rsid w:val="00146AB3"/>
    <w:rsid w:val="001476A9"/>
    <w:rsid w:val="00147FB3"/>
    <w:rsid w:val="0015386D"/>
    <w:rsid w:val="00154385"/>
    <w:rsid w:val="001547D1"/>
    <w:rsid w:val="00156C9A"/>
    <w:rsid w:val="0015756A"/>
    <w:rsid w:val="00161E5A"/>
    <w:rsid w:val="0016217A"/>
    <w:rsid w:val="0016304D"/>
    <w:rsid w:val="001714A1"/>
    <w:rsid w:val="00174340"/>
    <w:rsid w:val="001779C8"/>
    <w:rsid w:val="001779DA"/>
    <w:rsid w:val="00180AA7"/>
    <w:rsid w:val="00183C76"/>
    <w:rsid w:val="001843F6"/>
    <w:rsid w:val="00184FAF"/>
    <w:rsid w:val="00185D84"/>
    <w:rsid w:val="00186A88"/>
    <w:rsid w:val="00186F09"/>
    <w:rsid w:val="001878CD"/>
    <w:rsid w:val="00187E7D"/>
    <w:rsid w:val="00191102"/>
    <w:rsid w:val="00191B79"/>
    <w:rsid w:val="001929EE"/>
    <w:rsid w:val="00193278"/>
    <w:rsid w:val="001938B3"/>
    <w:rsid w:val="00193F26"/>
    <w:rsid w:val="0019553C"/>
    <w:rsid w:val="0019616E"/>
    <w:rsid w:val="001A1118"/>
    <w:rsid w:val="001A2C7A"/>
    <w:rsid w:val="001A4929"/>
    <w:rsid w:val="001B0A78"/>
    <w:rsid w:val="001B19A3"/>
    <w:rsid w:val="001B3ED0"/>
    <w:rsid w:val="001B426C"/>
    <w:rsid w:val="001B44AC"/>
    <w:rsid w:val="001B63F2"/>
    <w:rsid w:val="001B78B7"/>
    <w:rsid w:val="001C2035"/>
    <w:rsid w:val="001C23CF"/>
    <w:rsid w:val="001C2816"/>
    <w:rsid w:val="001C31DA"/>
    <w:rsid w:val="001C6B69"/>
    <w:rsid w:val="001C70A8"/>
    <w:rsid w:val="001C770A"/>
    <w:rsid w:val="001D0E14"/>
    <w:rsid w:val="001D27CF"/>
    <w:rsid w:val="001D2C65"/>
    <w:rsid w:val="001D63F8"/>
    <w:rsid w:val="001D6E5A"/>
    <w:rsid w:val="001E03FC"/>
    <w:rsid w:val="001E3BE3"/>
    <w:rsid w:val="001E3BF2"/>
    <w:rsid w:val="001E4D97"/>
    <w:rsid w:val="001E5A6F"/>
    <w:rsid w:val="001E7AA9"/>
    <w:rsid w:val="001F0C44"/>
    <w:rsid w:val="001F17FE"/>
    <w:rsid w:val="001F18D0"/>
    <w:rsid w:val="001F3ED4"/>
    <w:rsid w:val="001F441D"/>
    <w:rsid w:val="001F46AB"/>
    <w:rsid w:val="001F565B"/>
    <w:rsid w:val="001F587C"/>
    <w:rsid w:val="00200C05"/>
    <w:rsid w:val="00200E3E"/>
    <w:rsid w:val="00200EA7"/>
    <w:rsid w:val="00205A17"/>
    <w:rsid w:val="0021088E"/>
    <w:rsid w:val="00210C91"/>
    <w:rsid w:val="00211AE2"/>
    <w:rsid w:val="00212685"/>
    <w:rsid w:val="002127D6"/>
    <w:rsid w:val="0021309B"/>
    <w:rsid w:val="0021384A"/>
    <w:rsid w:val="00213D3C"/>
    <w:rsid w:val="002142F8"/>
    <w:rsid w:val="0022180E"/>
    <w:rsid w:val="00221D15"/>
    <w:rsid w:val="00224301"/>
    <w:rsid w:val="00224A4C"/>
    <w:rsid w:val="002259F9"/>
    <w:rsid w:val="00230A49"/>
    <w:rsid w:val="00235228"/>
    <w:rsid w:val="00242107"/>
    <w:rsid w:val="002433F5"/>
    <w:rsid w:val="002435D3"/>
    <w:rsid w:val="0024447A"/>
    <w:rsid w:val="00244E8D"/>
    <w:rsid w:val="00245902"/>
    <w:rsid w:val="0024648B"/>
    <w:rsid w:val="00246491"/>
    <w:rsid w:val="00246CBF"/>
    <w:rsid w:val="002470E3"/>
    <w:rsid w:val="00250C11"/>
    <w:rsid w:val="002519B1"/>
    <w:rsid w:val="002526CF"/>
    <w:rsid w:val="00252CE2"/>
    <w:rsid w:val="00254AE0"/>
    <w:rsid w:val="00255547"/>
    <w:rsid w:val="00256439"/>
    <w:rsid w:val="00256B15"/>
    <w:rsid w:val="0026147A"/>
    <w:rsid w:val="00263047"/>
    <w:rsid w:val="002635AB"/>
    <w:rsid w:val="0026407F"/>
    <w:rsid w:val="002650E4"/>
    <w:rsid w:val="00265D81"/>
    <w:rsid w:val="00271244"/>
    <w:rsid w:val="00273B1C"/>
    <w:rsid w:val="00274D26"/>
    <w:rsid w:val="002770B7"/>
    <w:rsid w:val="00277B6D"/>
    <w:rsid w:val="002822EA"/>
    <w:rsid w:val="002853A9"/>
    <w:rsid w:val="0028673E"/>
    <w:rsid w:val="00286CA3"/>
    <w:rsid w:val="00287666"/>
    <w:rsid w:val="00290508"/>
    <w:rsid w:val="002A340C"/>
    <w:rsid w:val="002A35B6"/>
    <w:rsid w:val="002A4242"/>
    <w:rsid w:val="002A55DD"/>
    <w:rsid w:val="002A693B"/>
    <w:rsid w:val="002B2AE3"/>
    <w:rsid w:val="002B6BE4"/>
    <w:rsid w:val="002B7239"/>
    <w:rsid w:val="002C013F"/>
    <w:rsid w:val="002C0559"/>
    <w:rsid w:val="002C3645"/>
    <w:rsid w:val="002C4992"/>
    <w:rsid w:val="002C5A6D"/>
    <w:rsid w:val="002C6636"/>
    <w:rsid w:val="002C7BB3"/>
    <w:rsid w:val="002D0D37"/>
    <w:rsid w:val="002D1877"/>
    <w:rsid w:val="002D2D4A"/>
    <w:rsid w:val="002D4402"/>
    <w:rsid w:val="002D5910"/>
    <w:rsid w:val="002D5B72"/>
    <w:rsid w:val="002D78C3"/>
    <w:rsid w:val="002E09CF"/>
    <w:rsid w:val="002E20FE"/>
    <w:rsid w:val="002E23FE"/>
    <w:rsid w:val="002E2824"/>
    <w:rsid w:val="002E2D9F"/>
    <w:rsid w:val="002E2FEE"/>
    <w:rsid w:val="002E30E6"/>
    <w:rsid w:val="002E3211"/>
    <w:rsid w:val="002E7072"/>
    <w:rsid w:val="002F0DB3"/>
    <w:rsid w:val="002F2C2A"/>
    <w:rsid w:val="002F3F04"/>
    <w:rsid w:val="002F4AD0"/>
    <w:rsid w:val="002F6010"/>
    <w:rsid w:val="00300C86"/>
    <w:rsid w:val="00302474"/>
    <w:rsid w:val="00302D85"/>
    <w:rsid w:val="00303633"/>
    <w:rsid w:val="00304229"/>
    <w:rsid w:val="0030547D"/>
    <w:rsid w:val="003130FF"/>
    <w:rsid w:val="00313230"/>
    <w:rsid w:val="00313FF6"/>
    <w:rsid w:val="0031423C"/>
    <w:rsid w:val="003161A6"/>
    <w:rsid w:val="00317C78"/>
    <w:rsid w:val="0032078C"/>
    <w:rsid w:val="003209DF"/>
    <w:rsid w:val="00321CE7"/>
    <w:rsid w:val="003253A6"/>
    <w:rsid w:val="00326A46"/>
    <w:rsid w:val="00327526"/>
    <w:rsid w:val="0033022C"/>
    <w:rsid w:val="00330F12"/>
    <w:rsid w:val="003316AE"/>
    <w:rsid w:val="0033320D"/>
    <w:rsid w:val="00333F1B"/>
    <w:rsid w:val="0033773E"/>
    <w:rsid w:val="00342D5A"/>
    <w:rsid w:val="00343E75"/>
    <w:rsid w:val="00343F34"/>
    <w:rsid w:val="00344559"/>
    <w:rsid w:val="00344D70"/>
    <w:rsid w:val="00347770"/>
    <w:rsid w:val="003502B3"/>
    <w:rsid w:val="00355BF3"/>
    <w:rsid w:val="003573B8"/>
    <w:rsid w:val="00364CFD"/>
    <w:rsid w:val="00364E1E"/>
    <w:rsid w:val="00364F6E"/>
    <w:rsid w:val="0037018E"/>
    <w:rsid w:val="00371910"/>
    <w:rsid w:val="00371C2B"/>
    <w:rsid w:val="0037201D"/>
    <w:rsid w:val="00372F9F"/>
    <w:rsid w:val="00373015"/>
    <w:rsid w:val="003731F6"/>
    <w:rsid w:val="003744F8"/>
    <w:rsid w:val="00375595"/>
    <w:rsid w:val="00376471"/>
    <w:rsid w:val="00377D04"/>
    <w:rsid w:val="00380289"/>
    <w:rsid w:val="00381732"/>
    <w:rsid w:val="003846E6"/>
    <w:rsid w:val="003850F0"/>
    <w:rsid w:val="0038604F"/>
    <w:rsid w:val="00390AFB"/>
    <w:rsid w:val="00394CD5"/>
    <w:rsid w:val="00397473"/>
    <w:rsid w:val="00397834"/>
    <w:rsid w:val="00397BF9"/>
    <w:rsid w:val="00397F9C"/>
    <w:rsid w:val="003A1D97"/>
    <w:rsid w:val="003A1F83"/>
    <w:rsid w:val="003A3AE3"/>
    <w:rsid w:val="003A450D"/>
    <w:rsid w:val="003A6809"/>
    <w:rsid w:val="003A77A4"/>
    <w:rsid w:val="003A7820"/>
    <w:rsid w:val="003B3318"/>
    <w:rsid w:val="003B5DCD"/>
    <w:rsid w:val="003B5E3A"/>
    <w:rsid w:val="003B71A7"/>
    <w:rsid w:val="003B7957"/>
    <w:rsid w:val="003C1FD0"/>
    <w:rsid w:val="003C3993"/>
    <w:rsid w:val="003C3EEB"/>
    <w:rsid w:val="003C4A70"/>
    <w:rsid w:val="003C6199"/>
    <w:rsid w:val="003C6256"/>
    <w:rsid w:val="003C7A02"/>
    <w:rsid w:val="003D19C3"/>
    <w:rsid w:val="003D3C08"/>
    <w:rsid w:val="003D3C3D"/>
    <w:rsid w:val="003D489D"/>
    <w:rsid w:val="003E0EF6"/>
    <w:rsid w:val="003E2237"/>
    <w:rsid w:val="003E23A7"/>
    <w:rsid w:val="003E2ECB"/>
    <w:rsid w:val="003E6606"/>
    <w:rsid w:val="003F041D"/>
    <w:rsid w:val="003F06C1"/>
    <w:rsid w:val="003F0797"/>
    <w:rsid w:val="003F2112"/>
    <w:rsid w:val="003F30F5"/>
    <w:rsid w:val="003F3621"/>
    <w:rsid w:val="003F58CF"/>
    <w:rsid w:val="00402757"/>
    <w:rsid w:val="00402BDA"/>
    <w:rsid w:val="00404DAC"/>
    <w:rsid w:val="00407804"/>
    <w:rsid w:val="00412304"/>
    <w:rsid w:val="00417288"/>
    <w:rsid w:val="00424F38"/>
    <w:rsid w:val="00425005"/>
    <w:rsid w:val="004251DA"/>
    <w:rsid w:val="00427BBF"/>
    <w:rsid w:val="004376D1"/>
    <w:rsid w:val="0044071F"/>
    <w:rsid w:val="00445509"/>
    <w:rsid w:val="00447601"/>
    <w:rsid w:val="004503F6"/>
    <w:rsid w:val="0045498F"/>
    <w:rsid w:val="0046677F"/>
    <w:rsid w:val="00472851"/>
    <w:rsid w:val="00475347"/>
    <w:rsid w:val="004755AD"/>
    <w:rsid w:val="004761B3"/>
    <w:rsid w:val="004771CE"/>
    <w:rsid w:val="0048570B"/>
    <w:rsid w:val="0048733B"/>
    <w:rsid w:val="00491A12"/>
    <w:rsid w:val="00492278"/>
    <w:rsid w:val="004953A3"/>
    <w:rsid w:val="00495607"/>
    <w:rsid w:val="00495662"/>
    <w:rsid w:val="00496087"/>
    <w:rsid w:val="0049641E"/>
    <w:rsid w:val="00496C38"/>
    <w:rsid w:val="004A0CA2"/>
    <w:rsid w:val="004A13DF"/>
    <w:rsid w:val="004A2631"/>
    <w:rsid w:val="004A456C"/>
    <w:rsid w:val="004A482F"/>
    <w:rsid w:val="004A4AB1"/>
    <w:rsid w:val="004A7783"/>
    <w:rsid w:val="004A77B0"/>
    <w:rsid w:val="004B0132"/>
    <w:rsid w:val="004B2189"/>
    <w:rsid w:val="004B2409"/>
    <w:rsid w:val="004B48EF"/>
    <w:rsid w:val="004C13B4"/>
    <w:rsid w:val="004C16DB"/>
    <w:rsid w:val="004C43D1"/>
    <w:rsid w:val="004C46F7"/>
    <w:rsid w:val="004C4AE3"/>
    <w:rsid w:val="004C4E2F"/>
    <w:rsid w:val="004C56B1"/>
    <w:rsid w:val="004C5ABF"/>
    <w:rsid w:val="004D00AF"/>
    <w:rsid w:val="004D192E"/>
    <w:rsid w:val="004D1FEC"/>
    <w:rsid w:val="004D249B"/>
    <w:rsid w:val="004D25B2"/>
    <w:rsid w:val="004D28D4"/>
    <w:rsid w:val="004D4BB1"/>
    <w:rsid w:val="004E087F"/>
    <w:rsid w:val="004E150D"/>
    <w:rsid w:val="004E4EBB"/>
    <w:rsid w:val="004E50C4"/>
    <w:rsid w:val="004E5404"/>
    <w:rsid w:val="004E60ED"/>
    <w:rsid w:val="004F6B96"/>
    <w:rsid w:val="004F6D19"/>
    <w:rsid w:val="004F7004"/>
    <w:rsid w:val="004F7C67"/>
    <w:rsid w:val="005011FB"/>
    <w:rsid w:val="00504F67"/>
    <w:rsid w:val="00506CC1"/>
    <w:rsid w:val="005104A1"/>
    <w:rsid w:val="005110E1"/>
    <w:rsid w:val="005115BD"/>
    <w:rsid w:val="00512211"/>
    <w:rsid w:val="0051308E"/>
    <w:rsid w:val="00515A86"/>
    <w:rsid w:val="00517250"/>
    <w:rsid w:val="00517E94"/>
    <w:rsid w:val="00522E31"/>
    <w:rsid w:val="00524540"/>
    <w:rsid w:val="00530290"/>
    <w:rsid w:val="005340C7"/>
    <w:rsid w:val="005347D7"/>
    <w:rsid w:val="00535F62"/>
    <w:rsid w:val="00536405"/>
    <w:rsid w:val="005378D4"/>
    <w:rsid w:val="00537F27"/>
    <w:rsid w:val="0054053E"/>
    <w:rsid w:val="005407D2"/>
    <w:rsid w:val="00550C20"/>
    <w:rsid w:val="00551956"/>
    <w:rsid w:val="0055356E"/>
    <w:rsid w:val="0055427E"/>
    <w:rsid w:val="00555390"/>
    <w:rsid w:val="00557C53"/>
    <w:rsid w:val="00560BB9"/>
    <w:rsid w:val="00562698"/>
    <w:rsid w:val="005639F0"/>
    <w:rsid w:val="00565474"/>
    <w:rsid w:val="005655B5"/>
    <w:rsid w:val="00565874"/>
    <w:rsid w:val="00566D8E"/>
    <w:rsid w:val="00566FEB"/>
    <w:rsid w:val="00570198"/>
    <w:rsid w:val="005707A0"/>
    <w:rsid w:val="00573615"/>
    <w:rsid w:val="00576924"/>
    <w:rsid w:val="00577272"/>
    <w:rsid w:val="00577962"/>
    <w:rsid w:val="00577D04"/>
    <w:rsid w:val="005841E1"/>
    <w:rsid w:val="005855D4"/>
    <w:rsid w:val="00586309"/>
    <w:rsid w:val="00586FF2"/>
    <w:rsid w:val="005919E1"/>
    <w:rsid w:val="00591B7B"/>
    <w:rsid w:val="00594D6D"/>
    <w:rsid w:val="005954E4"/>
    <w:rsid w:val="0059580D"/>
    <w:rsid w:val="00595935"/>
    <w:rsid w:val="005A4921"/>
    <w:rsid w:val="005A56EE"/>
    <w:rsid w:val="005A6A54"/>
    <w:rsid w:val="005A7576"/>
    <w:rsid w:val="005A7755"/>
    <w:rsid w:val="005A7E6E"/>
    <w:rsid w:val="005B2065"/>
    <w:rsid w:val="005B21AC"/>
    <w:rsid w:val="005B25A1"/>
    <w:rsid w:val="005B274C"/>
    <w:rsid w:val="005B3E29"/>
    <w:rsid w:val="005B4425"/>
    <w:rsid w:val="005B7368"/>
    <w:rsid w:val="005B742E"/>
    <w:rsid w:val="005B786F"/>
    <w:rsid w:val="005B7BBC"/>
    <w:rsid w:val="005C19F1"/>
    <w:rsid w:val="005C2B6A"/>
    <w:rsid w:val="005C3D55"/>
    <w:rsid w:val="005C71A9"/>
    <w:rsid w:val="005C7D8C"/>
    <w:rsid w:val="005D229C"/>
    <w:rsid w:val="005D57DB"/>
    <w:rsid w:val="005D58E8"/>
    <w:rsid w:val="005D590C"/>
    <w:rsid w:val="005E08A0"/>
    <w:rsid w:val="005E2C2C"/>
    <w:rsid w:val="005E6C9A"/>
    <w:rsid w:val="005F1A66"/>
    <w:rsid w:val="005F52F9"/>
    <w:rsid w:val="005F547F"/>
    <w:rsid w:val="005F5572"/>
    <w:rsid w:val="005F7D34"/>
    <w:rsid w:val="00602766"/>
    <w:rsid w:val="00602DDB"/>
    <w:rsid w:val="00603221"/>
    <w:rsid w:val="00603FAB"/>
    <w:rsid w:val="006047BE"/>
    <w:rsid w:val="00604CCD"/>
    <w:rsid w:val="0060576A"/>
    <w:rsid w:val="0060660A"/>
    <w:rsid w:val="006148FC"/>
    <w:rsid w:val="006152F3"/>
    <w:rsid w:val="00616A5F"/>
    <w:rsid w:val="00616CF9"/>
    <w:rsid w:val="00617C4F"/>
    <w:rsid w:val="00620E8D"/>
    <w:rsid w:val="006217B8"/>
    <w:rsid w:val="0062478E"/>
    <w:rsid w:val="00624EEB"/>
    <w:rsid w:val="00624FA6"/>
    <w:rsid w:val="00625297"/>
    <w:rsid w:val="006257C1"/>
    <w:rsid w:val="006301E7"/>
    <w:rsid w:val="006315C0"/>
    <w:rsid w:val="00631BFD"/>
    <w:rsid w:val="00632396"/>
    <w:rsid w:val="00633A6C"/>
    <w:rsid w:val="00635166"/>
    <w:rsid w:val="00635F7C"/>
    <w:rsid w:val="006362A3"/>
    <w:rsid w:val="00636617"/>
    <w:rsid w:val="00641468"/>
    <w:rsid w:val="006417EC"/>
    <w:rsid w:val="00642785"/>
    <w:rsid w:val="006441E7"/>
    <w:rsid w:val="006444A7"/>
    <w:rsid w:val="006453BA"/>
    <w:rsid w:val="00652243"/>
    <w:rsid w:val="006565BC"/>
    <w:rsid w:val="00657132"/>
    <w:rsid w:val="00657E1B"/>
    <w:rsid w:val="00662668"/>
    <w:rsid w:val="00662C23"/>
    <w:rsid w:val="00664201"/>
    <w:rsid w:val="0066460F"/>
    <w:rsid w:val="006666E7"/>
    <w:rsid w:val="00670050"/>
    <w:rsid w:val="00672371"/>
    <w:rsid w:val="00672A79"/>
    <w:rsid w:val="00673619"/>
    <w:rsid w:val="00673A42"/>
    <w:rsid w:val="00674572"/>
    <w:rsid w:val="006803E6"/>
    <w:rsid w:val="00680FCC"/>
    <w:rsid w:val="006834BE"/>
    <w:rsid w:val="00685135"/>
    <w:rsid w:val="006865C1"/>
    <w:rsid w:val="006907E7"/>
    <w:rsid w:val="006928CC"/>
    <w:rsid w:val="00692B84"/>
    <w:rsid w:val="00693298"/>
    <w:rsid w:val="006937DB"/>
    <w:rsid w:val="006939DF"/>
    <w:rsid w:val="00693BA7"/>
    <w:rsid w:val="0069438A"/>
    <w:rsid w:val="006A0084"/>
    <w:rsid w:val="006A0CDE"/>
    <w:rsid w:val="006A0E25"/>
    <w:rsid w:val="006A3FAD"/>
    <w:rsid w:val="006A6180"/>
    <w:rsid w:val="006A705A"/>
    <w:rsid w:val="006A764A"/>
    <w:rsid w:val="006B0761"/>
    <w:rsid w:val="006B4A8E"/>
    <w:rsid w:val="006B4F94"/>
    <w:rsid w:val="006B6E69"/>
    <w:rsid w:val="006C0EF8"/>
    <w:rsid w:val="006C47BD"/>
    <w:rsid w:val="006C6CB5"/>
    <w:rsid w:val="006C6D37"/>
    <w:rsid w:val="006D0878"/>
    <w:rsid w:val="006D227E"/>
    <w:rsid w:val="006D49DB"/>
    <w:rsid w:val="006E09A7"/>
    <w:rsid w:val="006E1196"/>
    <w:rsid w:val="006E2B8D"/>
    <w:rsid w:val="006E2F08"/>
    <w:rsid w:val="006F3ABF"/>
    <w:rsid w:val="006F4FB3"/>
    <w:rsid w:val="006F664B"/>
    <w:rsid w:val="0070087E"/>
    <w:rsid w:val="0070117D"/>
    <w:rsid w:val="0070128F"/>
    <w:rsid w:val="00706C88"/>
    <w:rsid w:val="00712B32"/>
    <w:rsid w:val="00712BE5"/>
    <w:rsid w:val="007136DB"/>
    <w:rsid w:val="00713B0F"/>
    <w:rsid w:val="0071465B"/>
    <w:rsid w:val="00715480"/>
    <w:rsid w:val="00715DDE"/>
    <w:rsid w:val="00717E9B"/>
    <w:rsid w:val="0072011F"/>
    <w:rsid w:val="00723852"/>
    <w:rsid w:val="007264B8"/>
    <w:rsid w:val="0072669B"/>
    <w:rsid w:val="0073007A"/>
    <w:rsid w:val="0073186C"/>
    <w:rsid w:val="00731F22"/>
    <w:rsid w:val="007350E7"/>
    <w:rsid w:val="0073596B"/>
    <w:rsid w:val="007374FE"/>
    <w:rsid w:val="00743270"/>
    <w:rsid w:val="00744EDE"/>
    <w:rsid w:val="0074529B"/>
    <w:rsid w:val="00745353"/>
    <w:rsid w:val="007461DB"/>
    <w:rsid w:val="00747AD0"/>
    <w:rsid w:val="007623F9"/>
    <w:rsid w:val="00764843"/>
    <w:rsid w:val="00765478"/>
    <w:rsid w:val="007655A3"/>
    <w:rsid w:val="007655D7"/>
    <w:rsid w:val="00765D05"/>
    <w:rsid w:val="007665F1"/>
    <w:rsid w:val="00766E69"/>
    <w:rsid w:val="00767215"/>
    <w:rsid w:val="00771745"/>
    <w:rsid w:val="00775F8A"/>
    <w:rsid w:val="007766F9"/>
    <w:rsid w:val="00776E09"/>
    <w:rsid w:val="00776E9B"/>
    <w:rsid w:val="00777D45"/>
    <w:rsid w:val="00781188"/>
    <w:rsid w:val="00781575"/>
    <w:rsid w:val="00786D6C"/>
    <w:rsid w:val="00791198"/>
    <w:rsid w:val="00791224"/>
    <w:rsid w:val="00792675"/>
    <w:rsid w:val="00793858"/>
    <w:rsid w:val="00795E30"/>
    <w:rsid w:val="00796124"/>
    <w:rsid w:val="007A452D"/>
    <w:rsid w:val="007A643D"/>
    <w:rsid w:val="007B2A39"/>
    <w:rsid w:val="007B470C"/>
    <w:rsid w:val="007B4C06"/>
    <w:rsid w:val="007B5714"/>
    <w:rsid w:val="007B6943"/>
    <w:rsid w:val="007C06F6"/>
    <w:rsid w:val="007C0ACA"/>
    <w:rsid w:val="007C4073"/>
    <w:rsid w:val="007C47B5"/>
    <w:rsid w:val="007C4BC4"/>
    <w:rsid w:val="007C64C3"/>
    <w:rsid w:val="007C704F"/>
    <w:rsid w:val="007C7C6F"/>
    <w:rsid w:val="007D1853"/>
    <w:rsid w:val="007D2D88"/>
    <w:rsid w:val="007D3A64"/>
    <w:rsid w:val="007D6F20"/>
    <w:rsid w:val="007E095D"/>
    <w:rsid w:val="007E169F"/>
    <w:rsid w:val="007E3919"/>
    <w:rsid w:val="007E5F6A"/>
    <w:rsid w:val="007E731A"/>
    <w:rsid w:val="007F0708"/>
    <w:rsid w:val="007F337F"/>
    <w:rsid w:val="007F33B3"/>
    <w:rsid w:val="007F378B"/>
    <w:rsid w:val="007F60B7"/>
    <w:rsid w:val="008000BA"/>
    <w:rsid w:val="00801C8C"/>
    <w:rsid w:val="008048DA"/>
    <w:rsid w:val="00805C0E"/>
    <w:rsid w:val="00810372"/>
    <w:rsid w:val="00810CAA"/>
    <w:rsid w:val="0081243A"/>
    <w:rsid w:val="00812D36"/>
    <w:rsid w:val="008133FA"/>
    <w:rsid w:val="0081469C"/>
    <w:rsid w:val="00822423"/>
    <w:rsid w:val="00826148"/>
    <w:rsid w:val="00826FE3"/>
    <w:rsid w:val="00830AAC"/>
    <w:rsid w:val="00832005"/>
    <w:rsid w:val="00832D1B"/>
    <w:rsid w:val="00835197"/>
    <w:rsid w:val="0083582D"/>
    <w:rsid w:val="008400DC"/>
    <w:rsid w:val="00844A6D"/>
    <w:rsid w:val="00845773"/>
    <w:rsid w:val="00847EBA"/>
    <w:rsid w:val="00850E63"/>
    <w:rsid w:val="008518AE"/>
    <w:rsid w:val="00862646"/>
    <w:rsid w:val="00864CCC"/>
    <w:rsid w:val="00864D2B"/>
    <w:rsid w:val="00865265"/>
    <w:rsid w:val="00866619"/>
    <w:rsid w:val="008669C4"/>
    <w:rsid w:val="008701B5"/>
    <w:rsid w:val="00870967"/>
    <w:rsid w:val="00871EE6"/>
    <w:rsid w:val="008761C8"/>
    <w:rsid w:val="008800B6"/>
    <w:rsid w:val="00880D55"/>
    <w:rsid w:val="00882650"/>
    <w:rsid w:val="00883BBD"/>
    <w:rsid w:val="00883CDB"/>
    <w:rsid w:val="00886706"/>
    <w:rsid w:val="00890651"/>
    <w:rsid w:val="00890BBF"/>
    <w:rsid w:val="008944E3"/>
    <w:rsid w:val="00896B05"/>
    <w:rsid w:val="008A0D61"/>
    <w:rsid w:val="008A19D4"/>
    <w:rsid w:val="008A22D4"/>
    <w:rsid w:val="008A491E"/>
    <w:rsid w:val="008A4C24"/>
    <w:rsid w:val="008A54B0"/>
    <w:rsid w:val="008A63F8"/>
    <w:rsid w:val="008B0232"/>
    <w:rsid w:val="008B02EE"/>
    <w:rsid w:val="008B1B9D"/>
    <w:rsid w:val="008B3C05"/>
    <w:rsid w:val="008B6843"/>
    <w:rsid w:val="008B69D8"/>
    <w:rsid w:val="008B6DEC"/>
    <w:rsid w:val="008B7E05"/>
    <w:rsid w:val="008C0C33"/>
    <w:rsid w:val="008C256A"/>
    <w:rsid w:val="008C4B08"/>
    <w:rsid w:val="008C7A7C"/>
    <w:rsid w:val="008D2530"/>
    <w:rsid w:val="008D35EA"/>
    <w:rsid w:val="008D5521"/>
    <w:rsid w:val="008D708B"/>
    <w:rsid w:val="008E0324"/>
    <w:rsid w:val="008E06DF"/>
    <w:rsid w:val="008E329A"/>
    <w:rsid w:val="008E36D6"/>
    <w:rsid w:val="008E448A"/>
    <w:rsid w:val="008E44B6"/>
    <w:rsid w:val="008E4A77"/>
    <w:rsid w:val="008E5E6E"/>
    <w:rsid w:val="008E7003"/>
    <w:rsid w:val="008F0330"/>
    <w:rsid w:val="008F142A"/>
    <w:rsid w:val="008F4914"/>
    <w:rsid w:val="00902CDC"/>
    <w:rsid w:val="009037A4"/>
    <w:rsid w:val="00905859"/>
    <w:rsid w:val="00905D0C"/>
    <w:rsid w:val="00906F87"/>
    <w:rsid w:val="00910726"/>
    <w:rsid w:val="00912566"/>
    <w:rsid w:val="0091269B"/>
    <w:rsid w:val="00914A98"/>
    <w:rsid w:val="00915114"/>
    <w:rsid w:val="00917E50"/>
    <w:rsid w:val="009208C1"/>
    <w:rsid w:val="009260A7"/>
    <w:rsid w:val="00927DBE"/>
    <w:rsid w:val="009325DB"/>
    <w:rsid w:val="009332D6"/>
    <w:rsid w:val="009334A1"/>
    <w:rsid w:val="00933FC9"/>
    <w:rsid w:val="0093563D"/>
    <w:rsid w:val="0093621B"/>
    <w:rsid w:val="00937529"/>
    <w:rsid w:val="0094007A"/>
    <w:rsid w:val="009405B9"/>
    <w:rsid w:val="009407DB"/>
    <w:rsid w:val="00941E1E"/>
    <w:rsid w:val="00947B25"/>
    <w:rsid w:val="00951A5D"/>
    <w:rsid w:val="00952865"/>
    <w:rsid w:val="00953362"/>
    <w:rsid w:val="0095574B"/>
    <w:rsid w:val="00955AB6"/>
    <w:rsid w:val="009600EF"/>
    <w:rsid w:val="00960719"/>
    <w:rsid w:val="009627F1"/>
    <w:rsid w:val="00962BD9"/>
    <w:rsid w:val="00963628"/>
    <w:rsid w:val="00966D64"/>
    <w:rsid w:val="00967D40"/>
    <w:rsid w:val="009727A9"/>
    <w:rsid w:val="0097330E"/>
    <w:rsid w:val="00973CB2"/>
    <w:rsid w:val="00977606"/>
    <w:rsid w:val="00980EA2"/>
    <w:rsid w:val="009862ED"/>
    <w:rsid w:val="00986B33"/>
    <w:rsid w:val="00987213"/>
    <w:rsid w:val="00987AD5"/>
    <w:rsid w:val="00987B08"/>
    <w:rsid w:val="00987C42"/>
    <w:rsid w:val="00990974"/>
    <w:rsid w:val="00992522"/>
    <w:rsid w:val="00993890"/>
    <w:rsid w:val="00994036"/>
    <w:rsid w:val="00996331"/>
    <w:rsid w:val="0099712B"/>
    <w:rsid w:val="009A06B1"/>
    <w:rsid w:val="009A2C53"/>
    <w:rsid w:val="009A42B2"/>
    <w:rsid w:val="009A5AD6"/>
    <w:rsid w:val="009A6237"/>
    <w:rsid w:val="009B0310"/>
    <w:rsid w:val="009B18EF"/>
    <w:rsid w:val="009B1CD5"/>
    <w:rsid w:val="009B3926"/>
    <w:rsid w:val="009B598C"/>
    <w:rsid w:val="009B63EA"/>
    <w:rsid w:val="009B7138"/>
    <w:rsid w:val="009C0692"/>
    <w:rsid w:val="009C0CCE"/>
    <w:rsid w:val="009C62B2"/>
    <w:rsid w:val="009C6CD9"/>
    <w:rsid w:val="009D0132"/>
    <w:rsid w:val="009D0929"/>
    <w:rsid w:val="009D1C14"/>
    <w:rsid w:val="009D1C21"/>
    <w:rsid w:val="009D218D"/>
    <w:rsid w:val="009D2830"/>
    <w:rsid w:val="009D2FD5"/>
    <w:rsid w:val="009E0135"/>
    <w:rsid w:val="009E2684"/>
    <w:rsid w:val="009E5290"/>
    <w:rsid w:val="009E5329"/>
    <w:rsid w:val="009E535F"/>
    <w:rsid w:val="009E6C57"/>
    <w:rsid w:val="009F06CD"/>
    <w:rsid w:val="009F1051"/>
    <w:rsid w:val="009F3ADA"/>
    <w:rsid w:val="009F4426"/>
    <w:rsid w:val="009F574D"/>
    <w:rsid w:val="009F71A8"/>
    <w:rsid w:val="009F7B6F"/>
    <w:rsid w:val="00A01B69"/>
    <w:rsid w:val="00A02479"/>
    <w:rsid w:val="00A02B68"/>
    <w:rsid w:val="00A05491"/>
    <w:rsid w:val="00A05C54"/>
    <w:rsid w:val="00A07AE0"/>
    <w:rsid w:val="00A07B7B"/>
    <w:rsid w:val="00A122A9"/>
    <w:rsid w:val="00A12F1A"/>
    <w:rsid w:val="00A133DC"/>
    <w:rsid w:val="00A1484E"/>
    <w:rsid w:val="00A15672"/>
    <w:rsid w:val="00A16480"/>
    <w:rsid w:val="00A17989"/>
    <w:rsid w:val="00A17D61"/>
    <w:rsid w:val="00A218E0"/>
    <w:rsid w:val="00A22687"/>
    <w:rsid w:val="00A229AC"/>
    <w:rsid w:val="00A25948"/>
    <w:rsid w:val="00A32C24"/>
    <w:rsid w:val="00A342FB"/>
    <w:rsid w:val="00A349C8"/>
    <w:rsid w:val="00A358B1"/>
    <w:rsid w:val="00A43818"/>
    <w:rsid w:val="00A43F14"/>
    <w:rsid w:val="00A45032"/>
    <w:rsid w:val="00A47ED2"/>
    <w:rsid w:val="00A541F5"/>
    <w:rsid w:val="00A5525A"/>
    <w:rsid w:val="00A55D82"/>
    <w:rsid w:val="00A565EF"/>
    <w:rsid w:val="00A568B0"/>
    <w:rsid w:val="00A570C1"/>
    <w:rsid w:val="00A642D8"/>
    <w:rsid w:val="00A64AFE"/>
    <w:rsid w:val="00A7266B"/>
    <w:rsid w:val="00A747BF"/>
    <w:rsid w:val="00A75176"/>
    <w:rsid w:val="00A753DD"/>
    <w:rsid w:val="00A763E2"/>
    <w:rsid w:val="00A81C5E"/>
    <w:rsid w:val="00A82673"/>
    <w:rsid w:val="00A83090"/>
    <w:rsid w:val="00A83B86"/>
    <w:rsid w:val="00A858C3"/>
    <w:rsid w:val="00A86934"/>
    <w:rsid w:val="00A907BD"/>
    <w:rsid w:val="00A911F4"/>
    <w:rsid w:val="00A969B8"/>
    <w:rsid w:val="00A97588"/>
    <w:rsid w:val="00AA1ED1"/>
    <w:rsid w:val="00AA20BF"/>
    <w:rsid w:val="00AA539D"/>
    <w:rsid w:val="00AB036C"/>
    <w:rsid w:val="00AB1D01"/>
    <w:rsid w:val="00AB2047"/>
    <w:rsid w:val="00AB2AFB"/>
    <w:rsid w:val="00AB3B31"/>
    <w:rsid w:val="00AB754D"/>
    <w:rsid w:val="00AC0DB0"/>
    <w:rsid w:val="00AC2993"/>
    <w:rsid w:val="00AC5EB4"/>
    <w:rsid w:val="00AD4A86"/>
    <w:rsid w:val="00AE19E5"/>
    <w:rsid w:val="00AE44F6"/>
    <w:rsid w:val="00AE459D"/>
    <w:rsid w:val="00AE5AAD"/>
    <w:rsid w:val="00AF1148"/>
    <w:rsid w:val="00AF13D7"/>
    <w:rsid w:val="00AF1754"/>
    <w:rsid w:val="00AF50BF"/>
    <w:rsid w:val="00B00C20"/>
    <w:rsid w:val="00B05EE4"/>
    <w:rsid w:val="00B06D19"/>
    <w:rsid w:val="00B0797C"/>
    <w:rsid w:val="00B07B89"/>
    <w:rsid w:val="00B115FE"/>
    <w:rsid w:val="00B12A1F"/>
    <w:rsid w:val="00B14E88"/>
    <w:rsid w:val="00B162C5"/>
    <w:rsid w:val="00B17739"/>
    <w:rsid w:val="00B20CDD"/>
    <w:rsid w:val="00B217BF"/>
    <w:rsid w:val="00B21A54"/>
    <w:rsid w:val="00B2217B"/>
    <w:rsid w:val="00B23BA9"/>
    <w:rsid w:val="00B24175"/>
    <w:rsid w:val="00B318DF"/>
    <w:rsid w:val="00B3201F"/>
    <w:rsid w:val="00B361EE"/>
    <w:rsid w:val="00B375FF"/>
    <w:rsid w:val="00B53E37"/>
    <w:rsid w:val="00B558A4"/>
    <w:rsid w:val="00B56103"/>
    <w:rsid w:val="00B56D9D"/>
    <w:rsid w:val="00B63C7D"/>
    <w:rsid w:val="00B64906"/>
    <w:rsid w:val="00B6652B"/>
    <w:rsid w:val="00B676F6"/>
    <w:rsid w:val="00B71883"/>
    <w:rsid w:val="00B7266F"/>
    <w:rsid w:val="00B728B3"/>
    <w:rsid w:val="00B72EE9"/>
    <w:rsid w:val="00B73FE9"/>
    <w:rsid w:val="00B81B9E"/>
    <w:rsid w:val="00B84874"/>
    <w:rsid w:val="00B86476"/>
    <w:rsid w:val="00B87052"/>
    <w:rsid w:val="00B87B91"/>
    <w:rsid w:val="00B87B97"/>
    <w:rsid w:val="00B90963"/>
    <w:rsid w:val="00B91C06"/>
    <w:rsid w:val="00B91EE5"/>
    <w:rsid w:val="00B97663"/>
    <w:rsid w:val="00BA1D9C"/>
    <w:rsid w:val="00BA437E"/>
    <w:rsid w:val="00BA5E76"/>
    <w:rsid w:val="00BB37FA"/>
    <w:rsid w:val="00BB4090"/>
    <w:rsid w:val="00BB577C"/>
    <w:rsid w:val="00BB6A4A"/>
    <w:rsid w:val="00BC0A83"/>
    <w:rsid w:val="00BC2AA4"/>
    <w:rsid w:val="00BC3471"/>
    <w:rsid w:val="00BC4425"/>
    <w:rsid w:val="00BC6497"/>
    <w:rsid w:val="00BC7ACE"/>
    <w:rsid w:val="00BD0295"/>
    <w:rsid w:val="00BD2C70"/>
    <w:rsid w:val="00BD6593"/>
    <w:rsid w:val="00BD7077"/>
    <w:rsid w:val="00BE246D"/>
    <w:rsid w:val="00BE3862"/>
    <w:rsid w:val="00BE41F6"/>
    <w:rsid w:val="00BE5B12"/>
    <w:rsid w:val="00BE5C28"/>
    <w:rsid w:val="00BF17AA"/>
    <w:rsid w:val="00BF5903"/>
    <w:rsid w:val="00C01265"/>
    <w:rsid w:val="00C02578"/>
    <w:rsid w:val="00C04977"/>
    <w:rsid w:val="00C055F9"/>
    <w:rsid w:val="00C066CB"/>
    <w:rsid w:val="00C07E18"/>
    <w:rsid w:val="00C12105"/>
    <w:rsid w:val="00C12AC1"/>
    <w:rsid w:val="00C15511"/>
    <w:rsid w:val="00C1629A"/>
    <w:rsid w:val="00C24556"/>
    <w:rsid w:val="00C24B82"/>
    <w:rsid w:val="00C26054"/>
    <w:rsid w:val="00C27684"/>
    <w:rsid w:val="00C31DD1"/>
    <w:rsid w:val="00C32371"/>
    <w:rsid w:val="00C32586"/>
    <w:rsid w:val="00C32EAC"/>
    <w:rsid w:val="00C334A1"/>
    <w:rsid w:val="00C36C87"/>
    <w:rsid w:val="00C40D89"/>
    <w:rsid w:val="00C42673"/>
    <w:rsid w:val="00C45463"/>
    <w:rsid w:val="00C503DE"/>
    <w:rsid w:val="00C50F00"/>
    <w:rsid w:val="00C51AFB"/>
    <w:rsid w:val="00C51CA2"/>
    <w:rsid w:val="00C57BFF"/>
    <w:rsid w:val="00C600AC"/>
    <w:rsid w:val="00C631A0"/>
    <w:rsid w:val="00C642A4"/>
    <w:rsid w:val="00C67296"/>
    <w:rsid w:val="00C67C0C"/>
    <w:rsid w:val="00C715A7"/>
    <w:rsid w:val="00C7343B"/>
    <w:rsid w:val="00C73726"/>
    <w:rsid w:val="00C74E51"/>
    <w:rsid w:val="00C7508E"/>
    <w:rsid w:val="00C751B1"/>
    <w:rsid w:val="00C75D66"/>
    <w:rsid w:val="00C7632E"/>
    <w:rsid w:val="00C8530E"/>
    <w:rsid w:val="00C86A84"/>
    <w:rsid w:val="00C873A3"/>
    <w:rsid w:val="00C90220"/>
    <w:rsid w:val="00C9184F"/>
    <w:rsid w:val="00C92408"/>
    <w:rsid w:val="00C96D89"/>
    <w:rsid w:val="00C96DA5"/>
    <w:rsid w:val="00C96ED5"/>
    <w:rsid w:val="00CA1CF3"/>
    <w:rsid w:val="00CA224F"/>
    <w:rsid w:val="00CA3C91"/>
    <w:rsid w:val="00CA6AAD"/>
    <w:rsid w:val="00CB0E11"/>
    <w:rsid w:val="00CB15AA"/>
    <w:rsid w:val="00CB30CA"/>
    <w:rsid w:val="00CB310F"/>
    <w:rsid w:val="00CB4621"/>
    <w:rsid w:val="00CB582E"/>
    <w:rsid w:val="00CB7F59"/>
    <w:rsid w:val="00CC0F10"/>
    <w:rsid w:val="00CC10F2"/>
    <w:rsid w:val="00CC2170"/>
    <w:rsid w:val="00CC2FA0"/>
    <w:rsid w:val="00CC522B"/>
    <w:rsid w:val="00CC6E74"/>
    <w:rsid w:val="00CD2294"/>
    <w:rsid w:val="00CD4442"/>
    <w:rsid w:val="00CD4CB2"/>
    <w:rsid w:val="00CD6B8D"/>
    <w:rsid w:val="00CD740F"/>
    <w:rsid w:val="00CE21E7"/>
    <w:rsid w:val="00CE324C"/>
    <w:rsid w:val="00CE3ED5"/>
    <w:rsid w:val="00CE4E0F"/>
    <w:rsid w:val="00CE56B2"/>
    <w:rsid w:val="00CE5B82"/>
    <w:rsid w:val="00CF0A87"/>
    <w:rsid w:val="00CF244D"/>
    <w:rsid w:val="00CF38BD"/>
    <w:rsid w:val="00D0326C"/>
    <w:rsid w:val="00D04E01"/>
    <w:rsid w:val="00D1300F"/>
    <w:rsid w:val="00D13A47"/>
    <w:rsid w:val="00D2543A"/>
    <w:rsid w:val="00D25A73"/>
    <w:rsid w:val="00D26E45"/>
    <w:rsid w:val="00D26EE5"/>
    <w:rsid w:val="00D2798B"/>
    <w:rsid w:val="00D340FC"/>
    <w:rsid w:val="00D34ADE"/>
    <w:rsid w:val="00D34B08"/>
    <w:rsid w:val="00D34E95"/>
    <w:rsid w:val="00D406BC"/>
    <w:rsid w:val="00D41946"/>
    <w:rsid w:val="00D47268"/>
    <w:rsid w:val="00D47368"/>
    <w:rsid w:val="00D541FA"/>
    <w:rsid w:val="00D54718"/>
    <w:rsid w:val="00D56E8F"/>
    <w:rsid w:val="00D6083D"/>
    <w:rsid w:val="00D6092D"/>
    <w:rsid w:val="00D61F86"/>
    <w:rsid w:val="00D66938"/>
    <w:rsid w:val="00D669D4"/>
    <w:rsid w:val="00D67814"/>
    <w:rsid w:val="00D67E86"/>
    <w:rsid w:val="00D71389"/>
    <w:rsid w:val="00D71D55"/>
    <w:rsid w:val="00D727F8"/>
    <w:rsid w:val="00D7441A"/>
    <w:rsid w:val="00D7486E"/>
    <w:rsid w:val="00D74E56"/>
    <w:rsid w:val="00D74F4C"/>
    <w:rsid w:val="00D75B45"/>
    <w:rsid w:val="00D765CC"/>
    <w:rsid w:val="00D77388"/>
    <w:rsid w:val="00D7769C"/>
    <w:rsid w:val="00D81633"/>
    <w:rsid w:val="00D81F33"/>
    <w:rsid w:val="00D8288A"/>
    <w:rsid w:val="00D84EB2"/>
    <w:rsid w:val="00D85A76"/>
    <w:rsid w:val="00D912DC"/>
    <w:rsid w:val="00D93D15"/>
    <w:rsid w:val="00D95A17"/>
    <w:rsid w:val="00D96389"/>
    <w:rsid w:val="00D967F0"/>
    <w:rsid w:val="00D97556"/>
    <w:rsid w:val="00DA0161"/>
    <w:rsid w:val="00DA0C8A"/>
    <w:rsid w:val="00DA0EE0"/>
    <w:rsid w:val="00DA2149"/>
    <w:rsid w:val="00DA3BA6"/>
    <w:rsid w:val="00DB24A4"/>
    <w:rsid w:val="00DB2BC3"/>
    <w:rsid w:val="00DB2EE4"/>
    <w:rsid w:val="00DB440D"/>
    <w:rsid w:val="00DB606E"/>
    <w:rsid w:val="00DB6A8F"/>
    <w:rsid w:val="00DC15E9"/>
    <w:rsid w:val="00DC49B0"/>
    <w:rsid w:val="00DC5D14"/>
    <w:rsid w:val="00DD07EA"/>
    <w:rsid w:val="00DD20A4"/>
    <w:rsid w:val="00DD2853"/>
    <w:rsid w:val="00DD68E6"/>
    <w:rsid w:val="00DE00F3"/>
    <w:rsid w:val="00DE0248"/>
    <w:rsid w:val="00DE0325"/>
    <w:rsid w:val="00DE081B"/>
    <w:rsid w:val="00DE13E4"/>
    <w:rsid w:val="00DE56DD"/>
    <w:rsid w:val="00DE57C3"/>
    <w:rsid w:val="00DE70E9"/>
    <w:rsid w:val="00DF0C20"/>
    <w:rsid w:val="00DF4FC2"/>
    <w:rsid w:val="00DF53FB"/>
    <w:rsid w:val="00DF681B"/>
    <w:rsid w:val="00DF74AA"/>
    <w:rsid w:val="00DF7C69"/>
    <w:rsid w:val="00E01E8A"/>
    <w:rsid w:val="00E053FC"/>
    <w:rsid w:val="00E079A3"/>
    <w:rsid w:val="00E07DEE"/>
    <w:rsid w:val="00E1404C"/>
    <w:rsid w:val="00E15215"/>
    <w:rsid w:val="00E165EB"/>
    <w:rsid w:val="00E17839"/>
    <w:rsid w:val="00E178BD"/>
    <w:rsid w:val="00E22A06"/>
    <w:rsid w:val="00E22E38"/>
    <w:rsid w:val="00E23D31"/>
    <w:rsid w:val="00E23DFB"/>
    <w:rsid w:val="00E24C2F"/>
    <w:rsid w:val="00E30968"/>
    <w:rsid w:val="00E3100C"/>
    <w:rsid w:val="00E31BF6"/>
    <w:rsid w:val="00E322DE"/>
    <w:rsid w:val="00E3486D"/>
    <w:rsid w:val="00E35AF4"/>
    <w:rsid w:val="00E37287"/>
    <w:rsid w:val="00E37EBF"/>
    <w:rsid w:val="00E42511"/>
    <w:rsid w:val="00E42FBD"/>
    <w:rsid w:val="00E43230"/>
    <w:rsid w:val="00E46AB6"/>
    <w:rsid w:val="00E516ED"/>
    <w:rsid w:val="00E5172C"/>
    <w:rsid w:val="00E519FD"/>
    <w:rsid w:val="00E54198"/>
    <w:rsid w:val="00E560FE"/>
    <w:rsid w:val="00E56986"/>
    <w:rsid w:val="00E56FF8"/>
    <w:rsid w:val="00E61B43"/>
    <w:rsid w:val="00E634E7"/>
    <w:rsid w:val="00E638B4"/>
    <w:rsid w:val="00E64C43"/>
    <w:rsid w:val="00E70322"/>
    <w:rsid w:val="00E71EB9"/>
    <w:rsid w:val="00E73FDA"/>
    <w:rsid w:val="00E74A12"/>
    <w:rsid w:val="00E77804"/>
    <w:rsid w:val="00E81779"/>
    <w:rsid w:val="00E837DA"/>
    <w:rsid w:val="00E85947"/>
    <w:rsid w:val="00E87411"/>
    <w:rsid w:val="00E91BA7"/>
    <w:rsid w:val="00E9302B"/>
    <w:rsid w:val="00E934AA"/>
    <w:rsid w:val="00EA1F13"/>
    <w:rsid w:val="00EA2A72"/>
    <w:rsid w:val="00EA35ED"/>
    <w:rsid w:val="00EA3F68"/>
    <w:rsid w:val="00EA42D2"/>
    <w:rsid w:val="00EA46AD"/>
    <w:rsid w:val="00EA52F8"/>
    <w:rsid w:val="00EA74C4"/>
    <w:rsid w:val="00EB1003"/>
    <w:rsid w:val="00EB2322"/>
    <w:rsid w:val="00EB3BDE"/>
    <w:rsid w:val="00EB52EA"/>
    <w:rsid w:val="00EB6181"/>
    <w:rsid w:val="00EC010F"/>
    <w:rsid w:val="00EC060F"/>
    <w:rsid w:val="00EC190F"/>
    <w:rsid w:val="00EC3098"/>
    <w:rsid w:val="00EC3119"/>
    <w:rsid w:val="00EC60A0"/>
    <w:rsid w:val="00ED04B0"/>
    <w:rsid w:val="00ED3C25"/>
    <w:rsid w:val="00ED7B29"/>
    <w:rsid w:val="00EE1EBB"/>
    <w:rsid w:val="00EE2462"/>
    <w:rsid w:val="00EE4E83"/>
    <w:rsid w:val="00EE653E"/>
    <w:rsid w:val="00EE71F4"/>
    <w:rsid w:val="00EE7256"/>
    <w:rsid w:val="00EE7AF7"/>
    <w:rsid w:val="00EF5D61"/>
    <w:rsid w:val="00EF7D21"/>
    <w:rsid w:val="00F00352"/>
    <w:rsid w:val="00F0161F"/>
    <w:rsid w:val="00F0366B"/>
    <w:rsid w:val="00F04E84"/>
    <w:rsid w:val="00F05B5B"/>
    <w:rsid w:val="00F06211"/>
    <w:rsid w:val="00F10498"/>
    <w:rsid w:val="00F11A22"/>
    <w:rsid w:val="00F12D6D"/>
    <w:rsid w:val="00F13B79"/>
    <w:rsid w:val="00F155D6"/>
    <w:rsid w:val="00F16515"/>
    <w:rsid w:val="00F20062"/>
    <w:rsid w:val="00F20A62"/>
    <w:rsid w:val="00F21E00"/>
    <w:rsid w:val="00F22A46"/>
    <w:rsid w:val="00F23461"/>
    <w:rsid w:val="00F2DD8A"/>
    <w:rsid w:val="00F3005A"/>
    <w:rsid w:val="00F3193A"/>
    <w:rsid w:val="00F31B27"/>
    <w:rsid w:val="00F328AC"/>
    <w:rsid w:val="00F3460F"/>
    <w:rsid w:val="00F348CB"/>
    <w:rsid w:val="00F36581"/>
    <w:rsid w:val="00F37905"/>
    <w:rsid w:val="00F37B65"/>
    <w:rsid w:val="00F43631"/>
    <w:rsid w:val="00F444A6"/>
    <w:rsid w:val="00F4651E"/>
    <w:rsid w:val="00F468C3"/>
    <w:rsid w:val="00F46AFB"/>
    <w:rsid w:val="00F538DF"/>
    <w:rsid w:val="00F5396F"/>
    <w:rsid w:val="00F56A4E"/>
    <w:rsid w:val="00F57120"/>
    <w:rsid w:val="00F62A89"/>
    <w:rsid w:val="00F63B14"/>
    <w:rsid w:val="00F63B39"/>
    <w:rsid w:val="00F70BD3"/>
    <w:rsid w:val="00F712FE"/>
    <w:rsid w:val="00F7449D"/>
    <w:rsid w:val="00F75D24"/>
    <w:rsid w:val="00F93ADA"/>
    <w:rsid w:val="00F93B8E"/>
    <w:rsid w:val="00F94898"/>
    <w:rsid w:val="00F94A2F"/>
    <w:rsid w:val="00F94B73"/>
    <w:rsid w:val="00F95143"/>
    <w:rsid w:val="00F97263"/>
    <w:rsid w:val="00FA04C9"/>
    <w:rsid w:val="00FA0D3F"/>
    <w:rsid w:val="00FA3445"/>
    <w:rsid w:val="00FA64EE"/>
    <w:rsid w:val="00FA6546"/>
    <w:rsid w:val="00FA66A3"/>
    <w:rsid w:val="00FA6E7F"/>
    <w:rsid w:val="00FB018A"/>
    <w:rsid w:val="00FB182A"/>
    <w:rsid w:val="00FB4E7B"/>
    <w:rsid w:val="00FB4F58"/>
    <w:rsid w:val="00FB5FCE"/>
    <w:rsid w:val="00FB6D52"/>
    <w:rsid w:val="00FB7325"/>
    <w:rsid w:val="00FC055A"/>
    <w:rsid w:val="00FC12E4"/>
    <w:rsid w:val="00FC2E24"/>
    <w:rsid w:val="00FC3162"/>
    <w:rsid w:val="00FC329A"/>
    <w:rsid w:val="00FC5EC2"/>
    <w:rsid w:val="00FC7889"/>
    <w:rsid w:val="00FD74E5"/>
    <w:rsid w:val="00FE00FE"/>
    <w:rsid w:val="00FE07CB"/>
    <w:rsid w:val="00FE4E53"/>
    <w:rsid w:val="00FF0A42"/>
    <w:rsid w:val="00FF125E"/>
    <w:rsid w:val="00FF44D8"/>
    <w:rsid w:val="00FF51D7"/>
    <w:rsid w:val="00FF587B"/>
    <w:rsid w:val="00FF5DE3"/>
    <w:rsid w:val="00FF60F5"/>
    <w:rsid w:val="00FF7A73"/>
    <w:rsid w:val="028A25EE"/>
    <w:rsid w:val="0401B452"/>
    <w:rsid w:val="06F3CE75"/>
    <w:rsid w:val="07933F3D"/>
    <w:rsid w:val="089DBC85"/>
    <w:rsid w:val="08DF5B11"/>
    <w:rsid w:val="0B19EEC8"/>
    <w:rsid w:val="0CBF4573"/>
    <w:rsid w:val="0CDD5ED7"/>
    <w:rsid w:val="0DE3D15E"/>
    <w:rsid w:val="0F5190C5"/>
    <w:rsid w:val="1244B059"/>
    <w:rsid w:val="12A93A4B"/>
    <w:rsid w:val="1A42C6AD"/>
    <w:rsid w:val="1C5EE6BB"/>
    <w:rsid w:val="1CBEEEFF"/>
    <w:rsid w:val="1F69665C"/>
    <w:rsid w:val="2014107D"/>
    <w:rsid w:val="2313C5A2"/>
    <w:rsid w:val="246CADDE"/>
    <w:rsid w:val="247FDD14"/>
    <w:rsid w:val="28E9B8E9"/>
    <w:rsid w:val="28FA962D"/>
    <w:rsid w:val="3276E4DF"/>
    <w:rsid w:val="34BE8D79"/>
    <w:rsid w:val="378CC4F6"/>
    <w:rsid w:val="3D69DAE7"/>
    <w:rsid w:val="3E2032C0"/>
    <w:rsid w:val="3F848E17"/>
    <w:rsid w:val="41219F9A"/>
    <w:rsid w:val="41BB5A36"/>
    <w:rsid w:val="42CAE34A"/>
    <w:rsid w:val="42CF0A87"/>
    <w:rsid w:val="457667B1"/>
    <w:rsid w:val="4589E9BA"/>
    <w:rsid w:val="459CBF91"/>
    <w:rsid w:val="496C3994"/>
    <w:rsid w:val="4BD9E1A7"/>
    <w:rsid w:val="4C45FB45"/>
    <w:rsid w:val="4D63C21B"/>
    <w:rsid w:val="4DD2EA1E"/>
    <w:rsid w:val="4E68BF1D"/>
    <w:rsid w:val="525F0FA0"/>
    <w:rsid w:val="563EA4CA"/>
    <w:rsid w:val="56D82243"/>
    <w:rsid w:val="62CAD140"/>
    <w:rsid w:val="6679A52F"/>
    <w:rsid w:val="670DACAC"/>
    <w:rsid w:val="685893E4"/>
    <w:rsid w:val="69E7F466"/>
    <w:rsid w:val="6A9D36FA"/>
    <w:rsid w:val="6C6A04C1"/>
    <w:rsid w:val="6FF36298"/>
    <w:rsid w:val="73D07820"/>
    <w:rsid w:val="7496453D"/>
    <w:rsid w:val="78D3E8DA"/>
    <w:rsid w:val="7B7F5F1A"/>
    <w:rsid w:val="7F6C5EB1"/>
    <w:rsid w:val="7FBB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ok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8396038"/>
  <w15:docId w15:val="{BF619AD5-4AA0-46E0-9BA5-A17693428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Times New Roman" w:hAnsi="Times New Roman" w:cs="Times New Roman"/>
      <w:sz w:val="24"/>
      <w:lang w:val="en-GB"/>
    </w:rPr>
  </w:style>
  <w:style w:type="paragraph" w:styleId="Heading1">
    <w:name w:val="heading 1"/>
    <w:basedOn w:val="Normal"/>
    <w:next w:val="Text1"/>
    <w:link w:val="Heading1Char"/>
    <w:uiPriority w:val="9"/>
    <w:qFormat/>
    <w:pPr>
      <w:keepNext/>
      <w:numPr>
        <w:numId w:val="32"/>
      </w:numPr>
      <w:spacing w:before="360"/>
      <w:outlineLvl w:val="0"/>
    </w:pPr>
    <w:rPr>
      <w:rFonts w:eastAsiaTheme="majorEastAsia"/>
      <w:b/>
      <w:bCs/>
      <w:smallCaps/>
      <w:szCs w:val="28"/>
    </w:rPr>
  </w:style>
  <w:style w:type="paragraph" w:styleId="Heading2">
    <w:name w:val="heading 2"/>
    <w:basedOn w:val="Normal"/>
    <w:next w:val="Text1"/>
    <w:link w:val="Heading2Char"/>
    <w:uiPriority w:val="9"/>
    <w:semiHidden/>
    <w:unhideWhenUsed/>
    <w:qFormat/>
    <w:pPr>
      <w:keepNext/>
      <w:numPr>
        <w:ilvl w:val="1"/>
        <w:numId w:val="32"/>
      </w:numPr>
      <w:outlineLvl w:val="1"/>
    </w:pPr>
    <w:rPr>
      <w:rFonts w:eastAsiaTheme="majorEastAsia"/>
      <w:b/>
      <w:bCs/>
      <w:szCs w:val="26"/>
    </w:rPr>
  </w:style>
  <w:style w:type="paragraph" w:styleId="Heading3">
    <w:name w:val="heading 3"/>
    <w:basedOn w:val="Normal"/>
    <w:next w:val="Text1"/>
    <w:link w:val="Heading3Char"/>
    <w:uiPriority w:val="9"/>
    <w:semiHidden/>
    <w:unhideWhenUsed/>
    <w:qFormat/>
    <w:pPr>
      <w:keepNext/>
      <w:numPr>
        <w:ilvl w:val="2"/>
        <w:numId w:val="32"/>
      </w:numPr>
      <w:outlineLvl w:val="2"/>
    </w:pPr>
    <w:rPr>
      <w:rFonts w:eastAsiaTheme="majorEastAsia"/>
      <w:bCs/>
      <w:i/>
    </w:rPr>
  </w:style>
  <w:style w:type="paragraph" w:styleId="Heading4">
    <w:name w:val="heading 4"/>
    <w:basedOn w:val="Normal"/>
    <w:next w:val="Text1"/>
    <w:link w:val="Heading4Char"/>
    <w:uiPriority w:val="9"/>
    <w:semiHidden/>
    <w:unhideWhenUsed/>
    <w:qFormat/>
    <w:pPr>
      <w:keepNext/>
      <w:numPr>
        <w:ilvl w:val="3"/>
        <w:numId w:val="32"/>
      </w:numPr>
      <w:outlineLvl w:val="3"/>
    </w:pPr>
    <w:rPr>
      <w:rFonts w:eastAsiaTheme="majorEastAsia"/>
      <w:bCs/>
      <w:iCs/>
    </w:rPr>
  </w:style>
  <w:style w:type="paragraph" w:styleId="Heading5">
    <w:name w:val="heading 5"/>
    <w:basedOn w:val="Normal"/>
    <w:next w:val="Text2"/>
    <w:link w:val="Heading5Char"/>
    <w:uiPriority w:val="9"/>
    <w:semiHidden/>
    <w:unhideWhenUsed/>
    <w:qFormat/>
    <w:pPr>
      <w:keepNext/>
      <w:numPr>
        <w:ilvl w:val="4"/>
        <w:numId w:val="32"/>
      </w:numPr>
      <w:outlineLvl w:val="4"/>
    </w:pPr>
    <w:rPr>
      <w:rFonts w:eastAsiaTheme="majorEastAsia"/>
    </w:rPr>
  </w:style>
  <w:style w:type="paragraph" w:styleId="Heading6">
    <w:name w:val="heading 6"/>
    <w:basedOn w:val="Normal"/>
    <w:next w:val="Text2"/>
    <w:link w:val="Heading6Char"/>
    <w:uiPriority w:val="9"/>
    <w:semiHidden/>
    <w:unhideWhenUsed/>
    <w:qFormat/>
    <w:pPr>
      <w:keepNext/>
      <w:numPr>
        <w:ilvl w:val="5"/>
        <w:numId w:val="32"/>
      </w:numPr>
      <w:outlineLvl w:val="5"/>
    </w:pPr>
    <w:rPr>
      <w:rFonts w:eastAsiaTheme="majorEastAsia"/>
      <w:iCs/>
    </w:rPr>
  </w:style>
  <w:style w:type="paragraph" w:styleId="Heading7">
    <w:name w:val="heading 7"/>
    <w:basedOn w:val="Normal"/>
    <w:next w:val="Text2"/>
    <w:link w:val="Heading7Char"/>
    <w:uiPriority w:val="9"/>
    <w:semiHidden/>
    <w:unhideWhenUsed/>
    <w:qFormat/>
    <w:pPr>
      <w:keepNext/>
      <w:numPr>
        <w:ilvl w:val="6"/>
        <w:numId w:val="32"/>
      </w:numPr>
      <w:outlineLvl w:val="6"/>
    </w:pPr>
    <w:rPr>
      <w:rFonts w:eastAsiaTheme="majorEastAsia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FF5DE3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FF5DE3"/>
    <w:pPr>
      <w:spacing w:after="0"/>
    </w:pPr>
  </w:style>
  <w:style w:type="paragraph" w:styleId="ListBullet">
    <w:name w:val="List Bullet"/>
    <w:basedOn w:val="Normal"/>
    <w:uiPriority w:val="99"/>
    <w:semiHidden/>
    <w:unhideWhenUsed/>
    <w:rsid w:val="00FF5DE3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FF5DE3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F5DE3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F5DE3"/>
    <w:pPr>
      <w:numPr>
        <w:numId w:val="4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FF5DE3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FF5DE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F5DE3"/>
    <w:pPr>
      <w:numPr>
        <w:numId w:val="7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F5DE3"/>
    <w:pPr>
      <w:numPr>
        <w:numId w:val="8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555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55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5547"/>
    <w:rPr>
      <w:rFonts w:ascii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55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5547"/>
    <w:rPr>
      <w:rFonts w:ascii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255547"/>
    <w:pPr>
      <w:spacing w:after="0" w:line="240" w:lineRule="auto"/>
    </w:pPr>
    <w:rPr>
      <w:rFonts w:ascii="Times New Roman" w:hAnsi="Times New Roman" w:cs="Times New Roman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54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547"/>
    <w:rPr>
      <w:rFonts w:ascii="Segoe UI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9B598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E0324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604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17E9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E56DD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5"/>
        <w:tab w:val="right" w:pos="9071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hd w:val="clear" w:color="auto" w:fill="auto"/>
      <w:lang w:val="en-GB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hd w:val="clear" w:color="auto" w:fill="auto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before="0" w:after="0"/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ajorEastAsia" w:hAnsi="Times New Roman" w:cs="Times New Roman"/>
      <w:b/>
      <w:bCs/>
      <w:smallCaps/>
      <w:sz w:val="24"/>
      <w:szCs w:val="28"/>
      <w:shd w:val="clear" w:color="auto" w:fill="auto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Times New Roman" w:eastAsiaTheme="majorEastAsia" w:hAnsi="Times New Roman" w:cs="Times New Roman"/>
      <w:b/>
      <w:bCs/>
      <w:sz w:val="24"/>
      <w:szCs w:val="26"/>
      <w:shd w:val="clear" w:color="auto" w:fill="auto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Times New Roman" w:eastAsiaTheme="majorEastAsia" w:hAnsi="Times New Roman" w:cs="Times New Roman"/>
      <w:bCs/>
      <w:i/>
      <w:sz w:val="24"/>
      <w:shd w:val="clear" w:color="auto" w:fill="auto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Times New Roman" w:eastAsiaTheme="majorEastAsia" w:hAnsi="Times New Roman" w:cs="Times New Roman"/>
      <w:bCs/>
      <w:iCs/>
      <w:sz w:val="24"/>
      <w:shd w:val="clear" w:color="auto" w:fill="auto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="Times New Roman" w:eastAsiaTheme="majorEastAsia" w:hAnsi="Times New Roman" w:cs="Times New Roman"/>
      <w:sz w:val="24"/>
      <w:shd w:val="clear" w:color="auto" w:fill="auto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="Times New Roman" w:eastAsiaTheme="majorEastAsia" w:hAnsi="Times New Roman" w:cs="Times New Roman"/>
      <w:iCs/>
      <w:sz w:val="24"/>
      <w:shd w:val="clear" w:color="auto" w:fill="auto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="Times New Roman" w:eastAsiaTheme="majorEastAsia" w:hAnsi="Times New Roman" w:cs="Times New Roman"/>
      <w:iCs/>
      <w:sz w:val="24"/>
      <w:shd w:val="clear" w:color="auto" w:fill="auto"/>
      <w:lang w:val="en-GB"/>
    </w:rPr>
  </w:style>
  <w:style w:type="paragraph" w:styleId="TOCHeading">
    <w:name w:val="TOC Heading"/>
    <w:basedOn w:val="Normal"/>
    <w:next w:val="Normal"/>
    <w:uiPriority w:val="39"/>
    <w:semiHidden/>
    <w:unhideWhenUsed/>
    <w:qFormat/>
    <w:pPr>
      <w:spacing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2">
    <w:name w:val="toc 2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3">
    <w:name w:val="toc 3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4">
    <w:name w:val="toc 4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5">
    <w:name w:val="toc 5"/>
    <w:basedOn w:val="Normal"/>
    <w:next w:val="Normal"/>
    <w:uiPriority w:val="39"/>
    <w:semiHidden/>
    <w:unhideWhenUsed/>
    <w:pPr>
      <w:tabs>
        <w:tab w:val="right" w:leader="dot" w:pos="9071"/>
      </w:tabs>
      <w:spacing w:before="300"/>
      <w:jc w:val="left"/>
    </w:pPr>
  </w:style>
  <w:style w:type="paragraph" w:styleId="TOC6">
    <w:name w:val="toc 6"/>
    <w:basedOn w:val="Normal"/>
    <w:next w:val="Normal"/>
    <w:uiPriority w:val="39"/>
    <w:semiHidden/>
    <w:unhideWhenUsed/>
    <w:pPr>
      <w:tabs>
        <w:tab w:val="right" w:leader="dot" w:pos="9071"/>
      </w:tabs>
      <w:spacing w:before="240"/>
      <w:jc w:val="left"/>
    </w:pPr>
  </w:style>
  <w:style w:type="paragraph" w:styleId="TOC7">
    <w:name w:val="toc 7"/>
    <w:basedOn w:val="Normal"/>
    <w:next w:val="Normal"/>
    <w:uiPriority w:val="39"/>
    <w:semiHidden/>
    <w:unhideWhenUsed/>
    <w:pPr>
      <w:tabs>
        <w:tab w:val="right" w:leader="dot" w:pos="9071"/>
      </w:tabs>
      <w:spacing w:before="180"/>
      <w:jc w:val="left"/>
    </w:pPr>
  </w:style>
  <w:style w:type="paragraph" w:styleId="TOC8">
    <w:name w:val="toc 8"/>
    <w:basedOn w:val="Normal"/>
    <w:next w:val="Normal"/>
    <w:uiPriority w:val="39"/>
    <w:semiHidden/>
    <w:unhideWhenUsed/>
    <w:pPr>
      <w:tabs>
        <w:tab w:val="right" w:leader="dot" w:pos="9071"/>
      </w:tabs>
      <w:jc w:val="left"/>
    </w:pPr>
  </w:style>
  <w:style w:type="paragraph" w:styleId="TOC9">
    <w:name w:val="toc 9"/>
    <w:basedOn w:val="Normal"/>
    <w:next w:val="Normal"/>
    <w:uiPriority w:val="39"/>
    <w:semiHidden/>
    <w:unhideWhenUsed/>
    <w:pPr>
      <w:tabs>
        <w:tab w:val="right" w:leader="dot" w:pos="9071"/>
      </w:tabs>
      <w:ind w:left="1417" w:hanging="1417"/>
      <w:jc w:val="left"/>
    </w:pPr>
  </w:style>
  <w:style w:type="paragraph" w:customStyle="1" w:styleId="HeaderLandscape">
    <w:name w:val="HeaderLandscape"/>
    <w:basedOn w:val="Normal"/>
    <w:pPr>
      <w:tabs>
        <w:tab w:val="center" w:pos="7285"/>
        <w:tab w:val="right" w:pos="14003"/>
      </w:tabs>
      <w:spacing w:before="0"/>
    </w:pPr>
  </w:style>
  <w:style w:type="paragraph" w:customStyle="1" w:styleId="FooterLandscape">
    <w:name w:val="FooterLandscape"/>
    <w:basedOn w:val="Normal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  <w:style w:type="character" w:styleId="FootnoteReference">
    <w:name w:val="footnote reference"/>
    <w:basedOn w:val="DefaultParagraphFont"/>
    <w:uiPriority w:val="99"/>
    <w:semiHidden/>
    <w:unhideWhenUsed/>
    <w:rPr>
      <w:shd w:val="clear" w:color="auto" w:fill="auto"/>
      <w:vertAlign w:val="superscript"/>
    </w:rPr>
  </w:style>
  <w:style w:type="paragraph" w:customStyle="1" w:styleId="HeaderSensitivity">
    <w:name w:val="Header Sensitivity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/>
      <w:ind w:left="113" w:right="113"/>
      <w:jc w:val="center"/>
    </w:pPr>
    <w:rPr>
      <w:b/>
      <w:sz w:val="32"/>
    </w:rPr>
  </w:style>
  <w:style w:type="paragraph" w:customStyle="1" w:styleId="HeaderSensitivityRight">
    <w:name w:val="Header Sensitivity Right"/>
    <w:basedOn w:val="Normal"/>
    <w:pPr>
      <w:spacing w:before="0"/>
      <w:jc w:val="right"/>
    </w:pPr>
    <w:rPr>
      <w:sz w:val="28"/>
    </w:rPr>
  </w:style>
  <w:style w:type="paragraph" w:customStyle="1" w:styleId="FooterSensitivity">
    <w:name w:val="Footer Sensitivity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/>
      <w:ind w:left="113" w:right="113"/>
      <w:jc w:val="center"/>
    </w:pPr>
    <w:rPr>
      <w:b/>
      <w:sz w:val="32"/>
    </w:rPr>
  </w:style>
  <w:style w:type="paragraph" w:customStyle="1" w:styleId="Text1">
    <w:name w:val="Text 1"/>
    <w:basedOn w:val="Normal"/>
    <w:pPr>
      <w:ind w:left="850"/>
    </w:pPr>
  </w:style>
  <w:style w:type="paragraph" w:customStyle="1" w:styleId="Text2">
    <w:name w:val="Text 2"/>
    <w:basedOn w:val="Normal"/>
    <w:pPr>
      <w:ind w:left="1417"/>
    </w:pPr>
  </w:style>
  <w:style w:type="paragraph" w:customStyle="1" w:styleId="Text3">
    <w:name w:val="Text 3"/>
    <w:basedOn w:val="Normal"/>
    <w:pPr>
      <w:ind w:left="1984"/>
    </w:pPr>
  </w:style>
  <w:style w:type="paragraph" w:customStyle="1" w:styleId="Text4">
    <w:name w:val="Text 4"/>
    <w:basedOn w:val="Normal"/>
    <w:pPr>
      <w:ind w:left="2551"/>
    </w:pPr>
  </w:style>
  <w:style w:type="paragraph" w:customStyle="1" w:styleId="Text5">
    <w:name w:val="Text 5"/>
    <w:basedOn w:val="Normal"/>
    <w:pPr>
      <w:ind w:left="3118"/>
    </w:pPr>
  </w:style>
  <w:style w:type="paragraph" w:customStyle="1" w:styleId="Text6">
    <w:name w:val="Text 6"/>
    <w:basedOn w:val="Normal"/>
    <w:pPr>
      <w:ind w:left="3685"/>
    </w:pPr>
  </w:style>
  <w:style w:type="paragraph" w:customStyle="1" w:styleId="NormalCentered">
    <w:name w:val="Normal Centered"/>
    <w:basedOn w:val="Normal"/>
    <w:pPr>
      <w:jc w:val="center"/>
    </w:pPr>
  </w:style>
  <w:style w:type="paragraph" w:customStyle="1" w:styleId="NormalLeft">
    <w:name w:val="Normal Left"/>
    <w:basedOn w:val="Normal"/>
    <w:pPr>
      <w:jc w:val="left"/>
    </w:pPr>
  </w:style>
  <w:style w:type="paragraph" w:customStyle="1" w:styleId="NormalRight">
    <w:name w:val="Normal Right"/>
    <w:basedOn w:val="Normal"/>
    <w:pPr>
      <w:jc w:val="right"/>
    </w:pPr>
  </w:style>
  <w:style w:type="paragraph" w:customStyle="1" w:styleId="QuotedText">
    <w:name w:val="Quoted Text"/>
    <w:basedOn w:val="Normal"/>
    <w:pPr>
      <w:ind w:left="1417"/>
    </w:pPr>
  </w:style>
  <w:style w:type="paragraph" w:customStyle="1" w:styleId="Point0">
    <w:name w:val="Point 0"/>
    <w:basedOn w:val="Normal"/>
    <w:pPr>
      <w:ind w:left="850" w:hanging="850"/>
    </w:pPr>
  </w:style>
  <w:style w:type="paragraph" w:customStyle="1" w:styleId="Point1">
    <w:name w:val="Point 1"/>
    <w:basedOn w:val="Normal"/>
    <w:pPr>
      <w:ind w:left="1417" w:hanging="567"/>
    </w:pPr>
  </w:style>
  <w:style w:type="paragraph" w:customStyle="1" w:styleId="Point2">
    <w:name w:val="Point 2"/>
    <w:basedOn w:val="Normal"/>
    <w:pPr>
      <w:ind w:left="1984" w:hanging="567"/>
    </w:pPr>
  </w:style>
  <w:style w:type="paragraph" w:customStyle="1" w:styleId="Point3">
    <w:name w:val="Point 3"/>
    <w:basedOn w:val="Normal"/>
    <w:pPr>
      <w:ind w:left="2551" w:hanging="567"/>
    </w:pPr>
  </w:style>
  <w:style w:type="paragraph" w:customStyle="1" w:styleId="Point4">
    <w:name w:val="Point 4"/>
    <w:basedOn w:val="Normal"/>
    <w:pPr>
      <w:ind w:left="3118" w:hanging="567"/>
    </w:pPr>
  </w:style>
  <w:style w:type="paragraph" w:customStyle="1" w:styleId="Point5">
    <w:name w:val="Point 5"/>
    <w:basedOn w:val="Normal"/>
    <w:pPr>
      <w:ind w:left="3685" w:hanging="567"/>
    </w:pPr>
  </w:style>
  <w:style w:type="paragraph" w:customStyle="1" w:styleId="Tiret0">
    <w:name w:val="Tiret 0"/>
    <w:basedOn w:val="Point0"/>
    <w:pPr>
      <w:numPr>
        <w:numId w:val="25"/>
      </w:numPr>
    </w:pPr>
  </w:style>
  <w:style w:type="paragraph" w:customStyle="1" w:styleId="Tiret1">
    <w:name w:val="Tiret 1"/>
    <w:basedOn w:val="Point1"/>
    <w:pPr>
      <w:numPr>
        <w:numId w:val="26"/>
      </w:numPr>
    </w:pPr>
  </w:style>
  <w:style w:type="paragraph" w:customStyle="1" w:styleId="Tiret2">
    <w:name w:val="Tiret 2"/>
    <w:basedOn w:val="Point2"/>
    <w:pPr>
      <w:numPr>
        <w:numId w:val="27"/>
      </w:numPr>
    </w:pPr>
  </w:style>
  <w:style w:type="paragraph" w:customStyle="1" w:styleId="Tiret3">
    <w:name w:val="Tiret 3"/>
    <w:basedOn w:val="Point3"/>
    <w:pPr>
      <w:numPr>
        <w:numId w:val="28"/>
      </w:numPr>
    </w:pPr>
  </w:style>
  <w:style w:type="paragraph" w:customStyle="1" w:styleId="Tiret4">
    <w:name w:val="Tiret 4"/>
    <w:basedOn w:val="Point4"/>
    <w:pPr>
      <w:numPr>
        <w:numId w:val="29"/>
      </w:numPr>
    </w:pPr>
  </w:style>
  <w:style w:type="paragraph" w:customStyle="1" w:styleId="Tiret5">
    <w:name w:val="Tiret 5"/>
    <w:basedOn w:val="Point5"/>
    <w:pPr>
      <w:numPr>
        <w:numId w:val="30"/>
      </w:numPr>
    </w:pPr>
  </w:style>
  <w:style w:type="paragraph" w:customStyle="1" w:styleId="PointDouble0">
    <w:name w:val="PointDouble 0"/>
    <w:basedOn w:val="Normal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al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Normal"/>
    <w:next w:val="Text1"/>
    <w:pPr>
      <w:numPr>
        <w:numId w:val="31"/>
      </w:numPr>
    </w:pPr>
  </w:style>
  <w:style w:type="paragraph" w:customStyle="1" w:styleId="NumPar2">
    <w:name w:val="NumPar 2"/>
    <w:basedOn w:val="Normal"/>
    <w:next w:val="Text1"/>
    <w:pPr>
      <w:numPr>
        <w:ilvl w:val="1"/>
        <w:numId w:val="31"/>
      </w:numPr>
    </w:pPr>
  </w:style>
  <w:style w:type="paragraph" w:customStyle="1" w:styleId="NumPar3">
    <w:name w:val="NumPar 3"/>
    <w:basedOn w:val="Normal"/>
    <w:next w:val="Text1"/>
    <w:pPr>
      <w:numPr>
        <w:ilvl w:val="2"/>
        <w:numId w:val="31"/>
      </w:numPr>
    </w:pPr>
  </w:style>
  <w:style w:type="paragraph" w:customStyle="1" w:styleId="NumPar4">
    <w:name w:val="NumPar 4"/>
    <w:basedOn w:val="Normal"/>
    <w:next w:val="Text1"/>
    <w:pPr>
      <w:numPr>
        <w:ilvl w:val="3"/>
        <w:numId w:val="31"/>
      </w:numPr>
    </w:pPr>
  </w:style>
  <w:style w:type="paragraph" w:customStyle="1" w:styleId="NumPar5">
    <w:name w:val="NumPar 5"/>
    <w:basedOn w:val="Normal"/>
    <w:next w:val="Text2"/>
    <w:pPr>
      <w:numPr>
        <w:ilvl w:val="4"/>
        <w:numId w:val="31"/>
      </w:numPr>
    </w:pPr>
  </w:style>
  <w:style w:type="paragraph" w:customStyle="1" w:styleId="NumPar6">
    <w:name w:val="NumPar 6"/>
    <w:basedOn w:val="Normal"/>
    <w:next w:val="Text2"/>
    <w:pPr>
      <w:numPr>
        <w:ilvl w:val="5"/>
        <w:numId w:val="31"/>
      </w:numPr>
    </w:pPr>
  </w:style>
  <w:style w:type="paragraph" w:customStyle="1" w:styleId="NumPar7">
    <w:name w:val="NumPar 7"/>
    <w:basedOn w:val="Normal"/>
    <w:next w:val="Text2"/>
    <w:pPr>
      <w:numPr>
        <w:ilvl w:val="6"/>
        <w:numId w:val="31"/>
      </w:numPr>
    </w:pPr>
  </w:style>
  <w:style w:type="paragraph" w:customStyle="1" w:styleId="ManualNumPar1">
    <w:name w:val="Manual NumPar 1"/>
    <w:basedOn w:val="Normal"/>
    <w:next w:val="Text1"/>
    <w:pPr>
      <w:ind w:left="850" w:hanging="850"/>
    </w:pPr>
  </w:style>
  <w:style w:type="paragraph" w:customStyle="1" w:styleId="ManualNumPar2">
    <w:name w:val="Manual NumPar 2"/>
    <w:basedOn w:val="Normal"/>
    <w:next w:val="Text1"/>
    <w:pPr>
      <w:ind w:left="850" w:hanging="850"/>
    </w:pPr>
  </w:style>
  <w:style w:type="paragraph" w:customStyle="1" w:styleId="ManualNumPar3">
    <w:name w:val="Manual NumPar 3"/>
    <w:basedOn w:val="Normal"/>
    <w:next w:val="Text1"/>
    <w:pPr>
      <w:ind w:left="850" w:hanging="850"/>
    </w:pPr>
  </w:style>
  <w:style w:type="paragraph" w:customStyle="1" w:styleId="ManualNumPar4">
    <w:name w:val="Manual NumPar 4"/>
    <w:basedOn w:val="Normal"/>
    <w:next w:val="Text1"/>
    <w:pPr>
      <w:ind w:left="850" w:hanging="850"/>
    </w:pPr>
  </w:style>
  <w:style w:type="paragraph" w:customStyle="1" w:styleId="ManualNumPar5">
    <w:name w:val="Manual NumPar 5"/>
    <w:basedOn w:val="Normal"/>
    <w:next w:val="Text2"/>
    <w:pPr>
      <w:ind w:left="1417" w:hanging="1417"/>
    </w:pPr>
  </w:style>
  <w:style w:type="paragraph" w:customStyle="1" w:styleId="ManualNumPar6">
    <w:name w:val="Manual NumPar 6"/>
    <w:basedOn w:val="Normal"/>
    <w:next w:val="Text2"/>
    <w:pPr>
      <w:ind w:left="1417" w:hanging="1417"/>
    </w:pPr>
  </w:style>
  <w:style w:type="paragraph" w:customStyle="1" w:styleId="ManualNumPar7">
    <w:name w:val="Manual NumPar 7"/>
    <w:basedOn w:val="Normal"/>
    <w:next w:val="Text2"/>
    <w:pPr>
      <w:ind w:left="1417" w:hanging="1417"/>
    </w:pPr>
  </w:style>
  <w:style w:type="paragraph" w:customStyle="1" w:styleId="QuotedNumPar">
    <w:name w:val="Quoted NumPar"/>
    <w:basedOn w:val="Normal"/>
    <w:pPr>
      <w:ind w:left="1417" w:hanging="567"/>
    </w:pPr>
  </w:style>
  <w:style w:type="paragraph" w:customStyle="1" w:styleId="ManualHeading1">
    <w:name w:val="Manual Heading 1"/>
    <w:basedOn w:val="Normal"/>
    <w:next w:val="Text1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"/>
    <w:next w:val="Text1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"/>
    <w:next w:val="Text1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"/>
    <w:next w:val="Text1"/>
    <w:pPr>
      <w:keepNext/>
      <w:tabs>
        <w:tab w:val="left" w:pos="850"/>
      </w:tabs>
      <w:ind w:left="850" w:hanging="850"/>
      <w:outlineLvl w:val="3"/>
    </w:pPr>
  </w:style>
  <w:style w:type="paragraph" w:customStyle="1" w:styleId="ManualHeading5">
    <w:name w:val="Manual Heading 5"/>
    <w:basedOn w:val="Normal"/>
    <w:next w:val="Text2"/>
    <w:pPr>
      <w:keepNext/>
      <w:tabs>
        <w:tab w:val="left" w:pos="1417"/>
      </w:tabs>
      <w:ind w:left="1417" w:hanging="1417"/>
      <w:outlineLvl w:val="4"/>
    </w:pPr>
  </w:style>
  <w:style w:type="paragraph" w:customStyle="1" w:styleId="ManualHeading6">
    <w:name w:val="Manual Heading 6"/>
    <w:basedOn w:val="Normal"/>
    <w:next w:val="Text2"/>
    <w:pPr>
      <w:keepNext/>
      <w:tabs>
        <w:tab w:val="left" w:pos="1417"/>
      </w:tabs>
      <w:ind w:left="1417" w:hanging="1417"/>
      <w:outlineLvl w:val="5"/>
    </w:pPr>
  </w:style>
  <w:style w:type="paragraph" w:customStyle="1" w:styleId="ManualHeading7">
    <w:name w:val="Manual Heading 7"/>
    <w:basedOn w:val="Normal"/>
    <w:next w:val="Text2"/>
    <w:pPr>
      <w:keepNext/>
      <w:tabs>
        <w:tab w:val="left" w:pos="1417"/>
      </w:tabs>
      <w:ind w:left="1417" w:hanging="1417"/>
      <w:outlineLvl w:val="6"/>
    </w:pPr>
  </w:style>
  <w:style w:type="paragraph" w:customStyle="1" w:styleId="ChapterTitle">
    <w:name w:val="ChapterTitle"/>
    <w:basedOn w:val="Normal"/>
    <w:next w:val="Normal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"/>
    <w:next w:val="Heading1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"/>
    <w:next w:val="Normal"/>
    <w:pPr>
      <w:jc w:val="center"/>
    </w:pPr>
    <w:rPr>
      <w:b/>
    </w:rPr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pPr>
      <w:numPr>
        <w:numId w:val="33"/>
      </w:numPr>
    </w:pPr>
  </w:style>
  <w:style w:type="paragraph" w:customStyle="1" w:styleId="Point1number">
    <w:name w:val="Point 1 (number)"/>
    <w:basedOn w:val="Normal"/>
    <w:pPr>
      <w:numPr>
        <w:ilvl w:val="2"/>
        <w:numId w:val="33"/>
      </w:numPr>
    </w:pPr>
  </w:style>
  <w:style w:type="paragraph" w:customStyle="1" w:styleId="Point2number">
    <w:name w:val="Point 2 (number)"/>
    <w:basedOn w:val="Normal"/>
    <w:pPr>
      <w:numPr>
        <w:ilvl w:val="4"/>
        <w:numId w:val="33"/>
      </w:numPr>
    </w:pPr>
  </w:style>
  <w:style w:type="paragraph" w:customStyle="1" w:styleId="Point3number">
    <w:name w:val="Point 3 (number)"/>
    <w:basedOn w:val="Normal"/>
    <w:pPr>
      <w:numPr>
        <w:ilvl w:val="6"/>
        <w:numId w:val="33"/>
      </w:numPr>
    </w:pPr>
  </w:style>
  <w:style w:type="paragraph" w:customStyle="1" w:styleId="Point0letter">
    <w:name w:val="Point 0 (letter)"/>
    <w:basedOn w:val="Normal"/>
    <w:pPr>
      <w:numPr>
        <w:ilvl w:val="1"/>
        <w:numId w:val="33"/>
      </w:numPr>
    </w:pPr>
  </w:style>
  <w:style w:type="paragraph" w:customStyle="1" w:styleId="Point1letter">
    <w:name w:val="Point 1 (letter)"/>
    <w:basedOn w:val="Normal"/>
    <w:pPr>
      <w:numPr>
        <w:ilvl w:val="3"/>
        <w:numId w:val="33"/>
      </w:numPr>
    </w:pPr>
  </w:style>
  <w:style w:type="paragraph" w:customStyle="1" w:styleId="Point2letter">
    <w:name w:val="Point 2 (letter)"/>
    <w:basedOn w:val="Normal"/>
    <w:pPr>
      <w:numPr>
        <w:ilvl w:val="5"/>
        <w:numId w:val="33"/>
      </w:numPr>
    </w:pPr>
  </w:style>
  <w:style w:type="paragraph" w:customStyle="1" w:styleId="Point3letter">
    <w:name w:val="Point 3 (letter)"/>
    <w:basedOn w:val="Normal"/>
    <w:pPr>
      <w:numPr>
        <w:ilvl w:val="7"/>
        <w:numId w:val="33"/>
      </w:numPr>
    </w:pPr>
  </w:style>
  <w:style w:type="paragraph" w:customStyle="1" w:styleId="Point4letter">
    <w:name w:val="Point 4 (letter)"/>
    <w:basedOn w:val="Normal"/>
    <w:pPr>
      <w:numPr>
        <w:ilvl w:val="8"/>
        <w:numId w:val="33"/>
      </w:numPr>
    </w:pPr>
  </w:style>
  <w:style w:type="paragraph" w:customStyle="1" w:styleId="Bullet0">
    <w:name w:val="Bullet 0"/>
    <w:basedOn w:val="Normal"/>
    <w:pPr>
      <w:numPr>
        <w:numId w:val="34"/>
      </w:numPr>
    </w:pPr>
  </w:style>
  <w:style w:type="paragraph" w:customStyle="1" w:styleId="Bullet1">
    <w:name w:val="Bullet 1"/>
    <w:basedOn w:val="Normal"/>
    <w:pPr>
      <w:numPr>
        <w:numId w:val="35"/>
      </w:numPr>
    </w:pPr>
  </w:style>
  <w:style w:type="paragraph" w:customStyle="1" w:styleId="Bullet2">
    <w:name w:val="Bullet 2"/>
    <w:basedOn w:val="Normal"/>
    <w:pPr>
      <w:numPr>
        <w:numId w:val="36"/>
      </w:numPr>
    </w:pPr>
  </w:style>
  <w:style w:type="paragraph" w:customStyle="1" w:styleId="Bullet3">
    <w:name w:val="Bullet 3"/>
    <w:basedOn w:val="Normal"/>
    <w:pPr>
      <w:numPr>
        <w:numId w:val="37"/>
      </w:numPr>
    </w:pPr>
  </w:style>
  <w:style w:type="paragraph" w:customStyle="1" w:styleId="Bullet4">
    <w:name w:val="Bullet 4"/>
    <w:basedOn w:val="Normal"/>
    <w:pPr>
      <w:numPr>
        <w:numId w:val="38"/>
      </w:numPr>
    </w:pPr>
  </w:style>
  <w:style w:type="paragraph" w:customStyle="1" w:styleId="Langue">
    <w:name w:val="Langue"/>
    <w:basedOn w:val="Normal"/>
    <w:next w:val="Rfrenceinterne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Nomdelinstitution">
    <w:name w:val="Nom de l'institution"/>
    <w:basedOn w:val="Normal"/>
    <w:next w:val="Emission"/>
    <w:pPr>
      <w:spacing w:before="0" w:after="0"/>
      <w:jc w:val="left"/>
    </w:pPr>
    <w:rPr>
      <w:rFonts w:ascii="Arial" w:hAnsi="Arial" w:cs="Arial"/>
    </w:rPr>
  </w:style>
  <w:style w:type="paragraph" w:customStyle="1" w:styleId="Emission">
    <w:name w:val="Emission"/>
    <w:basedOn w:val="Normal"/>
    <w:next w:val="Rfrenceinstitutionnelle"/>
    <w:pPr>
      <w:spacing w:before="0" w:after="0"/>
      <w:ind w:left="5103"/>
      <w:jc w:val="left"/>
    </w:pPr>
  </w:style>
  <w:style w:type="paragraph" w:customStyle="1" w:styleId="Rfrenceinstitutionnelle">
    <w:name w:val="Référence institutionnelle"/>
    <w:basedOn w:val="Normal"/>
    <w:next w:val="Confidentialit"/>
    <w:pPr>
      <w:spacing w:before="0" w:after="240"/>
      <w:ind w:left="5103"/>
      <w:jc w:val="left"/>
    </w:pPr>
  </w:style>
  <w:style w:type="paragraph" w:customStyle="1" w:styleId="Pagedecouverture">
    <w:name w:val="Page de couverture"/>
    <w:basedOn w:val="Normal"/>
    <w:next w:val="Normal"/>
    <w:pPr>
      <w:spacing w:before="0" w:after="0"/>
    </w:pPr>
  </w:style>
  <w:style w:type="paragraph" w:customStyle="1" w:styleId="Declassification">
    <w:name w:val="Declassification"/>
    <w:basedOn w:val="Normal"/>
    <w:next w:val="Normal"/>
    <w:pPr>
      <w:spacing w:before="0" w:after="0"/>
    </w:pPr>
  </w:style>
  <w:style w:type="paragraph" w:customStyle="1" w:styleId="Disclaimer">
    <w:name w:val="Disclaimer"/>
    <w:basedOn w:val="Normal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</w:pPr>
  </w:style>
  <w:style w:type="paragraph" w:customStyle="1" w:styleId="SecurityMarking">
    <w:name w:val="SecurityMarking"/>
    <w:basedOn w:val="Normal"/>
    <w:pPr>
      <w:spacing w:before="0" w:after="0" w:line="276" w:lineRule="auto"/>
      <w:ind w:left="5103"/>
      <w:jc w:val="left"/>
    </w:pPr>
    <w:rPr>
      <w:sz w:val="28"/>
    </w:rPr>
  </w:style>
  <w:style w:type="paragraph" w:customStyle="1" w:styleId="DateMarking">
    <w:name w:val="DateMarking"/>
    <w:basedOn w:val="Normal"/>
    <w:pPr>
      <w:spacing w:before="0" w:after="0" w:line="276" w:lineRule="auto"/>
      <w:ind w:left="5103"/>
      <w:jc w:val="left"/>
    </w:pPr>
    <w:rPr>
      <w:i/>
      <w:sz w:val="28"/>
    </w:rPr>
  </w:style>
  <w:style w:type="paragraph" w:customStyle="1" w:styleId="ReleasableTo">
    <w:name w:val="ReleasableTo"/>
    <w:basedOn w:val="Normal"/>
    <w:pPr>
      <w:spacing w:before="0" w:after="0" w:line="276" w:lineRule="auto"/>
      <w:ind w:left="5103"/>
      <w:jc w:val="left"/>
    </w:pPr>
    <w:rPr>
      <w:i/>
      <w:sz w:val="28"/>
    </w:rPr>
  </w:style>
  <w:style w:type="paragraph" w:customStyle="1" w:styleId="Annexetitreexpos">
    <w:name w:val="Annexe titre (exposé)"/>
    <w:basedOn w:val="Normal"/>
    <w:next w:val="Normal"/>
    <w:pPr>
      <w:jc w:val="center"/>
    </w:pPr>
    <w:rPr>
      <w:b/>
      <w:u w:val="single"/>
    </w:rPr>
  </w:style>
  <w:style w:type="paragraph" w:customStyle="1" w:styleId="Annexetitre">
    <w:name w:val="Annexe titre"/>
    <w:basedOn w:val="Normal"/>
    <w:next w:val="Normal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ormal"/>
    <w:next w:val="Normal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"/>
    <w:next w:val="Fait"/>
    <w:pPr>
      <w:spacing w:before="480"/>
    </w:pPr>
  </w:style>
  <w:style w:type="paragraph" w:customStyle="1" w:styleId="Avertissementtitre">
    <w:name w:val="Avertissement titre"/>
    <w:basedOn w:val="Normal"/>
    <w:next w:val="Normal"/>
    <w:pPr>
      <w:keepNext/>
      <w:spacing w:before="480"/>
    </w:pPr>
    <w:rPr>
      <w:u w:val="single"/>
    </w:rPr>
  </w:style>
  <w:style w:type="paragraph" w:customStyle="1" w:styleId="Confidence">
    <w:name w:val="Confidence"/>
    <w:basedOn w:val="Normal"/>
    <w:next w:val="Normal"/>
    <w:pPr>
      <w:spacing w:before="360"/>
      <w:jc w:val="center"/>
    </w:pPr>
  </w:style>
  <w:style w:type="paragraph" w:customStyle="1" w:styleId="Confidentialit">
    <w:name w:val="Confidentialité"/>
    <w:basedOn w:val="Normal"/>
    <w:next w:val="TypedudocumentPagedecouverture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Normal"/>
    <w:pPr>
      <w:numPr>
        <w:numId w:val="39"/>
      </w:numPr>
    </w:pPr>
  </w:style>
  <w:style w:type="paragraph" w:customStyle="1" w:styleId="Corrigendum">
    <w:name w:val="Corrigendum"/>
    <w:basedOn w:val="Normal"/>
    <w:next w:val="Normal"/>
    <w:pPr>
      <w:spacing w:before="0" w:after="240"/>
      <w:jc w:val="left"/>
    </w:pPr>
  </w:style>
  <w:style w:type="paragraph" w:customStyle="1" w:styleId="Datedadoption">
    <w:name w:val="Date d'adoption"/>
    <w:basedOn w:val="Normal"/>
    <w:next w:val="Titreobjet"/>
    <w:pPr>
      <w:spacing w:before="360" w:after="0"/>
      <w:jc w:val="center"/>
    </w:pPr>
    <w:rPr>
      <w:b/>
    </w:rPr>
  </w:style>
  <w:style w:type="paragraph" w:customStyle="1" w:styleId="Exposdesmotifstitre">
    <w:name w:val="Exposé des motifs titre"/>
    <w:basedOn w:val="Normal"/>
    <w:next w:val="Normal"/>
    <w:pPr>
      <w:jc w:val="center"/>
    </w:pPr>
    <w:rPr>
      <w:b/>
      <w:u w:val="single"/>
    </w:rPr>
  </w:style>
  <w:style w:type="paragraph" w:customStyle="1" w:styleId="Fait">
    <w:name w:val="Fait à"/>
    <w:basedOn w:val="Normal"/>
    <w:next w:val="Institutionquisigne"/>
    <w:pPr>
      <w:keepNext/>
      <w:spacing w:after="0"/>
    </w:pPr>
  </w:style>
  <w:style w:type="paragraph" w:customStyle="1" w:styleId="Formuledadoption">
    <w:name w:val="Formule d'adoption"/>
    <w:basedOn w:val="Normal"/>
    <w:next w:val="Titrearticle"/>
    <w:pPr>
      <w:keepNext/>
    </w:pPr>
  </w:style>
  <w:style w:type="paragraph" w:customStyle="1" w:styleId="Institutionquiagit">
    <w:name w:val="Institution qui agit"/>
    <w:basedOn w:val="Normal"/>
    <w:next w:val="Normal"/>
    <w:pPr>
      <w:keepNext/>
      <w:spacing w:before="600"/>
    </w:pPr>
  </w:style>
  <w:style w:type="paragraph" w:customStyle="1" w:styleId="Institutionquisigne">
    <w:name w:val="Institution qui signe"/>
    <w:basedOn w:val="Normal"/>
    <w:next w:val="Personnequisigne"/>
    <w:pPr>
      <w:keepNext/>
      <w:tabs>
        <w:tab w:val="left" w:pos="4252"/>
      </w:tabs>
      <w:spacing w:before="720" w:after="0"/>
    </w:pPr>
    <w:rPr>
      <w:i/>
    </w:rPr>
  </w:style>
  <w:style w:type="paragraph" w:customStyle="1" w:styleId="ManualConsidrant">
    <w:name w:val="Manual Considérant"/>
    <w:basedOn w:val="Normal"/>
    <w:pPr>
      <w:ind w:left="709" w:hanging="709"/>
    </w:pPr>
  </w:style>
  <w:style w:type="paragraph" w:customStyle="1" w:styleId="Personnequisigne">
    <w:name w:val="Personne qui signe"/>
    <w:basedOn w:val="Normal"/>
    <w:next w:val="Institutionquisigne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terinstitutionnelle">
    <w:name w:val="Référence interinstitutionnelle"/>
    <w:basedOn w:val="Normal"/>
    <w:next w:val="Statut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Normal"/>
    <w:next w:val="Rfrenceinterinstitutionnelle"/>
    <w:pPr>
      <w:spacing w:before="0" w:after="0"/>
      <w:ind w:left="5103"/>
      <w:jc w:val="left"/>
    </w:pPr>
  </w:style>
  <w:style w:type="paragraph" w:customStyle="1" w:styleId="Statut">
    <w:name w:val="Statut"/>
    <w:basedOn w:val="Normal"/>
    <w:next w:val="Typedudocument"/>
    <w:pPr>
      <w:spacing w:before="360" w:after="0"/>
      <w:jc w:val="center"/>
    </w:pPr>
  </w:style>
  <w:style w:type="paragraph" w:customStyle="1" w:styleId="Titrearticle">
    <w:name w:val="Titre article"/>
    <w:basedOn w:val="Normal"/>
    <w:next w:val="Normal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Normal"/>
    <w:next w:val="IntrtEEE"/>
    <w:pPr>
      <w:spacing w:before="360" w:after="360"/>
      <w:jc w:val="center"/>
    </w:pPr>
    <w:rPr>
      <w:b/>
    </w:rPr>
  </w:style>
  <w:style w:type="paragraph" w:customStyle="1" w:styleId="Typedudocument">
    <w:name w:val="Type du document"/>
    <w:basedOn w:val="Normal"/>
    <w:next w:val="Titreobjet"/>
    <w:pPr>
      <w:spacing w:before="360" w:after="0"/>
      <w:jc w:val="center"/>
    </w:pPr>
    <w:rPr>
      <w:b/>
    </w:rPr>
  </w:style>
  <w:style w:type="character" w:customStyle="1" w:styleId="Added">
    <w:name w:val="Added"/>
    <w:basedOn w:val="DefaultParagraphFont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Normal"/>
    <w:next w:val="Normal"/>
    <w:rPr>
      <w:i/>
      <w:caps/>
    </w:rPr>
  </w:style>
  <w:style w:type="paragraph" w:customStyle="1" w:styleId="Supertitre">
    <w:name w:val="Supertitre"/>
    <w:basedOn w:val="Normal"/>
    <w:next w:val="Normal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Normal"/>
    <w:next w:val="Normal"/>
    <w:rsid w:val="00E664ED"/>
    <w:pPr>
      <w:spacing w:before="360" w:after="240"/>
      <w:jc w:val="center"/>
    </w:pPr>
  </w:style>
  <w:style w:type="paragraph" w:customStyle="1" w:styleId="Rfrencecroise">
    <w:name w:val="Référence croisée"/>
    <w:basedOn w:val="Normal"/>
    <w:pPr>
      <w:spacing w:before="0" w:after="0"/>
      <w:jc w:val="center"/>
    </w:pPr>
  </w:style>
  <w:style w:type="paragraph" w:customStyle="1" w:styleId="Fichefinanciretitre">
    <w:name w:val="Fiche financière titre"/>
    <w:basedOn w:val="Normal"/>
    <w:next w:val="Normal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</w:style>
  <w:style w:type="paragraph" w:customStyle="1" w:styleId="StatutPagedecouverture">
    <w:name w:val="Statut (Page de couverture)"/>
    <w:basedOn w:val="Statut"/>
    <w:next w:val="TypedudocumentPagedecouverture"/>
  </w:style>
  <w:style w:type="paragraph" w:customStyle="1" w:styleId="TitreobjetPagedecouverture">
    <w:name w:val="Titre objet (Page de couverture)"/>
    <w:basedOn w:val="Titreobjet"/>
    <w:next w:val="IntrtEEEPagedecouverture"/>
  </w:style>
  <w:style w:type="paragraph" w:customStyle="1" w:styleId="TypedudocumentPagedecouverture">
    <w:name w:val="Type du document (Page de couverture)"/>
    <w:basedOn w:val="Typedudocument"/>
    <w:next w:val="TitreobjetPagedecouverture"/>
  </w:style>
  <w:style w:type="paragraph" w:customStyle="1" w:styleId="Volume">
    <w:name w:val="Volume"/>
    <w:basedOn w:val="Normal"/>
    <w:next w:val="Confidentialit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Normal"/>
    <w:rsid w:val="00E664ED"/>
    <w:pPr>
      <w:spacing w:after="0"/>
    </w:pPr>
  </w:style>
  <w:style w:type="paragraph" w:customStyle="1" w:styleId="Accompagnant">
    <w:name w:val="Accompagnant"/>
    <w:basedOn w:val="Normal"/>
    <w:next w:val="Typeacteprincipal"/>
    <w:pPr>
      <w:spacing w:before="0" w:after="240"/>
      <w:jc w:val="center"/>
    </w:pPr>
    <w:rPr>
      <w:b/>
      <w:i/>
    </w:rPr>
  </w:style>
  <w:style w:type="paragraph" w:customStyle="1" w:styleId="Typeacteprincipal">
    <w:name w:val="Type acte principal"/>
    <w:basedOn w:val="Normal"/>
    <w:next w:val="Objetacteprincipal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Normal"/>
    <w:next w:val="Titrearticle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Normal"/>
    <w:rsid w:val="00E664ED"/>
  </w:style>
  <w:style w:type="paragraph" w:customStyle="1" w:styleId="AccompagnantPagedecouverture">
    <w:name w:val="Accompagnant (Page de couverture)"/>
    <w:basedOn w:val="Accompagnant"/>
    <w:next w:val="TypeacteprincipalPagedecouverture"/>
  </w:style>
  <w:style w:type="paragraph" w:customStyle="1" w:styleId="TypeacteprincipalPagedecouverture">
    <w:name w:val="Type acte principal (Page de couverture)"/>
    <w:basedOn w:val="Typeacteprincipal"/>
    <w:next w:val="ObjetacteprincipalPagedecouverture"/>
  </w:style>
  <w:style w:type="paragraph" w:customStyle="1" w:styleId="ObjetacteprincipalPagedecouverture">
    <w:name w:val="Objet acte principal (Page de couverture)"/>
    <w:basedOn w:val="Objetacteprincipal"/>
    <w:next w:val="Rfrencecroise"/>
  </w:style>
  <w:style w:type="paragraph" w:customStyle="1" w:styleId="LanguesfaisantfoiPagedecouverture">
    <w:name w:val="Langues faisant foi (Page de couverture)"/>
    <w:basedOn w:val="Normal"/>
    <w:next w:val="Rfrencecroise"/>
    <w:rsid w:val="00E664ED"/>
    <w:pPr>
      <w:spacing w:before="360" w:after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eader" Target="header6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growth/tools-databases/enorm/mandate/575_en" TargetMode="External"/><Relationship Id="rId2" Type="http://schemas.openxmlformats.org/officeDocument/2006/relationships/hyperlink" Target="http://data.europa.eu/eli/reg/2017/746/oj" TargetMode="External"/><Relationship Id="rId1" Type="http://schemas.openxmlformats.org/officeDocument/2006/relationships/hyperlink" Target="http://data.europa.eu/eli/reg/2012/1025/oj" TargetMode="External"/><Relationship Id="rId5" Type="http://schemas.openxmlformats.org/officeDocument/2006/relationships/hyperlink" Target="http://data.europa.eu/eli/dec_impl/2021/1195/oj" TargetMode="External"/><Relationship Id="rId4" Type="http://schemas.openxmlformats.org/officeDocument/2006/relationships/hyperlink" Target="http://data.europa.eu/eli/dir/1998/79/oj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CO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BAD999D84E12C74482EA5120F5227F6F00217DECAAC21D6B43958DFE68658C192E" ma:contentTypeVersion="27" ma:contentTypeDescription="Create a new document in this library." ma:contentTypeScope="" ma:versionID="21d0a0e06688d09e97f4165f03ece64c">
  <xsd:schema xmlns:xsd="http://www.w3.org/2001/XMLSchema" xmlns:xs="http://www.w3.org/2001/XMLSchema" xmlns:p="http://schemas.microsoft.com/office/2006/metadata/properties" xmlns:ns2="http://schemas.microsoft.com/sharepoint/v3/fields" xmlns:ns3="144c03d0-0f03-451f-9d46-5279004462a4" xmlns:ns4="f7bb8512-91eb-4bfd-be42-d6f021407e9a" targetNamespace="http://schemas.microsoft.com/office/2006/metadata/properties" ma:root="true" ma:fieldsID="8f85106d4a88386bc052a7e1d0ca7ee0" ns2:_="" ns3:_="" ns4:_="">
    <xsd:import namespace="http://schemas.microsoft.com/sharepoint/v3/fields"/>
    <xsd:import namespace="144c03d0-0f03-451f-9d46-5279004462a4"/>
    <xsd:import namespace="f7bb8512-91eb-4bfd-be42-d6f021407e9a"/>
    <xsd:element name="properties">
      <xsd:complexType>
        <xsd:sequence>
          <xsd:element name="documentManagement">
            <xsd:complexType>
              <xsd:all>
                <xsd:element ref="ns3:EC_Collab_Reference" minOccurs="0"/>
                <xsd:element ref="ns2:_Status" minOccurs="0"/>
                <xsd:element ref="ns3:EC_Collab_DocumentLanguage"/>
                <xsd:element ref="ns3:SharedWithUsers" minOccurs="0"/>
                <xsd:element ref="ns3:SharedWithDetails" minOccurs="0"/>
                <xsd:element ref="ns3:EC_Collab_Status" minOccurs="0"/>
                <xsd:element ref="ns4:MediaServiceSearchProperties" minOccurs="0"/>
                <xsd:element ref="ns4:lcf76f155ced4ddcb4097134ff3c332f" minOccurs="0"/>
                <xsd:element ref="ns3:TaxCatchAll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3" nillable="true" ma:displayName="Status" ma:default="Not Started" ma:hidden="true" ma:internalName="_Status" ma:readOnly="false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c03d0-0f03-451f-9d46-5279004462a4" elementFormDefault="qualified">
    <xsd:import namespace="http://schemas.microsoft.com/office/2006/documentManagement/types"/>
    <xsd:import namespace="http://schemas.microsoft.com/office/infopath/2007/PartnerControls"/>
    <xsd:element name="EC_Collab_Reference" ma:index="12" nillable="true" ma:displayName="Reference" ma:internalName="EC_Collab_Reference" ma:readOnly="false">
      <xsd:simpleType>
        <xsd:restriction base="dms:Text"/>
      </xsd:simpleType>
    </xsd:element>
    <xsd:element name="EC_Collab_DocumentLanguage" ma:index="14" ma:displayName="Language" ma:default="EN" ma:format="Dropdown" ma:internalName="EC_Collab_DocumentLanguage" ma:readOnly="false">
      <xsd:simpleType>
        <xsd:restriction base="dms:Choice">
          <xsd:enumeration value="BG"/>
          <xsd:enumeration value="ES"/>
          <xsd:enumeration value="CS"/>
          <xsd:enumeration value="DA"/>
          <xsd:enumeration value="DE"/>
          <xsd:enumeration value="ET"/>
          <xsd:enumeration value="EL"/>
          <xsd:enumeration value="EN"/>
          <xsd:enumeration value="FR"/>
          <xsd:enumeration value="GA"/>
          <xsd:enumeration value="IT"/>
          <xsd:enumeration value="LT"/>
          <xsd:enumeration value="LV"/>
          <xsd:enumeration value="HU"/>
          <xsd:enumeration value="MT"/>
          <xsd:enumeration value="NL"/>
          <xsd:enumeration value="PL"/>
          <xsd:enumeration value="PT"/>
          <xsd:enumeration value="RO"/>
          <xsd:enumeration value="SK"/>
          <xsd:enumeration value="SL"/>
          <xsd:enumeration value="FI"/>
          <xsd:enumeration value="SV"/>
          <xsd:enumeration value="HR"/>
          <xsd:enumeration value="MK"/>
          <xsd:enumeration value="TR"/>
          <xsd:enumeration value="EU"/>
          <xsd:enumeration value="CA"/>
          <xsd:enumeration value="GL"/>
          <xsd:enumeration value="AB"/>
          <xsd:enumeration value="AA"/>
          <xsd:enumeration value="AF"/>
          <xsd:enumeration value="AK"/>
          <xsd:enumeration value="SQ"/>
          <xsd:enumeration value="AM"/>
          <xsd:enumeration value="AR"/>
          <xsd:enumeration value="AN"/>
          <xsd:enumeration value="HY"/>
          <xsd:enumeration value="AS"/>
          <xsd:enumeration value="AV"/>
          <xsd:enumeration value="AE"/>
          <xsd:enumeration value="AY"/>
          <xsd:enumeration value="AZ"/>
          <xsd:enumeration value="BM"/>
          <xsd:enumeration value="BA"/>
          <xsd:enumeration value="BE"/>
          <xsd:enumeration value="BN"/>
          <xsd:enumeration value="BH"/>
          <xsd:enumeration value="BI"/>
          <xsd:enumeration value="NB"/>
          <xsd:enumeration value="BS"/>
          <xsd:enumeration value="BR"/>
          <xsd:enumeration value="MY"/>
          <xsd:enumeration value="KM"/>
          <xsd:enumeration value="CH"/>
          <xsd:enumeration value="CE"/>
          <xsd:enumeration value="NY"/>
          <xsd:enumeration value="ZH"/>
          <xsd:enumeration value="CU"/>
          <xsd:enumeration value="CV"/>
          <xsd:enumeration value="KW"/>
          <xsd:enumeration value="CO"/>
          <xsd:enumeration value="CR"/>
          <xsd:enumeration value="DV"/>
          <xsd:enumeration value="DZ"/>
          <xsd:enumeration value="EO"/>
          <xsd:enumeration value="EE"/>
          <xsd:enumeration value="FO"/>
          <xsd:enumeration value="FJ"/>
          <xsd:enumeration value="FF"/>
          <xsd:enumeration value="GD"/>
          <xsd:enumeration value="LG"/>
          <xsd:enumeration value="KA"/>
          <xsd:enumeration value="GN"/>
          <xsd:enumeration value="GU"/>
          <xsd:enumeration value="HT"/>
          <xsd:enumeration value="HA"/>
          <xsd:enumeration value="HE"/>
          <xsd:enumeration value="HZ"/>
          <xsd:enumeration value="HI"/>
          <xsd:enumeration value="HO"/>
          <xsd:enumeration value="IS"/>
          <xsd:enumeration value="IO"/>
          <xsd:enumeration value="IG"/>
          <xsd:enumeration value="ID"/>
          <xsd:enumeration value="IA"/>
          <xsd:enumeration value="IE"/>
          <xsd:enumeration value="IU"/>
          <xsd:enumeration value="IK"/>
          <xsd:enumeration value="JA"/>
          <xsd:enumeration value="JV"/>
          <xsd:enumeration value="KL"/>
          <xsd:enumeration value="KN"/>
          <xsd:enumeration value="KR"/>
          <xsd:enumeration value="KS"/>
          <xsd:enumeration value="KK"/>
          <xsd:enumeration value="KI"/>
          <xsd:enumeration value="RW"/>
          <xsd:enumeration value="KY"/>
          <xsd:enumeration value="KV"/>
          <xsd:enumeration value="KG"/>
          <xsd:enumeration value="KO"/>
          <xsd:enumeration value="KJ"/>
          <xsd:enumeration value="KU"/>
          <xsd:enumeration value="LO"/>
          <xsd:enumeration value="LA"/>
          <xsd:enumeration value="LI"/>
          <xsd:enumeration value="LN"/>
          <xsd:enumeration value="LU"/>
          <xsd:enumeration value="LB"/>
          <xsd:enumeration value="MG"/>
          <xsd:enumeration value="MS"/>
          <xsd:enumeration value="ML"/>
          <xsd:enumeration value="GV"/>
          <xsd:enumeration value="MI"/>
          <xsd:enumeration value="MR"/>
          <xsd:enumeration value="MH"/>
          <xsd:enumeration value="MN"/>
          <xsd:enumeration value="NA"/>
          <xsd:enumeration value="NV"/>
          <xsd:enumeration value="ND"/>
          <xsd:enumeration value="NR"/>
          <xsd:enumeration value="NG"/>
          <xsd:enumeration value="NE"/>
          <xsd:enumeration value="SE"/>
          <xsd:enumeration value="NO"/>
          <xsd:enumeration value="NN"/>
          <xsd:enumeration value="OC"/>
          <xsd:enumeration value="OJ"/>
          <xsd:enumeration value="OR"/>
          <xsd:enumeration value="OM"/>
          <xsd:enumeration value="OS"/>
          <xsd:enumeration value="PI"/>
          <xsd:enumeration value="PA"/>
          <xsd:enumeration value="FA"/>
          <xsd:enumeration value="PS"/>
          <xsd:enumeration value="QU"/>
          <xsd:enumeration value="RM"/>
          <xsd:enumeration value="RN"/>
          <xsd:enumeration value="RU"/>
          <xsd:enumeration value="SM"/>
          <xsd:enumeration value="SG"/>
          <xsd:enumeration value="SA"/>
          <xsd:enumeration value="SC"/>
          <xsd:enumeration value="SR"/>
          <xsd:enumeration value="SN"/>
          <xsd:enumeration value="II"/>
          <xsd:enumeration value="SD"/>
          <xsd:enumeration value="SI"/>
          <xsd:enumeration value="SO"/>
          <xsd:enumeration value="ST"/>
          <xsd:enumeration value="SU"/>
          <xsd:enumeration value="SW"/>
          <xsd:enumeration value="SS"/>
          <xsd:enumeration value="TL"/>
          <xsd:enumeration value="TY"/>
          <xsd:enumeration value="TG"/>
          <xsd:enumeration value="TA"/>
          <xsd:enumeration value="TT"/>
          <xsd:enumeration value="TE"/>
          <xsd:enumeration value="TH"/>
          <xsd:enumeration value="BO"/>
          <xsd:enumeration value="TI"/>
          <xsd:enumeration value="TO"/>
          <xsd:enumeration value="TS"/>
          <xsd:enumeration value="TN"/>
          <xsd:enumeration value="TK"/>
          <xsd:enumeration value="TW"/>
          <xsd:enumeration value="UG"/>
          <xsd:enumeration value="UK"/>
          <xsd:enumeration value="UR"/>
          <xsd:enumeration value="UZ"/>
          <xsd:enumeration value="VE"/>
          <xsd:enumeration value="VI"/>
          <xsd:enumeration value="VO"/>
          <xsd:enumeration value="WA"/>
          <xsd:enumeration value="CY"/>
          <xsd:enumeration value="FY"/>
          <xsd:enumeration value="WO"/>
          <xsd:enumeration value="XH"/>
          <xsd:enumeration value="YI"/>
          <xsd:enumeration value="YO"/>
          <xsd:enumeration value="ZA"/>
          <xsd:enumeration value="ZU"/>
        </xsd:restriction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EC_Collab_Status" ma:index="17" nillable="true" ma:displayName="EC Status" ma:default="Not Started" ma:format="Dropdown" ma:internalName="EC_Collab_Status" ma:readOnly="false">
      <xsd:simpleType>
        <xsd:restriction base="dms:Choice">
          <xsd:enumeration value="Not Started"/>
          <xsd:enumeration value="Draft"/>
          <xsd:enumeration value="Reviewed"/>
          <xsd:enumeration value="Scheduled"/>
          <xsd:enumeration value="Published"/>
          <xsd:enumeration value="Final"/>
          <xsd:enumeration value="Expired"/>
        </xsd:restriction>
      </xsd:simpleType>
    </xsd:element>
    <xsd:element name="TaxCatchAll" ma:index="21" nillable="true" ma:displayName="Taxonomy Catch All Column" ma:hidden="true" ma:list="{51513471-611d-4aba-ae12-e8d0e877eea6}" ma:internalName="TaxCatchAll" ma:showField="CatchAllData" ma:web="144c03d0-0f03-451f-9d46-5279004462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b8512-91eb-4bfd-be42-d6f021407e9a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9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 ma:index="8" ma:displayName="Subject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>Not Started</_Status>
    <EC_Collab_DocumentLanguage xmlns="144c03d0-0f03-451f-9d46-5279004462a4">EN</EC_Collab_DocumentLanguage>
    <EC_Collab_Reference xmlns="144c03d0-0f03-451f-9d46-5279004462a4">-</EC_Collab_Reference>
    <EC_Collab_Status xmlns="144c03d0-0f03-451f-9d46-5279004462a4">Not Started</EC_Collab_Status>
    <lcf76f155ced4ddcb4097134ff3c332f xmlns="f7bb8512-91eb-4bfd-be42-d6f021407e9a">
      <Terms xmlns="http://schemas.microsoft.com/office/infopath/2007/PartnerControls"/>
    </lcf76f155ced4ddcb4097134ff3c332f>
    <TaxCatchAll xmlns="144c03d0-0f03-451f-9d46-5279004462a4" xsi:nil="true"/>
  </documentManagement>
</p:properties>
</file>

<file path=customXml/itemProps1.xml><?xml version="1.0" encoding="utf-8"?>
<ds:datastoreItem xmlns:ds="http://schemas.openxmlformats.org/officeDocument/2006/customXml" ds:itemID="{F63078B0-F88B-4D24-9E2D-381C722D48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88C279-9C33-4038-9247-F720CC4881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982279-C368-4EC3-8E3F-0666D646D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144c03d0-0f03-451f-9d46-5279004462a4"/>
    <ds:schemaRef ds:uri="f7bb8512-91eb-4bfd-be42-d6f021407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0D1A63-632A-4ABD-877E-EB1A8994FEF6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144c03d0-0f03-451f-9d46-5279004462a4"/>
    <ds:schemaRef ds:uri="f7bb8512-91eb-4bfd-be42-d6f021407e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</Template>
  <TotalTime>0</TotalTime>
  <Pages>5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COMMISSION IMPLEMENTING DECISION hENs IVDR_amendment_9</vt:lpstr>
    </vt:vector>
  </TitlesOfParts>
  <Company/>
  <LinksUpToDate>false</LinksUpToDate>
  <CharactersWithSpaces>4517</CharactersWithSpaces>
  <SharedDoc>false</SharedDoc>
  <HLinks>
    <vt:vector size="36" baseType="variant">
      <vt:variant>
        <vt:i4>2228241</vt:i4>
      </vt:variant>
      <vt:variant>
        <vt:i4>0</vt:i4>
      </vt:variant>
      <vt:variant>
        <vt:i4>0</vt:i4>
      </vt:variant>
      <vt:variant>
        <vt:i4>5</vt:i4>
      </vt:variant>
      <vt:variant>
        <vt:lpwstr>http://www.cc.cec/decide-consultation/CisServlet.CISNet?A_CON=ISC/2025/09918</vt:lpwstr>
      </vt:variant>
      <vt:variant>
        <vt:lpwstr/>
      </vt:variant>
      <vt:variant>
        <vt:i4>2031663</vt:i4>
      </vt:variant>
      <vt:variant>
        <vt:i4>12</vt:i4>
      </vt:variant>
      <vt:variant>
        <vt:i4>0</vt:i4>
      </vt:variant>
      <vt:variant>
        <vt:i4>5</vt:i4>
      </vt:variant>
      <vt:variant>
        <vt:lpwstr>http://data.europa.eu/eli/dec_impl/2021/1182/oj</vt:lpwstr>
      </vt:variant>
      <vt:variant>
        <vt:lpwstr/>
      </vt:variant>
      <vt:variant>
        <vt:i4>5898325</vt:i4>
      </vt:variant>
      <vt:variant>
        <vt:i4>9</vt:i4>
      </vt:variant>
      <vt:variant>
        <vt:i4>0</vt:i4>
      </vt:variant>
      <vt:variant>
        <vt:i4>5</vt:i4>
      </vt:variant>
      <vt:variant>
        <vt:lpwstr>http://data.europa.eu/eli/dir/1993/42/oj</vt:lpwstr>
      </vt:variant>
      <vt:variant>
        <vt:lpwstr/>
      </vt:variant>
      <vt:variant>
        <vt:i4>4259871</vt:i4>
      </vt:variant>
      <vt:variant>
        <vt:i4>6</vt:i4>
      </vt:variant>
      <vt:variant>
        <vt:i4>0</vt:i4>
      </vt:variant>
      <vt:variant>
        <vt:i4>5</vt:i4>
      </vt:variant>
      <vt:variant>
        <vt:lpwstr>http://data.europa.eu/eli/dir/1990/385/oj</vt:lpwstr>
      </vt:variant>
      <vt:variant>
        <vt:lpwstr/>
      </vt:variant>
      <vt:variant>
        <vt:i4>4653083</vt:i4>
      </vt:variant>
      <vt:variant>
        <vt:i4>3</vt:i4>
      </vt:variant>
      <vt:variant>
        <vt:i4>0</vt:i4>
      </vt:variant>
      <vt:variant>
        <vt:i4>5</vt:i4>
      </vt:variant>
      <vt:variant>
        <vt:lpwstr>http://data.europa.eu/eli/reg/2017/745/oj</vt:lpwstr>
      </vt:variant>
      <vt:variant>
        <vt:lpwstr/>
      </vt:variant>
      <vt:variant>
        <vt:i4>6881386</vt:i4>
      </vt:variant>
      <vt:variant>
        <vt:i4>0</vt:i4>
      </vt:variant>
      <vt:variant>
        <vt:i4>0</vt:i4>
      </vt:variant>
      <vt:variant>
        <vt:i4>5</vt:i4>
      </vt:variant>
      <vt:variant>
        <vt:lpwstr>http://data.europa.eu/eli/reg/2012/1025/oj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COMMISSION IMPLEMENTING DECISION + ANNEX hENs IVDR_amendment_9</dc:title>
  <dc:subject>-</dc:subject>
  <dc:creator>COMM/SANTE/D3</dc:creator>
  <cp:keywords/>
  <dc:description/>
  <cp:lastModifiedBy>Letizia Andres</cp:lastModifiedBy>
  <cp:revision>2</cp:revision>
  <cp:lastPrinted>2024-01-31T22:04:00Z</cp:lastPrinted>
  <dcterms:created xsi:type="dcterms:W3CDTF">2026-07-24T15:25:00Z</dcterms:created>
  <dcterms:modified xsi:type="dcterms:W3CDTF">2026-07-24T15:25:00Z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COM/AA</vt:lpwstr>
  </property>
  <property fmtid="{D5CDD505-2E9C-101B-9397-08002B2CF9AE}" pid="3" name="Version">
    <vt:lpwstr>7.0.8.0</vt:lpwstr>
  </property>
  <property fmtid="{D5CDD505-2E9C-101B-9397-08002B2CF9AE}" pid="4" name="Last edited using">
    <vt:lpwstr>LW 9.2, Build 20250828</vt:lpwstr>
  </property>
  <property fmtid="{D5CDD505-2E9C-101B-9397-08002B2CF9AE}" pid="5" name="Created using">
    <vt:lpwstr>LW 7.0, Build 20190717</vt:lpwstr>
  </property>
  <property fmtid="{D5CDD505-2E9C-101B-9397-08002B2CF9AE}" pid="6" name="Part">
    <vt:lpwstr>1</vt:lpwstr>
  </property>
  <property fmtid="{D5CDD505-2E9C-101B-9397-08002B2CF9AE}" pid="7" name="Total parts">
    <vt:lpwstr>1</vt:lpwstr>
  </property>
  <property fmtid="{D5CDD505-2E9C-101B-9397-08002B2CF9AE}" pid="8" name="Level of sensitivity">
    <vt:lpwstr>Standard treatment</vt:lpwstr>
  </property>
  <property fmtid="{D5CDD505-2E9C-101B-9397-08002B2CF9AE}" pid="9" name="LWTemplateID">
    <vt:lpwstr>SJ-032</vt:lpwstr>
  </property>
  <property fmtid="{D5CDD505-2E9C-101B-9397-08002B2CF9AE}" pid="10" name="MSIP_Label_6bd9ddd1-4d20-43f6-abfa-fc3c07406f94_Enabled">
    <vt:lpwstr>true</vt:lpwstr>
  </property>
  <property fmtid="{D5CDD505-2E9C-101B-9397-08002B2CF9AE}" pid="11" name="MSIP_Label_6bd9ddd1-4d20-43f6-abfa-fc3c07406f94_SetDate">
    <vt:lpwstr>2023-04-30T20:58:05Z</vt:lpwstr>
  </property>
  <property fmtid="{D5CDD505-2E9C-101B-9397-08002B2CF9AE}" pid="12" name="MSIP_Label_6bd9ddd1-4d20-43f6-abfa-fc3c07406f94_Method">
    <vt:lpwstr>Standard</vt:lpwstr>
  </property>
  <property fmtid="{D5CDD505-2E9C-101B-9397-08002B2CF9AE}" pid="13" name="MSIP_Label_6bd9ddd1-4d20-43f6-abfa-fc3c07406f94_Name">
    <vt:lpwstr>Commission Use</vt:lpwstr>
  </property>
  <property fmtid="{D5CDD505-2E9C-101B-9397-08002B2CF9AE}" pid="14" name="MSIP_Label_6bd9ddd1-4d20-43f6-abfa-fc3c07406f94_SiteId">
    <vt:lpwstr>b24c8b06-522c-46fe-9080-70926f8dddb1</vt:lpwstr>
  </property>
  <property fmtid="{D5CDD505-2E9C-101B-9397-08002B2CF9AE}" pid="15" name="MSIP_Label_6bd9ddd1-4d20-43f6-abfa-fc3c07406f94_ActionId">
    <vt:lpwstr>2dafc60c-9606-4564-8985-ff2674afca9c</vt:lpwstr>
  </property>
  <property fmtid="{D5CDD505-2E9C-101B-9397-08002B2CF9AE}" pid="16" name="MSIP_Label_6bd9ddd1-4d20-43f6-abfa-fc3c07406f94_ContentBits">
    <vt:lpwstr>0</vt:lpwstr>
  </property>
  <property fmtid="{D5CDD505-2E9C-101B-9397-08002B2CF9AE}" pid="17" name="ContentTypeId">
    <vt:lpwstr>0x010100BAD999D84E12C74482EA5120F5227F6F00217DECAAC21D6B43958DFE68658C192E</vt:lpwstr>
  </property>
  <property fmtid="{D5CDD505-2E9C-101B-9397-08002B2CF9AE}" pid="18" name="MediaServiceImageTags">
    <vt:lpwstr/>
  </property>
  <property fmtid="{D5CDD505-2E9C-101B-9397-08002B2CF9AE}" pid="19" name="DQCStatus">
    <vt:lpwstr>Yellow (DQC version 03)</vt:lpwstr>
  </property>
</Properties>
</file>