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6D394" w14:textId="77777777" w:rsidR="00121BE4" w:rsidRPr="007400A6" w:rsidRDefault="00121BE4" w:rsidP="00121BE4">
      <w:pPr>
        <w:pStyle w:val="berschrift1"/>
      </w:pPr>
      <w:bookmarkStart w:id="0" w:name="_Toc334423726"/>
      <w:r w:rsidRPr="007400A6">
        <w:t>4.</w:t>
      </w:r>
      <w:r w:rsidRPr="007400A6">
        <w:tab/>
        <w:t>Computerised Systems and Databases</w:t>
      </w:r>
      <w:bookmarkEnd w:id="0"/>
    </w:p>
    <w:p w14:paraId="50B6D395" w14:textId="77777777" w:rsidR="00121BE4" w:rsidRPr="00326515" w:rsidRDefault="00121BE4" w:rsidP="00121BE4">
      <w:pPr>
        <w:rPr>
          <w:rFonts w:asciiTheme="minorHAnsi" w:hAnsiTheme="minorHAnsi"/>
          <w:color w:val="FF0000"/>
          <w:lang w:val="en-GB"/>
        </w:rPr>
      </w:pPr>
    </w:p>
    <w:p w14:paraId="50B6D396" w14:textId="77777777"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r w:rsidRPr="005E30A0">
        <w:rPr>
          <w:rFonts w:asciiTheme="minorHAnsi" w:hAnsiTheme="minorHAnsi"/>
          <w:lang w:val="en-GB"/>
        </w:rPr>
        <w:t xml:space="preserve"> uses </w:t>
      </w: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as licence Lite + within the project "Gemeinschaftliche Nebenwirkungsdatenbank" of the German Federal Association of the Pharmaceutical I</w:t>
      </w:r>
      <w:r w:rsidRPr="002D4832">
        <w:rPr>
          <w:rFonts w:asciiTheme="minorHAnsi" w:hAnsiTheme="minorHAnsi"/>
          <w:lang w:val="en-GB"/>
        </w:rPr>
        <w:t>ndustry</w:t>
      </w:r>
      <w:r>
        <w:rPr>
          <w:rFonts w:asciiTheme="minorHAnsi" w:hAnsiTheme="minorHAnsi"/>
          <w:lang w:val="en-GB"/>
        </w:rPr>
        <w:t xml:space="preserve"> (BAH WiDi) </w:t>
      </w:r>
      <w:r w:rsidRPr="005E30A0">
        <w:rPr>
          <w:rFonts w:asciiTheme="minorHAnsi" w:hAnsiTheme="minorHAnsi"/>
          <w:lang w:val="en-GB"/>
        </w:rPr>
        <w:t xml:space="preserve">as the sole database for </w:t>
      </w:r>
      <w:r>
        <w:rPr>
          <w:rFonts w:asciiTheme="minorHAnsi" w:hAnsiTheme="minorHAnsi"/>
          <w:lang w:val="en-GB"/>
        </w:rPr>
        <w:t>Pharmacovigilance</w:t>
      </w:r>
      <w:r w:rsidRPr="005E30A0">
        <w:rPr>
          <w:rFonts w:asciiTheme="minorHAnsi" w:hAnsiTheme="minorHAnsi"/>
          <w:lang w:val="en-GB"/>
        </w:rPr>
        <w:t xml:space="preserve"> and regulatory purposes for </w:t>
      </w:r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r w:rsidRPr="001C4D55">
        <w:rPr>
          <w:rFonts w:asciiTheme="minorHAnsi" w:hAnsiTheme="minorHAnsi"/>
          <w:lang w:val="en-GB"/>
        </w:rPr>
        <w:t>'s</w:t>
      </w:r>
      <w:r w:rsidRPr="005E30A0">
        <w:rPr>
          <w:rFonts w:asciiTheme="minorHAnsi" w:hAnsiTheme="minorHAnsi"/>
          <w:lang w:val="en-GB"/>
        </w:rPr>
        <w:t xml:space="preserve"> products.</w:t>
      </w:r>
    </w:p>
    <w:p w14:paraId="50B6D397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is used by </w:t>
      </w:r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r w:rsidRPr="005E30A0">
        <w:rPr>
          <w:rFonts w:asciiTheme="minorHAnsi" w:hAnsiTheme="minorHAnsi"/>
          <w:lang w:val="en-GB"/>
        </w:rPr>
        <w:t xml:space="preserve"> as Software as a Service (SaaS) in a secured way via the internet. The connection with </w:t>
      </w: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is secured and encrypted by Virtual Private Network (VPN). </w:t>
      </w:r>
    </w:p>
    <w:p w14:paraId="50B6D398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O</w:t>
      </w:r>
      <w:r w:rsidRPr="005E30A0">
        <w:rPr>
          <w:rFonts w:asciiTheme="minorHAnsi" w:hAnsiTheme="minorHAnsi"/>
          <w:lang w:val="en-GB"/>
        </w:rPr>
        <w:t>nly authorised and identifiable persons</w:t>
      </w:r>
      <w:r>
        <w:rPr>
          <w:rFonts w:asciiTheme="minorHAnsi" w:hAnsiTheme="minorHAnsi"/>
          <w:lang w:val="en-GB"/>
        </w:rPr>
        <w:t xml:space="preserve"> are able to access saphëus®</w:t>
      </w:r>
      <w:r w:rsidRPr="005E30A0">
        <w:rPr>
          <w:rFonts w:asciiTheme="minorHAnsi" w:hAnsiTheme="minorHAnsi"/>
          <w:lang w:val="en-GB"/>
        </w:rPr>
        <w:t xml:space="preserve">. </w:t>
      </w:r>
    </w:p>
    <w:p w14:paraId="50B6D399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 w:rsidRPr="005E30A0">
        <w:rPr>
          <w:rFonts w:asciiTheme="minorHAnsi" w:hAnsiTheme="minorHAnsi"/>
          <w:lang w:val="en-GB"/>
        </w:rPr>
        <w:t>Only</w:t>
      </w:r>
      <w:r>
        <w:rPr>
          <w:rFonts w:asciiTheme="minorHAnsi" w:hAnsiTheme="minorHAnsi"/>
          <w:lang w:val="en-GB"/>
        </w:rPr>
        <w:t xml:space="preserve"> successfully</w:t>
      </w:r>
      <w:r w:rsidRPr="005E30A0">
        <w:rPr>
          <w:rFonts w:asciiTheme="minorHAnsi" w:hAnsiTheme="minorHAnsi"/>
          <w:lang w:val="en-GB"/>
        </w:rPr>
        <w:t xml:space="preserve"> trained users </w:t>
      </w:r>
      <w:r>
        <w:rPr>
          <w:rFonts w:asciiTheme="minorHAnsi" w:hAnsiTheme="minorHAnsi"/>
          <w:lang w:val="en-GB"/>
        </w:rPr>
        <w:t>get access to saphëus'®</w:t>
      </w:r>
      <w:r w:rsidRPr="005E30A0">
        <w:rPr>
          <w:rFonts w:asciiTheme="minorHAnsi" w:hAnsiTheme="minorHAnsi"/>
          <w:lang w:val="en-GB"/>
        </w:rPr>
        <w:t xml:space="preserve"> production</w:t>
      </w:r>
      <w:r>
        <w:rPr>
          <w:rFonts w:asciiTheme="minorHAnsi" w:hAnsiTheme="minorHAnsi"/>
          <w:lang w:val="en-GB"/>
        </w:rPr>
        <w:t xml:space="preserve"> environment</w:t>
      </w:r>
      <w:r w:rsidRPr="005E30A0">
        <w:rPr>
          <w:rFonts w:asciiTheme="minorHAnsi" w:hAnsiTheme="minorHAnsi"/>
          <w:lang w:val="en-GB"/>
        </w:rPr>
        <w:t>.</w:t>
      </w:r>
    </w:p>
    <w:p w14:paraId="50B6D39A" w14:textId="3E441854"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curr</w:t>
      </w:r>
      <w:r w:rsidR="00B97E5E">
        <w:rPr>
          <w:rFonts w:asciiTheme="minorHAnsi" w:hAnsiTheme="minorHAnsi"/>
          <w:lang w:val="en-GB"/>
        </w:rPr>
        <w:t xml:space="preserve">ent version of saphëus® is </w:t>
      </w:r>
      <w:r w:rsidR="00F96DDC">
        <w:rPr>
          <w:rFonts w:asciiTheme="minorHAnsi" w:hAnsiTheme="minorHAnsi"/>
          <w:lang w:val="en-GB"/>
        </w:rPr>
        <w:t>7.0.</w:t>
      </w:r>
      <w:r w:rsidR="00665B10">
        <w:rPr>
          <w:rFonts w:asciiTheme="minorHAnsi" w:hAnsiTheme="minorHAnsi"/>
          <w:lang w:val="en-GB"/>
        </w:rPr>
        <w:t>1</w:t>
      </w:r>
    </w:p>
    <w:p w14:paraId="50B6D39B" w14:textId="77777777" w:rsidR="002D3FE0" w:rsidRPr="005E30A0" w:rsidRDefault="002D3FE0" w:rsidP="002D3FE0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includes the following main features and functions:</w:t>
      </w:r>
    </w:p>
    <w:p w14:paraId="50B6D39C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support for high data quality and avoidance of case duplicates</w:t>
      </w:r>
    </w:p>
    <w:p w14:paraId="50B6D39D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user-friendly usability according to software ergonomics</w:t>
      </w:r>
    </w:p>
    <w:p w14:paraId="50B6D39E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MedDRA® coding form</w:t>
      </w:r>
    </w:p>
    <w:p w14:paraId="50B6D39F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 xml:space="preserve">PSUR / DSUR print-outs according to GVP module VII and </w:t>
      </w:r>
      <w:r>
        <w:rPr>
          <w:rFonts w:asciiTheme="minorHAnsi" w:hAnsiTheme="minorHAnsi" w:cs="Times New Roman"/>
          <w:sz w:val="24"/>
          <w:szCs w:val="24"/>
          <w:lang w:val="en-GB"/>
        </w:rPr>
        <w:t>E2F</w:t>
      </w:r>
    </w:p>
    <w:p w14:paraId="50B6D3A0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document management</w:t>
      </w:r>
    </w:p>
    <w:p w14:paraId="50B6D3A1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user-friendly Query Assistant</w:t>
      </w:r>
    </w:p>
    <w:p w14:paraId="50B6D3A2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Multi Core Database System</w:t>
      </w:r>
      <w:bookmarkStart w:id="1" w:name="_GoBack"/>
      <w:bookmarkEnd w:id="1"/>
    </w:p>
    <w:p w14:paraId="50B6D3A3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Audit Trail in an own repository</w:t>
      </w:r>
    </w:p>
    <w:p w14:paraId="50B6D3A4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access protection</w:t>
      </w:r>
    </w:p>
    <w:p w14:paraId="50B6D3A5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clearly listed pending reporting</w:t>
      </w:r>
    </w:p>
    <w:p w14:paraId="50B6D3A6" w14:textId="77777777" w:rsidR="00121BE4" w:rsidRPr="005E30A0" w:rsidRDefault="00121BE4" w:rsidP="00121BE4">
      <w:pPr>
        <w:rPr>
          <w:rFonts w:asciiTheme="minorHAnsi" w:hAnsiTheme="minorHAnsi"/>
          <w:lang w:val="en-GB"/>
        </w:rPr>
      </w:pPr>
    </w:p>
    <w:p w14:paraId="50B6D3A7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vendor of the </w:t>
      </w:r>
      <w:r w:rsidRPr="005E30A0">
        <w:rPr>
          <w:rFonts w:asciiTheme="minorHAnsi" w:hAnsiTheme="minorHAnsi"/>
          <w:lang w:val="en-GB"/>
        </w:rPr>
        <w:t>pharmacovigilance database</w:t>
      </w:r>
      <w:r>
        <w:rPr>
          <w:rFonts w:asciiTheme="minorHAnsi" w:hAnsiTheme="minorHAnsi"/>
          <w:lang w:val="en-GB"/>
        </w:rPr>
        <w:t xml:space="preserve"> saphëus® is PHARM-SOFT Dr. B. Rodust GmbH, </w:t>
      </w:r>
      <w:r w:rsidR="0007199A">
        <w:rPr>
          <w:rFonts w:asciiTheme="minorHAnsi" w:hAnsiTheme="minorHAnsi"/>
          <w:lang w:val="en-GB"/>
        </w:rPr>
        <w:t>Königswall 22, 44137 Dortmund</w:t>
      </w:r>
      <w:r>
        <w:rPr>
          <w:rFonts w:asciiTheme="minorHAnsi" w:hAnsiTheme="minorHAnsi"/>
          <w:lang w:val="en-GB"/>
        </w:rPr>
        <w:t>, Germany.</w:t>
      </w:r>
    </w:p>
    <w:p w14:paraId="50B6D3A8" w14:textId="77777777"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PHARM-SOFT has been </w:t>
      </w:r>
      <w:r w:rsidR="00F96DDC">
        <w:rPr>
          <w:rFonts w:asciiTheme="minorHAnsi" w:hAnsiTheme="minorHAnsi"/>
          <w:lang w:val="en-GB"/>
        </w:rPr>
        <w:t>successfully audited</w:t>
      </w:r>
      <w:r>
        <w:rPr>
          <w:rFonts w:asciiTheme="minorHAnsi" w:hAnsiTheme="minorHAnsi"/>
          <w:lang w:val="en-GB"/>
        </w:rPr>
        <w:t xml:space="preserve"> by DQS </w:t>
      </w:r>
      <w:r w:rsidR="00F96DDC">
        <w:rPr>
          <w:rFonts w:asciiTheme="minorHAnsi" w:hAnsiTheme="minorHAnsi"/>
          <w:lang w:val="en-GB"/>
        </w:rPr>
        <w:t>on the 27</w:t>
      </w:r>
      <w:r w:rsidR="00F96DDC" w:rsidRPr="00F96DDC">
        <w:rPr>
          <w:rFonts w:asciiTheme="minorHAnsi" w:hAnsiTheme="minorHAnsi"/>
          <w:vertAlign w:val="superscript"/>
          <w:lang w:val="en-GB"/>
        </w:rPr>
        <w:t>th</w:t>
      </w:r>
      <w:r w:rsidR="00F96DDC">
        <w:rPr>
          <w:rFonts w:asciiTheme="minorHAnsi" w:hAnsiTheme="minorHAnsi"/>
          <w:lang w:val="en-GB"/>
        </w:rPr>
        <w:t xml:space="preserve"> of April 2017</w:t>
      </w:r>
      <w:r w:rsidR="00B230D5">
        <w:rPr>
          <w:rFonts w:asciiTheme="minorHAnsi" w:hAnsiTheme="minorHAnsi"/>
          <w:lang w:val="en-GB"/>
        </w:rPr>
        <w:t xml:space="preserve"> within a vendor audit</w:t>
      </w:r>
      <w:r>
        <w:rPr>
          <w:rFonts w:asciiTheme="minorHAnsi" w:hAnsiTheme="minorHAnsi"/>
          <w:lang w:val="en-GB"/>
        </w:rPr>
        <w:t xml:space="preserve">. </w:t>
      </w:r>
      <w:r w:rsidR="00F96DDC">
        <w:rPr>
          <w:rFonts w:asciiTheme="minorHAnsi" w:hAnsiTheme="minorHAnsi"/>
          <w:lang w:val="en-GB"/>
        </w:rPr>
        <w:t xml:space="preserve">The </w:t>
      </w:r>
      <w:r w:rsidR="00CD6D88">
        <w:rPr>
          <w:rFonts w:asciiTheme="minorHAnsi" w:hAnsiTheme="minorHAnsi"/>
          <w:lang w:val="en-GB"/>
        </w:rPr>
        <w:t xml:space="preserve">copy of the </w:t>
      </w:r>
      <w:r w:rsidR="00F96DDC">
        <w:rPr>
          <w:rFonts w:asciiTheme="minorHAnsi" w:hAnsiTheme="minorHAnsi"/>
          <w:lang w:val="en-GB"/>
        </w:rPr>
        <w:t>certificate is in place.</w:t>
      </w:r>
    </w:p>
    <w:p w14:paraId="50B6D3A9" w14:textId="77777777" w:rsidR="002D3FE0" w:rsidRDefault="002D3FE0" w:rsidP="00121BE4">
      <w:pPr>
        <w:rPr>
          <w:rFonts w:asciiTheme="minorHAnsi" w:hAnsiTheme="minorHAnsi"/>
          <w:lang w:val="en-GB"/>
        </w:rPr>
      </w:pPr>
    </w:p>
    <w:p w14:paraId="50B6D3AA" w14:textId="77777777" w:rsidR="00121BE4" w:rsidRPr="00014AC3" w:rsidRDefault="00121BE4" w:rsidP="00121BE4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For further information see ANNEX D.</w:t>
      </w:r>
    </w:p>
    <w:p w14:paraId="50B6D3AB" w14:textId="77777777" w:rsidR="00A15971" w:rsidRDefault="00A15971">
      <w:pPr>
        <w:rPr>
          <w:lang w:val="en-GB"/>
        </w:rPr>
      </w:pPr>
    </w:p>
    <w:p w14:paraId="50B6D3AC" w14:textId="77777777" w:rsidR="00A15971" w:rsidRPr="00A15971" w:rsidRDefault="00A15971" w:rsidP="00A15971">
      <w:pPr>
        <w:rPr>
          <w:lang w:val="en-GB"/>
        </w:rPr>
      </w:pPr>
    </w:p>
    <w:p w14:paraId="50B6D3AD" w14:textId="77777777" w:rsidR="00A15971" w:rsidRPr="00A15971" w:rsidRDefault="00A15971" w:rsidP="00A15971">
      <w:pPr>
        <w:rPr>
          <w:lang w:val="en-GB"/>
        </w:rPr>
      </w:pPr>
    </w:p>
    <w:p w14:paraId="50B6D3AE" w14:textId="77777777" w:rsidR="00A15971" w:rsidRPr="00A15971" w:rsidRDefault="00A15971" w:rsidP="00A15971">
      <w:pPr>
        <w:rPr>
          <w:lang w:val="en-GB"/>
        </w:rPr>
      </w:pPr>
    </w:p>
    <w:p w14:paraId="50B6D3AF" w14:textId="77777777" w:rsidR="00A15971" w:rsidRPr="00A15971" w:rsidRDefault="00A15971" w:rsidP="00A15971">
      <w:pPr>
        <w:rPr>
          <w:lang w:val="en-GB"/>
        </w:rPr>
      </w:pPr>
    </w:p>
    <w:p w14:paraId="50B6D3B0" w14:textId="77777777" w:rsidR="00A15971" w:rsidRPr="00A15971" w:rsidRDefault="00A15971" w:rsidP="00A15971">
      <w:pPr>
        <w:rPr>
          <w:lang w:val="en-GB"/>
        </w:rPr>
      </w:pPr>
    </w:p>
    <w:p w14:paraId="50B6D3B1" w14:textId="77777777" w:rsidR="00A15971" w:rsidRPr="00A15971" w:rsidRDefault="00A15971" w:rsidP="00A15971">
      <w:pPr>
        <w:rPr>
          <w:lang w:val="en-GB"/>
        </w:rPr>
      </w:pPr>
    </w:p>
    <w:p w14:paraId="50B6D3B2" w14:textId="77777777" w:rsidR="00A15971" w:rsidRDefault="00A15971" w:rsidP="00A15971">
      <w:pPr>
        <w:rPr>
          <w:lang w:val="en-GB"/>
        </w:rPr>
      </w:pPr>
    </w:p>
    <w:p w14:paraId="50B6D3B3" w14:textId="77777777" w:rsidR="00A15971" w:rsidRDefault="00A15971" w:rsidP="00A15971">
      <w:pPr>
        <w:rPr>
          <w:lang w:val="en-GB"/>
        </w:rPr>
      </w:pPr>
    </w:p>
    <w:p w14:paraId="50B6D3B4" w14:textId="77777777" w:rsidR="00E77457" w:rsidRPr="00A15971" w:rsidRDefault="00E77457" w:rsidP="00A15971">
      <w:pPr>
        <w:jc w:val="center"/>
        <w:rPr>
          <w:rFonts w:asciiTheme="minorHAnsi" w:hAnsiTheme="minorHAnsi"/>
          <w:lang w:val="en-GB"/>
        </w:rPr>
      </w:pPr>
    </w:p>
    <w:sectPr w:rsidR="00E77457" w:rsidRPr="00A1597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6D3B7" w14:textId="77777777" w:rsidR="00A24586" w:rsidRDefault="002D3FE0">
      <w:r>
        <w:separator/>
      </w:r>
    </w:p>
  </w:endnote>
  <w:endnote w:type="continuationSeparator" w:id="0">
    <w:p w14:paraId="50B6D3B8" w14:textId="77777777" w:rsidR="00A24586" w:rsidRDefault="002D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6D3B9" w14:textId="77777777" w:rsidR="00482ADF" w:rsidRPr="004D4573" w:rsidRDefault="00121BE4" w:rsidP="003726ED">
    <w:pPr>
      <w:pStyle w:val="Fuzeile"/>
      <w:rPr>
        <w:rFonts w:asciiTheme="minorHAnsi" w:hAnsiTheme="minorHAnsi"/>
        <w:sz w:val="22"/>
        <w:szCs w:val="22"/>
        <w:lang w:val="en-GB"/>
      </w:rPr>
    </w:pPr>
    <w:r w:rsidRPr="004D4573">
      <w:rPr>
        <w:rFonts w:asciiTheme="minorHAnsi" w:hAnsiTheme="minorHAnsi"/>
        <w:sz w:val="22"/>
        <w:szCs w:val="22"/>
        <w:lang w:val="en-GB"/>
      </w:rPr>
      <w:t>Chapter 4</w:t>
    </w:r>
    <w:r w:rsidRPr="004D4573">
      <w:rPr>
        <w:rFonts w:asciiTheme="minorHAnsi" w:hAnsiTheme="minorHAnsi"/>
        <w:sz w:val="22"/>
        <w:szCs w:val="22"/>
        <w:lang w:val="en-GB"/>
      </w:rPr>
      <w:tab/>
    </w:r>
    <w:r w:rsidR="004D4573" w:rsidRPr="004D4573">
      <w:rPr>
        <w:rFonts w:asciiTheme="minorHAnsi" w:hAnsiTheme="minorHAnsi"/>
        <w:sz w:val="22"/>
        <w:szCs w:val="22"/>
        <w:lang w:val="en-GB"/>
      </w:rPr>
      <w:t>(BAH) version 4 valid from 20-November-2017</w:t>
    </w:r>
    <w:r w:rsidRPr="004D4573">
      <w:rPr>
        <w:rFonts w:asciiTheme="minorHAnsi" w:hAnsiTheme="minorHAnsi"/>
        <w:sz w:val="22"/>
        <w:szCs w:val="22"/>
        <w:lang w:val="en-GB"/>
      </w:rPr>
      <w:tab/>
    </w:r>
    <w:r w:rsidR="004D4573" w:rsidRPr="004D4573">
      <w:rPr>
        <w:rFonts w:asciiTheme="minorHAnsi" w:hAnsiTheme="minorHAnsi"/>
        <w:sz w:val="22"/>
        <w:szCs w:val="22"/>
        <w:lang w:val="en-GB"/>
      </w:rPr>
      <w:t>Page</w:t>
    </w:r>
    <w:r w:rsidRPr="004D4573">
      <w:rPr>
        <w:rFonts w:asciiTheme="minorHAnsi" w:hAnsiTheme="minorHAnsi"/>
        <w:sz w:val="22"/>
        <w:szCs w:val="22"/>
        <w:lang w:val="en-GB"/>
      </w:rPr>
      <w:t xml:space="preserve"> </w:t>
    </w:r>
    <w:r w:rsidRPr="004D4573">
      <w:rPr>
        <w:rFonts w:asciiTheme="minorHAnsi" w:hAnsiTheme="minorHAnsi"/>
        <w:sz w:val="22"/>
        <w:szCs w:val="22"/>
      </w:rPr>
      <w:fldChar w:fldCharType="begin"/>
    </w:r>
    <w:r w:rsidRPr="004D4573">
      <w:rPr>
        <w:rFonts w:asciiTheme="minorHAnsi" w:hAnsiTheme="minorHAnsi"/>
        <w:sz w:val="22"/>
        <w:szCs w:val="22"/>
        <w:lang w:val="en-GB"/>
      </w:rPr>
      <w:instrText>PAGE  \* Arabic  \* MERGEFORMAT</w:instrText>
    </w:r>
    <w:r w:rsidRPr="004D4573">
      <w:rPr>
        <w:rFonts w:asciiTheme="minorHAnsi" w:hAnsiTheme="minorHAnsi"/>
        <w:sz w:val="22"/>
        <w:szCs w:val="22"/>
      </w:rPr>
      <w:fldChar w:fldCharType="separate"/>
    </w:r>
    <w:r w:rsidR="00665B10">
      <w:rPr>
        <w:rFonts w:asciiTheme="minorHAnsi" w:hAnsiTheme="minorHAnsi"/>
        <w:noProof/>
        <w:sz w:val="22"/>
        <w:szCs w:val="22"/>
        <w:lang w:val="en-GB"/>
      </w:rPr>
      <w:t>1</w:t>
    </w:r>
    <w:r w:rsidRPr="004D4573">
      <w:rPr>
        <w:rFonts w:asciiTheme="minorHAnsi" w:hAnsiTheme="minorHAnsi"/>
        <w:sz w:val="22"/>
        <w:szCs w:val="22"/>
      </w:rPr>
      <w:fldChar w:fldCharType="end"/>
    </w:r>
    <w:r w:rsidRPr="004D4573">
      <w:rPr>
        <w:rFonts w:asciiTheme="minorHAnsi" w:hAnsiTheme="minorHAnsi"/>
        <w:sz w:val="22"/>
        <w:szCs w:val="22"/>
        <w:lang w:val="en-GB"/>
      </w:rPr>
      <w:t xml:space="preserve"> </w:t>
    </w:r>
    <w:r w:rsidR="004D4573" w:rsidRPr="004D4573">
      <w:rPr>
        <w:rFonts w:asciiTheme="minorHAnsi" w:hAnsiTheme="minorHAnsi"/>
        <w:sz w:val="22"/>
        <w:szCs w:val="22"/>
        <w:lang w:val="en-GB"/>
      </w:rPr>
      <w:t>of</w:t>
    </w:r>
    <w:r w:rsidRPr="004D4573">
      <w:rPr>
        <w:rFonts w:asciiTheme="minorHAnsi" w:hAnsiTheme="minorHAnsi"/>
        <w:sz w:val="22"/>
        <w:szCs w:val="22"/>
        <w:lang w:val="en-GB"/>
      </w:rPr>
      <w:t xml:space="preserve"> </w:t>
    </w:r>
    <w:r w:rsidRPr="004D4573">
      <w:rPr>
        <w:rFonts w:asciiTheme="minorHAnsi" w:hAnsiTheme="minorHAnsi"/>
        <w:sz w:val="22"/>
        <w:szCs w:val="22"/>
      </w:rPr>
      <w:fldChar w:fldCharType="begin"/>
    </w:r>
    <w:r w:rsidRPr="004D4573">
      <w:rPr>
        <w:rFonts w:asciiTheme="minorHAnsi" w:hAnsiTheme="minorHAnsi"/>
        <w:sz w:val="22"/>
        <w:szCs w:val="22"/>
        <w:lang w:val="en-GB"/>
      </w:rPr>
      <w:instrText>NUMPAGES  \* Arabic  \* MERGEFORMAT</w:instrText>
    </w:r>
    <w:r w:rsidRPr="004D4573">
      <w:rPr>
        <w:rFonts w:asciiTheme="minorHAnsi" w:hAnsiTheme="minorHAnsi"/>
        <w:sz w:val="22"/>
        <w:szCs w:val="22"/>
      </w:rPr>
      <w:fldChar w:fldCharType="separate"/>
    </w:r>
    <w:r w:rsidR="00665B10">
      <w:rPr>
        <w:rFonts w:asciiTheme="minorHAnsi" w:hAnsiTheme="minorHAnsi"/>
        <w:noProof/>
        <w:sz w:val="22"/>
        <w:szCs w:val="22"/>
        <w:lang w:val="en-GB"/>
      </w:rPr>
      <w:t>1</w:t>
    </w:r>
    <w:r w:rsidRPr="004D4573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6D3B5" w14:textId="77777777" w:rsidR="00A24586" w:rsidRDefault="002D3FE0">
      <w:r>
        <w:separator/>
      </w:r>
    </w:p>
  </w:footnote>
  <w:footnote w:type="continuationSeparator" w:id="0">
    <w:p w14:paraId="50B6D3B6" w14:textId="77777777" w:rsidR="00A24586" w:rsidRDefault="002D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717A4"/>
    <w:multiLevelType w:val="hybridMultilevel"/>
    <w:tmpl w:val="21A88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E4"/>
    <w:rsid w:val="000273EB"/>
    <w:rsid w:val="0003311B"/>
    <w:rsid w:val="00043193"/>
    <w:rsid w:val="00053E73"/>
    <w:rsid w:val="0007199A"/>
    <w:rsid w:val="00077DE2"/>
    <w:rsid w:val="0009403B"/>
    <w:rsid w:val="0010045C"/>
    <w:rsid w:val="00121BE4"/>
    <w:rsid w:val="00121CCF"/>
    <w:rsid w:val="00153CE3"/>
    <w:rsid w:val="00286B53"/>
    <w:rsid w:val="002D3FE0"/>
    <w:rsid w:val="002E7A20"/>
    <w:rsid w:val="002F2678"/>
    <w:rsid w:val="00372652"/>
    <w:rsid w:val="003B1F5C"/>
    <w:rsid w:val="003D39EF"/>
    <w:rsid w:val="00454826"/>
    <w:rsid w:val="00497401"/>
    <w:rsid w:val="004D4573"/>
    <w:rsid w:val="004F4F92"/>
    <w:rsid w:val="00627B0B"/>
    <w:rsid w:val="0063195B"/>
    <w:rsid w:val="00665B10"/>
    <w:rsid w:val="006878E7"/>
    <w:rsid w:val="006A4005"/>
    <w:rsid w:val="00713046"/>
    <w:rsid w:val="0078080D"/>
    <w:rsid w:val="00791022"/>
    <w:rsid w:val="00791084"/>
    <w:rsid w:val="007A6C1E"/>
    <w:rsid w:val="007C213B"/>
    <w:rsid w:val="00896529"/>
    <w:rsid w:val="008971EA"/>
    <w:rsid w:val="00902170"/>
    <w:rsid w:val="00965DF9"/>
    <w:rsid w:val="009D04BA"/>
    <w:rsid w:val="009D2945"/>
    <w:rsid w:val="00A15971"/>
    <w:rsid w:val="00A20056"/>
    <w:rsid w:val="00A24586"/>
    <w:rsid w:val="00A3243C"/>
    <w:rsid w:val="00A84A1F"/>
    <w:rsid w:val="00B230D5"/>
    <w:rsid w:val="00B8193A"/>
    <w:rsid w:val="00B8640E"/>
    <w:rsid w:val="00B97E5E"/>
    <w:rsid w:val="00C25C8B"/>
    <w:rsid w:val="00C42993"/>
    <w:rsid w:val="00CD6D88"/>
    <w:rsid w:val="00E01252"/>
    <w:rsid w:val="00E4096B"/>
    <w:rsid w:val="00E47E0E"/>
    <w:rsid w:val="00E65992"/>
    <w:rsid w:val="00E77457"/>
    <w:rsid w:val="00EC19F5"/>
    <w:rsid w:val="00F50B55"/>
    <w:rsid w:val="00F96DDC"/>
    <w:rsid w:val="00FA4134"/>
    <w:rsid w:val="00FC3C45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D394"/>
  <w15:docId w15:val="{49D4C310-1BB4-4192-AEBF-010F0A72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1B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121BE4"/>
    <w:pPr>
      <w:keepNext/>
      <w:autoSpaceDE w:val="0"/>
      <w:autoSpaceDN w:val="0"/>
      <w:spacing w:before="360" w:after="120"/>
      <w:ind w:left="709" w:hanging="709"/>
      <w:outlineLvl w:val="0"/>
    </w:pPr>
    <w:rPr>
      <w:rFonts w:asciiTheme="minorHAnsi" w:eastAsia="Times New Roman" w:hAnsiTheme="minorHAnsi" w:cs="Arial"/>
      <w:b/>
      <w:caps/>
      <w:sz w:val="32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121BE4"/>
    <w:rPr>
      <w:rFonts w:eastAsia="Times New Roman" w:cs="Arial"/>
      <w:b/>
      <w:caps/>
      <w:sz w:val="32"/>
      <w:szCs w:val="28"/>
      <w:lang w:val="en-US" w:eastAsia="de-DE"/>
    </w:rPr>
  </w:style>
  <w:style w:type="paragraph" w:customStyle="1" w:styleId="Textbody125cm">
    <w:name w:val="Text body 1.25 cm"/>
    <w:basedOn w:val="Standard"/>
    <w:uiPriority w:val="99"/>
    <w:rsid w:val="00121BE4"/>
    <w:pPr>
      <w:spacing w:before="60" w:after="60"/>
      <w:ind w:left="709"/>
      <w:jc w:val="both"/>
    </w:pPr>
    <w:rPr>
      <w:rFonts w:ascii="Arial" w:eastAsia="Times New Roman" w:hAnsi="Arial" w:cs="Arial"/>
      <w:color w:val="000000"/>
      <w:sz w:val="22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21B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BE4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4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4573"/>
    <w:rPr>
      <w:rFonts w:ascii="Times New Roman" w:eastAsia="Calibri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0" ma:contentTypeDescription="Ein neues Dokument erstellen." ma:contentTypeScope="" ma:versionID="975a078f70f794bc14eeb414f6b9d029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e8e1680d46ee715ee0587808ea7ef187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6D541-D710-4E9C-B3F9-1FE65210FF4E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8cea201b-f78e-4710-bb37-675106f3d11b"/>
    <ds:schemaRef ds:uri="http://www.w3.org/XML/1998/namespace"/>
    <ds:schemaRef ds:uri="dd687069-60a6-416c-a646-6546b9e245e1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8E22F3-6FAF-4EA9-A0B4-FBBC3D64D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B9298-8D83-4048-AA03-204F5407A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Paul-Peter Pokojski</dc:creator>
  <cp:lastModifiedBy>Karen Lenthe</cp:lastModifiedBy>
  <cp:revision>7</cp:revision>
  <dcterms:created xsi:type="dcterms:W3CDTF">2017-11-28T14:38:00Z</dcterms:created>
  <dcterms:modified xsi:type="dcterms:W3CDTF">2018-09-04T13:16:00Z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