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43ECF" w14:textId="77777777" w:rsidR="00544996" w:rsidRDefault="00544996" w:rsidP="00544996">
      <w:r>
        <w:t>Sehr geehrte Damen und Herren,</w:t>
      </w:r>
    </w:p>
    <w:p w14:paraId="761A4C9C" w14:textId="77777777" w:rsidR="00544996" w:rsidRDefault="00544996" w:rsidP="00544996"/>
    <w:p w14:paraId="69F9EC76" w14:textId="77777777" w:rsidR="00544996" w:rsidRDefault="00544996" w:rsidP="00544996">
      <w:pPr>
        <w:rPr>
          <w:rFonts w:ascii="Arial" w:hAnsi="Arial" w:cs="Arial"/>
          <w:sz w:val="24"/>
          <w:szCs w:val="24"/>
        </w:rPr>
      </w:pPr>
      <w:r>
        <w:t xml:space="preserve">am 20./21. Juni 2017 hat bei der EMA ein Workshop zur Generierung und Nutzung von gesundheitsbezogenen Expositionsgrenzwerten (Health Based Exposure Limits (HBEL)) stattgefunden. Die EMA hat eine Zusammenfassung der dort geführten Diskussionen auf ihrer Homepage veröffentlicht. Da die Zusammenfassung nur in englischer Sprache verfügbar ist, hat der BAH einige interessante Punkte herausgegriffen und ins Deutsche übertragen. Die vollständige, englische Zusammenfassung finden Sie </w:t>
      </w:r>
      <w:hyperlink r:id="rId7" w:history="1">
        <w:r>
          <w:rPr>
            <w:rStyle w:val="Hyperlink"/>
          </w:rPr>
          <w:t>hier</w:t>
        </w:r>
      </w:hyperlink>
      <w:r>
        <w:t>.</w:t>
      </w:r>
    </w:p>
    <w:p w14:paraId="33F16B5F" w14:textId="77777777" w:rsidR="00544996" w:rsidRDefault="00544996" w:rsidP="00544996"/>
    <w:p w14:paraId="4FB0E2B1" w14:textId="77777777" w:rsidR="00544996" w:rsidRDefault="00544996" w:rsidP="00544996">
      <w:r>
        <w:t>Ziel des Workshops war es, ein Verständnis für die Benutzung und Anwendung von Health Based Exposure Limits (HBEL) im Zusammenhang mit dem Qualitätsmanagement von Kreuzkontaminationen bei der Herstellung verschiedener Produkte in derselben Herstellungsstätte und -anlage zu entwickeln.</w:t>
      </w:r>
    </w:p>
    <w:p w14:paraId="4FF58F92" w14:textId="77777777" w:rsidR="00544996" w:rsidRDefault="00544996" w:rsidP="00544996">
      <w:r>
        <w:t>Hauptthema am ersten Tag war der Erfahrungsaustausch zur Generierung/ Berechnung von HBEL, während am zweiten Tag die Verwendung von HBEL im Rahmen des Risikomanagements, d.h. die Auswahl geeigneter technischer und organisatorischer Maßnahmen zur Vermeidung von Kreuzkontaminationen diskutiert wurden.</w:t>
      </w:r>
    </w:p>
    <w:p w14:paraId="1A91A3C4" w14:textId="77777777" w:rsidR="00544996" w:rsidRDefault="00544996" w:rsidP="00544996">
      <w:r>
        <w:t xml:space="preserve">Ebenfalls wurde über den </w:t>
      </w:r>
      <w:hyperlink r:id="rId8" w:history="1">
        <w:r>
          <w:rPr>
            <w:rStyle w:val="Hyperlink"/>
          </w:rPr>
          <w:t>Frage- und Antwortkatalog zum Thema PDE</w:t>
        </w:r>
      </w:hyperlink>
      <w:r>
        <w:t xml:space="preserve"> (Permitted Daily Exposure) diskutiert, welcher kürzlich von der EMA veröffentlicht wurde.</w:t>
      </w:r>
    </w:p>
    <w:p w14:paraId="604453DE" w14:textId="77777777" w:rsidR="00544996" w:rsidRDefault="00544996" w:rsidP="00544996"/>
    <w:p w14:paraId="3852584C" w14:textId="77777777" w:rsidR="00544996" w:rsidRDefault="00544996" w:rsidP="00544996">
      <w:r>
        <w:t xml:space="preserve">Wie aus den Eröffnungspräsentationen hervorgeht, scheinen die Antworten zur Frage Nr. 2 (Welche Produkte/ Substanzen gelten als hochgefährlich?) und Nr. 4 (Kann die Berechnung von HBELs nur anhand von klinischen Daten erfolgen (z.B. Berechnung des HBELs auf Basis der 1/1000 Dosis der minimalen therapeutischen Dosis?) am strittigsten zu sein. Diese Fragen und Antworten spiegeln den Wunsch der Aufsichtsbehörden wieder, zu vermeiden, dass Hersteller, denen die nötige toxikologische Expertise in-house fehlt, gezwungen werden die Bewertung von HBELs auszulagern, wenn klar ist, dass nur „wenig toxische“ Produkte betroffen sind. Für viele Altprodukte, für die klinische Sicherheitsprofile gut etabliert sind, dürfte ein HBEL basierend auf 1/1000 der geringsten therapeutischen Tagesdosis normalerweise ausreichend konservativ und die konventionellen Grenzwerte für die Reinigungsvalidierung sicher sein. </w:t>
      </w:r>
    </w:p>
    <w:p w14:paraId="4A121D9F" w14:textId="77777777" w:rsidR="00544996" w:rsidRDefault="00544996" w:rsidP="00544996">
      <w:r>
        <w:t xml:space="preserve">Mit Hilfe dieser Fragen und Antworten soll es ermöglicht werden, Verbindungen zu identifizieren, für die dieser Ansatz nicht geeignet ist, da sie als „hochtoxisch“ zu kategorisieren sind und darum einer vollständigen HBEL-Bewertung bedürfen. </w:t>
      </w:r>
    </w:p>
    <w:p w14:paraId="34073793" w14:textId="77777777" w:rsidR="00544996" w:rsidRDefault="00544996" w:rsidP="00544996">
      <w:r>
        <w:t xml:space="preserve">Nicht beabsichtigt ist der Ausschluss von Produkten, die als nicht-toxisch eingestuft werden, von der Notwendigkeit des Risikomanagements und der Festlegung angemessener organisatorischer und technischer Kontrollen. Außerdem ist es für die EU-Behörden hilfreich, wenn in den jeweiligen Herstellungserlaubnissen gekennzeichnet ist, dass die Herstellungsstätten hochtoxische Produkte verarbeiten. Derartige Informationen über Vor-Ort-Aktivitäten können sowohl für andere Behörden als auch für Auftraggeber wertvoll sein und es wird eine konsistente Art und Weise für die Definition dieser Produktarten benötigt. </w:t>
      </w:r>
    </w:p>
    <w:p w14:paraId="13EBE1F0" w14:textId="77777777" w:rsidR="00544996" w:rsidRDefault="00544996" w:rsidP="00544996">
      <w:r>
        <w:t xml:space="preserve">Während des Workshops wurde diesbezüglich zwar kein Ergebnis erzielt, aber die Aufsichtsbehörden halten an der Flexibilität in einigen Fällen fest. </w:t>
      </w:r>
    </w:p>
    <w:p w14:paraId="5B477E5D" w14:textId="77777777" w:rsidR="00544996" w:rsidRDefault="00544996" w:rsidP="00544996">
      <w:r>
        <w:t>Eine große Anzahl von Herstellern, sind kleine Firmen mit einem begrenzten Produktportfolio, die Produkte verarbeiten, die intuitiv gesehen nur eine geringe Gefahr darstellen und in eben diesen Fällen erscheint es unverhältnismäßig, solche Hersteller zwingen zu wollen vollständige HBEL-Bewertungen durchführen zu lassen. Viele dieser Firmen haben noch nicht adäquat auf die neue Leitlinie reagiert, allerdings wenden die Überwachungsbehörden die Leitlinie bis jetzt in der Regel auch erst ansatzweise an.</w:t>
      </w:r>
    </w:p>
    <w:p w14:paraId="60C7AF3E" w14:textId="77777777" w:rsidR="00544996" w:rsidRDefault="00544996" w:rsidP="00544996"/>
    <w:p w14:paraId="679AC838" w14:textId="77777777" w:rsidR="00544996" w:rsidRDefault="00544996" w:rsidP="00544996">
      <w:r>
        <w:t xml:space="preserve">Die Frage und Antwort 6 (Wie können Grenzwerte für Reinigungszwecke festgelegt werden?) war ebenfalls Gegenstand einer wesentlichen Diskussion. Sie beschäftigt sich mit der Beziehung zwischen HBEL und den Grenzwerten, die für die Reinigungsvalidierung oder -verifikation eingesetzt werden. Die EU-Regulierungsbehörden haben nicht beabsichtigt, dass HBEL mit den Grenzwerten </w:t>
      </w:r>
      <w:r>
        <w:lastRenderedPageBreak/>
        <w:t xml:space="preserve">gleichgesetzt werden. Weder wollten sie 1/1000 der minimalen therapeutischen Tagesdosis noch 10 ppm bestätigen. Diese Werte werden traditionell in der Industrie verwendet, sind aber nicht in den offiziellen GMP-Leitlinien erwähnt. Nr.6 sollte klarstellen, dass ein Sicherheitsspielraum unterhalb des HBEL erforderlich ist, um Variabilitäten zu berücksichtigen, bspw. im Rahmen von Reinigungsprozessen oder analytischen Methoden, aber nicht, um einen zusätzlichen Faktor in das HBEL einzubeziehen. In vielen Fällen würde die Beibehaltung der traditionellen Grenzwerte diese Sicherheitsspanne automatisch liefern. </w:t>
      </w:r>
    </w:p>
    <w:p w14:paraId="37FFFF5C" w14:textId="77777777" w:rsidR="00544996" w:rsidRDefault="00544996" w:rsidP="00544996">
      <w:r>
        <w:t>Des Weiteren haben die Diskussionen gezeigt, dass es ein „pharmazeutisch sauber“ Konzept gibt, welches teilweise als „sichtbar sauber“ akzeptiert wird. Alle Parteien waren sich einig, dass sichtbare Rückstände auch dann nicht akzeptabel sind, wenn sie qualifiziert und niedriger als das HBEL sind.</w:t>
      </w:r>
    </w:p>
    <w:p w14:paraId="72F43F4A" w14:textId="77777777" w:rsidR="00544996" w:rsidRDefault="00544996" w:rsidP="00544996"/>
    <w:p w14:paraId="1F2CF60B" w14:textId="77777777" w:rsidR="00544996" w:rsidRDefault="00544996" w:rsidP="00544996">
      <w:r>
        <w:t>Die Frage und Antwort 14 beschäftigen sich damit, ob der Threshold of Toxicological Concern (TTC) für mutagene Produkte von 1,5 µg/ Person/ Tag ein akzeptabler Ansatzpunkt ist, um HBEL zu etablieren. Nach einer kurzen Diskussion stimmten die Vertreter der Aufsichtsbehörden grundsätzlich zu, beharrten aber darauf, dass dort, wo Daten tatsächlich verfügbar sind, diese auch verwendet werden sollen, wobei festgestellt wurde, dass für einige hochtoxische Substanzen die berechneten PDE-Werte geringer als die entsprechenden TTC-Werte sein können. In diesen Fällen sei eine vollständige toxikologische Bewertung erforderlich, um ein HBEL ableiten zu können.</w:t>
      </w:r>
    </w:p>
    <w:p w14:paraId="1AE7B6BA" w14:textId="77777777" w:rsidR="00544996" w:rsidRDefault="00544996" w:rsidP="00544996"/>
    <w:p w14:paraId="4659AFEC" w14:textId="77777777" w:rsidR="00544996" w:rsidRDefault="00544996" w:rsidP="00544996">
      <w:r>
        <w:t>Die abschließende Sitzung des Workshops wurde genutzt, um zukünftige Erwartungen zu diskutieren. Die Industrie möchte ein besseres Verständnis dafür bekommen, was die Inspektoren erwarten. Es wurde klargestellt, dass eine detaillierte Untersuchung, wie die HBEL berechnet wurden, nicht generell erwartet wird, obwohl dies in Einzelfällen passieren kann. Die Inspektoren verfügen nicht notwendigerweise über das jeweilige Fachwissen, obwohl sie im Laufe der Zeit ein bestimmtes Wissen und ein größeres Bewusstsein für grundlegende Aspekte entwickeln werden, was sie in die Lage versetzen wird, zu hinterfragen, was sie bei den Inspektionen sehen.</w:t>
      </w:r>
    </w:p>
    <w:p w14:paraId="79BECCF8" w14:textId="77777777" w:rsidR="00544996" w:rsidRDefault="00544996" w:rsidP="00544996">
      <w:r>
        <w:t>Es gab einige Diskussionen darüber, wie die Industrie beim Training und der Ausbildung der Inspektoren helfen kann. Auch wenn die Berechnung von HBEL ausgelagert wird, ermöglichen nur ausreichende Kenntnisse des Themas die ordnungsgemäße Qualifizierung von Lieferanten und die Möglichkeit sicherzustellen, dass die ausgelagerten Tätigkeiten angemessen ausgeführt werden.</w:t>
      </w:r>
    </w:p>
    <w:p w14:paraId="27CA36F0" w14:textId="77777777" w:rsidR="00544996" w:rsidRDefault="00544996" w:rsidP="00544996">
      <w:r>
        <w:t xml:space="preserve">Es wurde angedeutet, dass die Veröffentlichung von Beispielen, die die korrekte Art der Berechnung eines gültigen PDE-Werts zeigen, nützlich sein könnte. </w:t>
      </w:r>
    </w:p>
    <w:p w14:paraId="13AA5DF2" w14:textId="77777777" w:rsidR="00544996" w:rsidRDefault="00544996" w:rsidP="00544996">
      <w:r>
        <w:t>Weitere Themen, die kurz diskutiert wurden, beinhalteten Wirkstoffe. Es wurde darauf hingewiesen, dass die in der Einleitung beschriebenen Ansätze auch für Wirkstoffe anwendbar sind. Während des Treffens wurde erkannt, dass pharmakologisch aktive Zwischenprodukte eine zusätzliche Herausforderung darstellen. Es wurde festgestellt, dass Zwischenprodukte einer arbeitsmedizinischen Bewertung unterzogen werden sollten, so dass diese eine Basis für die Weiterentwicklung bieten kann. Dieses Thema würde jedoch eine umfassende Bewertung mit den entsprechenden Akteuren erfordern.</w:t>
      </w:r>
    </w:p>
    <w:p w14:paraId="09E2CEB4" w14:textId="77777777" w:rsidR="00544996" w:rsidRDefault="00544996" w:rsidP="00544996"/>
    <w:p w14:paraId="5D20954C" w14:textId="77777777" w:rsidR="00544996" w:rsidRDefault="00544996" w:rsidP="00544996">
      <w:r>
        <w:t xml:space="preserve">Eines der schwierigsten Themen, denen das EMA-Implementierungsteam gegenübersteht, ist eine Definition für „hochsensibilisierende Produkte“ zu finden. Die gültigen GMP-Leitlinien fordern, dass diese in separaten Anlagen hergestellt werden, wobei Beta-Lactam-Antibiotika das einzige Beispiel sind, auf das verwiesen wird und eben dieses kann wissenschaftlich in Frage gestellt werden. Es wird wissenschaftliches Fachwissen gesucht, und selbst wenn es möglich sein sollte in diesem Themenbereich Fortschritte zu erzielen, wurde betont, dass die EMA nichts im Alleingang ohne vorherige Konsultation der Interessensvertreter der Industrie und der anderen internationalen Aufsichtsbehörden umsetzen wird. </w:t>
      </w:r>
    </w:p>
    <w:p w14:paraId="460C7082" w14:textId="77777777" w:rsidR="00544996" w:rsidRDefault="00544996" w:rsidP="00544996"/>
    <w:p w14:paraId="6644F448" w14:textId="77777777" w:rsidR="00544996" w:rsidRDefault="00544996" w:rsidP="00544996">
      <w:r>
        <w:t xml:space="preserve">Alle Präsentationen, die während des Workshops vorgestellt wurden finden sie </w:t>
      </w:r>
      <w:hyperlink r:id="rId9" w:history="1">
        <w:r>
          <w:rPr>
            <w:rStyle w:val="Hyperlink"/>
          </w:rPr>
          <w:t>hier.</w:t>
        </w:r>
      </w:hyperlink>
    </w:p>
    <w:p w14:paraId="7E5C4BD0" w14:textId="77777777" w:rsidR="00544996" w:rsidRDefault="00544996" w:rsidP="00544996"/>
    <w:p w14:paraId="35D56CB7" w14:textId="77777777" w:rsidR="00544996" w:rsidRDefault="00544996" w:rsidP="00544996">
      <w:r>
        <w:t>Dieser Text wird ebenfalls in der morgigen BAH um Vier Ausgabe erscheinen.</w:t>
      </w:r>
    </w:p>
    <w:p w14:paraId="57B86F96" w14:textId="77777777" w:rsidR="00544996" w:rsidRDefault="00544996" w:rsidP="00544996"/>
    <w:p w14:paraId="599DB5CB" w14:textId="77777777" w:rsidR="00544996" w:rsidRDefault="00544996" w:rsidP="00544996"/>
    <w:p w14:paraId="12540098" w14:textId="77777777" w:rsidR="00544996" w:rsidRDefault="00544996" w:rsidP="00544996">
      <w:pPr>
        <w:rPr>
          <w:rFonts w:ascii="Arial" w:hAnsi="Arial" w:cs="Arial"/>
          <w:sz w:val="20"/>
          <w:szCs w:val="20"/>
          <w:lang w:eastAsia="de-DE"/>
        </w:rPr>
      </w:pPr>
      <w:r>
        <w:rPr>
          <w:rFonts w:ascii="Arial" w:hAnsi="Arial" w:cs="Arial"/>
          <w:sz w:val="20"/>
          <w:szCs w:val="20"/>
          <w:lang w:eastAsia="de-DE"/>
        </w:rPr>
        <w:t>Mit freundlichen Grüßen</w:t>
      </w:r>
    </w:p>
    <w:p w14:paraId="3BA78483" w14:textId="77777777" w:rsidR="00544996" w:rsidRDefault="00544996" w:rsidP="00544996">
      <w:pPr>
        <w:rPr>
          <w:rFonts w:ascii="Arial" w:hAnsi="Arial" w:cs="Arial"/>
          <w:sz w:val="20"/>
          <w:szCs w:val="20"/>
          <w:lang w:eastAsia="de-DE"/>
        </w:rPr>
      </w:pPr>
      <w:r>
        <w:rPr>
          <w:rFonts w:ascii="Arial" w:hAnsi="Arial" w:cs="Arial"/>
          <w:sz w:val="20"/>
          <w:szCs w:val="20"/>
          <w:lang w:eastAsia="de-DE"/>
        </w:rPr>
        <w:t>Daniela Allhenn</w:t>
      </w:r>
    </w:p>
    <w:p w14:paraId="24935F65" w14:textId="77777777" w:rsidR="00544996" w:rsidRDefault="00544996" w:rsidP="00544996">
      <w:pPr>
        <w:rPr>
          <w:rFonts w:ascii="Arial" w:hAnsi="Arial" w:cs="Arial"/>
          <w:sz w:val="20"/>
          <w:szCs w:val="20"/>
          <w:lang w:eastAsia="de-DE"/>
        </w:rPr>
      </w:pPr>
      <w:r>
        <w:rPr>
          <w:rFonts w:ascii="Arial" w:hAnsi="Arial" w:cs="Arial"/>
          <w:sz w:val="20"/>
          <w:szCs w:val="20"/>
          <w:lang w:eastAsia="de-DE"/>
        </w:rPr>
        <w:br/>
        <w:t>Dr. Daniela Allhenn</w:t>
      </w:r>
    </w:p>
    <w:p w14:paraId="44BF7C4F" w14:textId="77777777" w:rsidR="00544996" w:rsidRDefault="00544996" w:rsidP="00544996">
      <w:pPr>
        <w:rPr>
          <w:rFonts w:ascii="Arial" w:hAnsi="Arial" w:cs="Arial"/>
          <w:sz w:val="20"/>
          <w:szCs w:val="20"/>
          <w:lang w:eastAsia="de-DE"/>
        </w:rPr>
      </w:pPr>
      <w:r>
        <w:rPr>
          <w:rFonts w:ascii="Arial" w:hAnsi="Arial" w:cs="Arial"/>
          <w:sz w:val="20"/>
          <w:szCs w:val="20"/>
          <w:lang w:eastAsia="de-DE"/>
        </w:rPr>
        <w:t> </w:t>
      </w:r>
    </w:p>
    <w:p w14:paraId="0110BBA5" w14:textId="77777777" w:rsidR="00544996" w:rsidRDefault="00544996" w:rsidP="00544996">
      <w:pPr>
        <w:rPr>
          <w:rFonts w:ascii="Arial" w:hAnsi="Arial" w:cs="Arial"/>
          <w:sz w:val="20"/>
          <w:szCs w:val="20"/>
          <w:lang w:eastAsia="de-DE"/>
        </w:rPr>
      </w:pPr>
      <w:r>
        <w:rPr>
          <w:rFonts w:ascii="Arial" w:hAnsi="Arial" w:cs="Arial"/>
          <w:sz w:val="20"/>
          <w:szCs w:val="20"/>
          <w:lang w:eastAsia="de-DE"/>
        </w:rPr>
        <w:t>Referentin Pharmazeutische Technologie/ GMP</w:t>
      </w:r>
    </w:p>
    <w:p w14:paraId="79FB4D5A" w14:textId="77777777" w:rsidR="00544996" w:rsidRDefault="00544996" w:rsidP="00544996">
      <w:pPr>
        <w:rPr>
          <w:rFonts w:ascii="Arial" w:hAnsi="Arial" w:cs="Arial"/>
          <w:sz w:val="20"/>
          <w:szCs w:val="20"/>
          <w:lang w:eastAsia="de-DE"/>
        </w:rPr>
      </w:pPr>
      <w:r>
        <w:rPr>
          <w:rFonts w:ascii="Arial" w:hAnsi="Arial" w:cs="Arial"/>
          <w:sz w:val="20"/>
          <w:szCs w:val="20"/>
          <w:lang w:eastAsia="de-DE"/>
        </w:rPr>
        <w:t>Abteilung Pharmazeutische Technologie und Medizinprodukte</w:t>
      </w:r>
    </w:p>
    <w:p w14:paraId="38D3808A" w14:textId="77777777" w:rsidR="00544996" w:rsidRDefault="00544996" w:rsidP="00544996">
      <w:pPr>
        <w:rPr>
          <w:rFonts w:ascii="Arial" w:hAnsi="Arial" w:cs="Arial"/>
          <w:color w:val="808080"/>
          <w:sz w:val="20"/>
          <w:szCs w:val="20"/>
          <w:lang w:eastAsia="de-DE"/>
        </w:rPr>
      </w:pPr>
    </w:p>
    <w:p w14:paraId="24F7037A" w14:textId="77777777" w:rsidR="00544996" w:rsidRDefault="00544996" w:rsidP="00544996">
      <w:pPr>
        <w:rPr>
          <w:rFonts w:ascii="Arial" w:hAnsi="Arial" w:cs="Arial"/>
          <w:sz w:val="20"/>
          <w:szCs w:val="20"/>
          <w:lang w:eastAsia="de-DE"/>
        </w:rPr>
      </w:pPr>
      <w:r>
        <w:rPr>
          <w:rFonts w:ascii="Arial" w:hAnsi="Arial" w:cs="Arial"/>
          <w:color w:val="808080"/>
          <w:sz w:val="20"/>
          <w:szCs w:val="20"/>
          <w:lang w:eastAsia="de-DE"/>
        </w:rPr>
        <w:t>Bundesverband der Arzneimittel-Hersteller e.V.</w:t>
      </w:r>
    </w:p>
    <w:p w14:paraId="334D34E4" w14:textId="77777777" w:rsidR="00544996" w:rsidRDefault="00544996" w:rsidP="00544996">
      <w:pPr>
        <w:rPr>
          <w:rFonts w:ascii="Arial" w:hAnsi="Arial" w:cs="Arial"/>
          <w:color w:val="808080"/>
          <w:sz w:val="20"/>
          <w:szCs w:val="20"/>
          <w:lang w:eastAsia="de-DE"/>
        </w:rPr>
      </w:pPr>
      <w:r>
        <w:rPr>
          <w:rFonts w:ascii="Arial" w:hAnsi="Arial" w:cs="Arial"/>
          <w:color w:val="808080"/>
          <w:sz w:val="20"/>
          <w:szCs w:val="20"/>
          <w:lang w:eastAsia="de-DE"/>
        </w:rPr>
        <w:t>Geschäftsstelle Bonn</w:t>
      </w:r>
    </w:p>
    <w:p w14:paraId="33F2D2F0" w14:textId="77777777" w:rsidR="00544996" w:rsidRDefault="00544996" w:rsidP="00544996">
      <w:pPr>
        <w:rPr>
          <w:rFonts w:ascii="Arial" w:hAnsi="Arial" w:cs="Arial"/>
          <w:color w:val="808080"/>
          <w:sz w:val="20"/>
          <w:szCs w:val="20"/>
          <w:lang w:eastAsia="de-DE"/>
        </w:rPr>
      </w:pPr>
      <w:r>
        <w:rPr>
          <w:rFonts w:ascii="Arial" w:hAnsi="Arial" w:cs="Arial"/>
          <w:color w:val="808080"/>
          <w:sz w:val="20"/>
          <w:szCs w:val="20"/>
          <w:lang w:eastAsia="de-DE"/>
        </w:rPr>
        <w:t>Ubierstraße 71-73 | 53173 Bonn</w:t>
      </w:r>
      <w:r>
        <w:rPr>
          <w:rFonts w:ascii="Arial" w:hAnsi="Arial" w:cs="Arial"/>
          <w:color w:val="808080"/>
          <w:sz w:val="20"/>
          <w:szCs w:val="20"/>
          <w:lang w:eastAsia="de-DE"/>
        </w:rPr>
        <w:br/>
        <w:t>Tel.: 0228 / 95745-34</w:t>
      </w:r>
      <w:r>
        <w:rPr>
          <w:rFonts w:ascii="Arial" w:hAnsi="Arial" w:cs="Arial"/>
          <w:sz w:val="20"/>
          <w:szCs w:val="20"/>
          <w:lang w:eastAsia="de-DE"/>
        </w:rPr>
        <w:t xml:space="preserve"> |</w:t>
      </w:r>
      <w:r>
        <w:rPr>
          <w:rFonts w:ascii="Arial" w:hAnsi="Arial" w:cs="Arial"/>
          <w:color w:val="808080"/>
          <w:sz w:val="20"/>
          <w:szCs w:val="20"/>
          <w:lang w:eastAsia="de-DE"/>
        </w:rPr>
        <w:t xml:space="preserve"> Fax: 0228 / 95745-90</w:t>
      </w:r>
    </w:p>
    <w:p w14:paraId="05931F4D" w14:textId="77777777" w:rsidR="00544996" w:rsidRDefault="00544996" w:rsidP="00544996">
      <w:pPr>
        <w:rPr>
          <w:rFonts w:ascii="Arial" w:hAnsi="Arial" w:cs="Arial"/>
          <w:color w:val="808080"/>
          <w:sz w:val="20"/>
          <w:szCs w:val="20"/>
          <w:lang w:eastAsia="de-DE"/>
        </w:rPr>
      </w:pPr>
      <w:r>
        <w:rPr>
          <w:rFonts w:ascii="Arial" w:hAnsi="Arial" w:cs="Arial"/>
          <w:color w:val="808080"/>
          <w:sz w:val="20"/>
          <w:szCs w:val="20"/>
          <w:lang w:eastAsia="de-DE"/>
        </w:rPr>
        <w:t>Mobil: 0160 93441090</w:t>
      </w:r>
    </w:p>
    <w:p w14:paraId="782485D7" w14:textId="77777777" w:rsidR="00544996" w:rsidRDefault="00544996" w:rsidP="00544996">
      <w:pPr>
        <w:rPr>
          <w:rFonts w:ascii="Arial" w:hAnsi="Arial" w:cs="Arial"/>
          <w:color w:val="808080"/>
          <w:sz w:val="20"/>
          <w:szCs w:val="20"/>
          <w:lang w:eastAsia="de-DE"/>
        </w:rPr>
      </w:pPr>
      <w:r>
        <w:rPr>
          <w:rFonts w:ascii="Arial" w:hAnsi="Arial" w:cs="Arial"/>
          <w:color w:val="808080"/>
          <w:sz w:val="20"/>
          <w:szCs w:val="20"/>
          <w:lang w:eastAsia="de-DE"/>
        </w:rPr>
        <w:t xml:space="preserve">E-Mail: </w:t>
      </w:r>
      <w:hyperlink r:id="rId10" w:history="1">
        <w:r>
          <w:rPr>
            <w:rStyle w:val="Hyperlink"/>
            <w:rFonts w:ascii="Arial" w:hAnsi="Arial" w:cs="Arial"/>
            <w:sz w:val="20"/>
            <w:szCs w:val="20"/>
            <w:lang w:eastAsia="de-DE"/>
          </w:rPr>
          <w:t>allhenn@bah-bonn.de</w:t>
        </w:r>
      </w:hyperlink>
      <w:r>
        <w:rPr>
          <w:rFonts w:ascii="Arial" w:hAnsi="Arial" w:cs="Arial"/>
          <w:color w:val="808080"/>
          <w:sz w:val="20"/>
          <w:szCs w:val="20"/>
          <w:lang w:eastAsia="de-DE"/>
        </w:rPr>
        <w:t xml:space="preserve"> | Web: </w:t>
      </w:r>
      <w:hyperlink r:id="rId11" w:history="1">
        <w:r>
          <w:rPr>
            <w:rStyle w:val="Hyperlink"/>
            <w:rFonts w:ascii="Arial" w:hAnsi="Arial" w:cs="Arial"/>
            <w:sz w:val="20"/>
            <w:szCs w:val="20"/>
            <w:lang w:eastAsia="de-DE"/>
          </w:rPr>
          <w:t>www.bah-bonn.de</w:t>
        </w:r>
      </w:hyperlink>
      <w:r>
        <w:rPr>
          <w:rFonts w:ascii="Arial" w:hAnsi="Arial" w:cs="Arial"/>
          <w:color w:val="808080"/>
          <w:sz w:val="20"/>
          <w:szCs w:val="20"/>
          <w:lang w:eastAsia="de-DE"/>
        </w:rPr>
        <w:t xml:space="preserve"> </w:t>
      </w:r>
    </w:p>
    <w:p w14:paraId="2C2F8424" w14:textId="77777777" w:rsidR="00DD6480" w:rsidRDefault="00DD6480">
      <w:bookmarkStart w:id="0" w:name="_GoBack"/>
      <w:bookmarkEnd w:id="0"/>
    </w:p>
    <w:sectPr w:rsidR="00DD6480" w:rsidSect="000B3422">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996"/>
    <w:rsid w:val="000B3422"/>
    <w:rsid w:val="00346B2A"/>
    <w:rsid w:val="00544996"/>
    <w:rsid w:val="00DD6480"/>
    <w:rsid w:val="00DD7F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EEE5"/>
  <w15:chartTrackingRefBased/>
  <w15:docId w15:val="{00DEA041-A24F-4ABF-BF5F-5FECEB1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44996"/>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54499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19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Other/2017/01/WC500219500.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www.ema.europa.eu/docs/en_GB/document_library/Minutes/2017/08/WC500233051.pdf"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h-bonn.de/" TargetMode="External"/><Relationship Id="rId5" Type="http://schemas.openxmlformats.org/officeDocument/2006/relationships/settings" Target="settings.xml"/><Relationship Id="rId10" Type="http://schemas.openxmlformats.org/officeDocument/2006/relationships/hyperlink" Target="mailto:allhenn@bah-bonn.de" TargetMode="External"/><Relationship Id="rId4" Type="http://schemas.openxmlformats.org/officeDocument/2006/relationships/styles" Target="styles.xml"/><Relationship Id="rId9" Type="http://schemas.openxmlformats.org/officeDocument/2006/relationships/hyperlink" Target="http://www.ema.europa.eu/ema/index.jsp?curl=pages/news_and_events/events/2017/06/event_detail_001482.jsp&amp;mid=WC0b01ac058004d5c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8" ma:contentTypeDescription="Ein neues Dokument erstellen." ma:contentTypeScope="" ma:versionID="de9ed12ec28709fee5bf2560cf355e21">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22d5be2289ef60fe86cdbfa5142e0baa"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3E9DC2-99DF-4F82-A5D5-601E61FD4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5F28C-B9EB-4E0E-B6E7-30FDBC7B9BC7}">
  <ds:schemaRefs>
    <ds:schemaRef ds:uri="http://schemas.microsoft.com/sharepoint/v3/contenttype/forms"/>
  </ds:schemaRefs>
</ds:datastoreItem>
</file>

<file path=customXml/itemProps3.xml><?xml version="1.0" encoding="utf-8"?>
<ds:datastoreItem xmlns:ds="http://schemas.openxmlformats.org/officeDocument/2006/customXml" ds:itemID="{7216C630-F7A6-4FBC-8219-3E0897F8815B}">
  <ds:schemaRefs>
    <ds:schemaRef ds:uri="http://purl.org/dc/elements/1.1/"/>
    <ds:schemaRef ds:uri="http://schemas.microsoft.com/office/infopath/2007/PartnerControls"/>
    <ds:schemaRef ds:uri="dd687069-60a6-416c-a646-6546b9e245e1"/>
    <ds:schemaRef ds:uri="http://purl.org/dc/dcmitype/"/>
    <ds:schemaRef ds:uri="http://schemas.microsoft.com/office/2006/documentManagement/types"/>
    <ds:schemaRef ds:uri="http://schemas.openxmlformats.org/package/2006/metadata/core-properties"/>
    <ds:schemaRef ds:uri="http://purl.org/dc/terms/"/>
    <ds:schemaRef ds:uri="8cea201b-f78e-4710-bb37-675106f3d11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1239</Words>
  <Characters>7809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2017-11-10T08:24:00Z</dcterms:created>
  <dcterms:modified xsi:type="dcterms:W3CDTF">2017-11-10T08:25:00Z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