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0FDF7" w14:textId="2177C76A" w:rsidR="00323AA2" w:rsidRDefault="00EA3FCE" w:rsidP="0078138B">
      <w:pPr>
        <w:widowControl w:val="0"/>
        <w:jc w:val="center"/>
        <w:rPr>
          <w:b/>
          <w:sz w:val="40"/>
          <w:u w:val="single"/>
        </w:rPr>
      </w:pPr>
      <w:r>
        <w:rPr>
          <w:b/>
          <w:sz w:val="40"/>
          <w:u w:val="single"/>
        </w:rPr>
        <w:t xml:space="preserve">KW </w:t>
      </w:r>
      <w:r w:rsidR="004F5953">
        <w:rPr>
          <w:b/>
          <w:sz w:val="40"/>
          <w:u w:val="single"/>
        </w:rPr>
        <w:t>3</w:t>
      </w:r>
      <w:r w:rsidR="00CE4CAA">
        <w:rPr>
          <w:b/>
          <w:sz w:val="40"/>
          <w:u w:val="single"/>
        </w:rPr>
        <w:t>8</w:t>
      </w:r>
      <w:r w:rsidR="008357B1">
        <w:rPr>
          <w:b/>
          <w:sz w:val="40"/>
          <w:u w:val="single"/>
        </w:rPr>
        <w:t xml:space="preserve"> </w:t>
      </w:r>
      <w:r w:rsidR="00323AA2">
        <w:rPr>
          <w:b/>
          <w:sz w:val="40"/>
          <w:u w:val="single"/>
        </w:rPr>
        <w:t>/</w:t>
      </w:r>
      <w:r>
        <w:rPr>
          <w:b/>
          <w:sz w:val="40"/>
          <w:u w:val="single"/>
        </w:rPr>
        <w:t xml:space="preserve"> </w:t>
      </w:r>
      <w:r w:rsidR="00323AA2">
        <w:rPr>
          <w:b/>
          <w:sz w:val="40"/>
          <w:u w:val="single"/>
        </w:rPr>
        <w:t>20</w:t>
      </w:r>
      <w:r>
        <w:rPr>
          <w:b/>
          <w:sz w:val="40"/>
          <w:u w:val="single"/>
        </w:rPr>
        <w:t>1</w:t>
      </w:r>
      <w:r w:rsidR="00302A72">
        <w:rPr>
          <w:b/>
          <w:sz w:val="40"/>
          <w:u w:val="single"/>
        </w:rPr>
        <w:t>7</w:t>
      </w:r>
    </w:p>
    <w:p w14:paraId="1F10FDF8" w14:textId="01750074" w:rsidR="00323AA2" w:rsidRDefault="00CE4CAA" w:rsidP="00FD1E1D">
      <w:pPr>
        <w:pStyle w:val="Bezugszeichentext"/>
        <w:widowControl w:val="0"/>
        <w:jc w:val="center"/>
        <w:rPr>
          <w:sz w:val="32"/>
        </w:rPr>
      </w:pPr>
      <w:r>
        <w:rPr>
          <w:sz w:val="32"/>
        </w:rPr>
        <w:t>25</w:t>
      </w:r>
      <w:r w:rsidR="003305D7">
        <w:rPr>
          <w:sz w:val="32"/>
        </w:rPr>
        <w:t>.09</w:t>
      </w:r>
      <w:r w:rsidR="00E971DA">
        <w:rPr>
          <w:sz w:val="32"/>
        </w:rPr>
        <w:t>.201</w:t>
      </w:r>
      <w:r w:rsidR="00302A72">
        <w:rPr>
          <w:sz w:val="32"/>
        </w:rPr>
        <w:t>7</w:t>
      </w:r>
    </w:p>
    <w:p w14:paraId="2C58E979" w14:textId="77777777" w:rsidR="00D2454C" w:rsidRDefault="00D2454C" w:rsidP="00FD1E1D">
      <w:pPr>
        <w:pStyle w:val="Bezugszeichentext"/>
        <w:widowControl w:val="0"/>
        <w:jc w:val="center"/>
        <w:rPr>
          <w:sz w:val="32"/>
        </w:rPr>
      </w:pPr>
    </w:p>
    <w:p w14:paraId="1F10FDFB" w14:textId="77777777" w:rsidR="00E5661B" w:rsidRDefault="00EA3FCE" w:rsidP="00F763DB">
      <w:pPr>
        <w:spacing w:before="120"/>
        <w:jc w:val="center"/>
        <w:rPr>
          <w:rFonts w:cs="Arial"/>
          <w:b/>
          <w:bCs/>
          <w:sz w:val="28"/>
          <w:szCs w:val="28"/>
        </w:rPr>
      </w:pPr>
      <w:r w:rsidRPr="00EA3FCE">
        <w:rPr>
          <w:rFonts w:cs="Arial"/>
          <w:b/>
          <w:bCs/>
          <w:sz w:val="28"/>
          <w:szCs w:val="28"/>
        </w:rPr>
        <w:t>Neuigkeiten aus dem Bereich Pharmakovigilanz</w:t>
      </w:r>
    </w:p>
    <w:p w14:paraId="1F10FDFC" w14:textId="77777777" w:rsidR="00EA3FCE" w:rsidRDefault="007744D6" w:rsidP="00576E2D">
      <w:pPr>
        <w:jc w:val="center"/>
        <w:rPr>
          <w:rFonts w:cs="Arial"/>
          <w:b/>
          <w:bCs/>
          <w:sz w:val="28"/>
          <w:szCs w:val="28"/>
        </w:rPr>
      </w:pPr>
      <w:r>
        <w:rPr>
          <w:rFonts w:cs="Arial"/>
          <w:b/>
          <w:bCs/>
          <w:sz w:val="28"/>
          <w:szCs w:val="28"/>
        </w:rPr>
        <w:t>–</w:t>
      </w:r>
      <w:r w:rsidR="00EA3FCE" w:rsidRPr="00EA3FCE">
        <w:rPr>
          <w:rFonts w:cs="Arial"/>
          <w:b/>
          <w:bCs/>
          <w:sz w:val="28"/>
          <w:szCs w:val="28"/>
        </w:rPr>
        <w:t xml:space="preserve"> Auf einen Blick </w:t>
      </w:r>
      <w:r>
        <w:rPr>
          <w:rFonts w:cs="Arial"/>
          <w:b/>
          <w:bCs/>
          <w:sz w:val="28"/>
          <w:szCs w:val="28"/>
        </w:rPr>
        <w:t>–</w:t>
      </w:r>
    </w:p>
    <w:p w14:paraId="5C8341F6" w14:textId="77777777" w:rsidR="00111A1A" w:rsidRDefault="00111A1A" w:rsidP="008E0FA4">
      <w:pPr>
        <w:ind w:right="-1567"/>
        <w:jc w:val="center"/>
        <w:rPr>
          <w:rFonts w:cs="Arial"/>
          <w:b/>
          <w:bCs/>
          <w:sz w:val="28"/>
          <w:szCs w:val="28"/>
        </w:rPr>
      </w:pPr>
    </w:p>
    <w:p w14:paraId="79030F1F" w14:textId="77777777" w:rsidR="00100449" w:rsidRDefault="00100449" w:rsidP="008E0FA4">
      <w:pPr>
        <w:ind w:right="-1567"/>
        <w:jc w:val="center"/>
        <w:rPr>
          <w:rFonts w:cs="Arial"/>
          <w:b/>
          <w:bCs/>
          <w:sz w:val="28"/>
          <w:szCs w:val="28"/>
        </w:rPr>
      </w:pPr>
    </w:p>
    <w:p w14:paraId="37123820" w14:textId="77777777" w:rsidR="007207F1" w:rsidRDefault="007207F1" w:rsidP="008E0FA4">
      <w:pPr>
        <w:ind w:right="-1567"/>
        <w:jc w:val="center"/>
        <w:rPr>
          <w:rFonts w:cs="Arial"/>
          <w:b/>
          <w:bCs/>
          <w:sz w:val="28"/>
          <w:szCs w:val="28"/>
        </w:rPr>
      </w:pPr>
    </w:p>
    <w:p w14:paraId="6866E076" w14:textId="116616EB" w:rsidR="00DC0AC2" w:rsidRDefault="00DC0AC2" w:rsidP="008E0FA4">
      <w:pPr>
        <w:ind w:right="-1567"/>
        <w:jc w:val="center"/>
        <w:rPr>
          <w:rFonts w:cs="Arial"/>
          <w:b/>
          <w:bCs/>
          <w:sz w:val="28"/>
          <w:szCs w:val="28"/>
        </w:rPr>
      </w:pPr>
    </w:p>
    <w:p w14:paraId="3A275148" w14:textId="77777777" w:rsidR="00DC0AC2" w:rsidRDefault="00DC0AC2" w:rsidP="008E0FA4">
      <w:pPr>
        <w:ind w:right="-1567"/>
        <w:jc w:val="center"/>
        <w:rPr>
          <w:rFonts w:cs="Arial"/>
          <w:b/>
          <w:bCs/>
          <w:sz w:val="28"/>
          <w:szCs w:val="28"/>
        </w:rPr>
      </w:pPr>
    </w:p>
    <w:p w14:paraId="7D40FAD6" w14:textId="77777777" w:rsidR="00EA4B66" w:rsidRDefault="00EA4B66" w:rsidP="008E0FA4">
      <w:pPr>
        <w:ind w:right="-1567"/>
        <w:jc w:val="center"/>
        <w:rPr>
          <w:rFonts w:cs="Arial"/>
          <w:b/>
          <w:bCs/>
          <w:sz w:val="28"/>
          <w:szCs w:val="28"/>
        </w:rPr>
      </w:pPr>
    </w:p>
    <w:p w14:paraId="10632034" w14:textId="77777777" w:rsidR="00E2217C" w:rsidRPr="00E32BFC" w:rsidRDefault="00E2217C" w:rsidP="008E0FA4">
      <w:pPr>
        <w:ind w:right="-1567"/>
        <w:jc w:val="center"/>
        <w:rPr>
          <w:rFonts w:cs="Arial"/>
          <w:b/>
          <w:bCs/>
          <w:sz w:val="28"/>
          <w:szCs w:val="28"/>
        </w:rPr>
      </w:pPr>
    </w:p>
    <w:p w14:paraId="05E1E339" w14:textId="77777777" w:rsidR="00CE4CAA" w:rsidRDefault="008E0FA4">
      <w:pPr>
        <w:pStyle w:val="Verzeichnis1"/>
        <w:rPr>
          <w:rFonts w:asciiTheme="minorHAnsi" w:eastAsiaTheme="minorEastAsia" w:hAnsiTheme="minorHAnsi" w:cstheme="minorBidi"/>
          <w:b w:val="0"/>
          <w:sz w:val="22"/>
          <w:szCs w:val="22"/>
        </w:rPr>
      </w:pPr>
      <w:r w:rsidRPr="003A3DCF">
        <w:rPr>
          <w:i/>
        </w:rPr>
        <w:fldChar w:fldCharType="begin"/>
      </w:r>
      <w:r w:rsidRPr="003A3DCF">
        <w:instrText xml:space="preserve"> TOC \o "1-1" \n \h \z \u </w:instrText>
      </w:r>
      <w:r w:rsidRPr="003A3DCF">
        <w:rPr>
          <w:i/>
        </w:rPr>
        <w:fldChar w:fldCharType="separate"/>
      </w:r>
      <w:hyperlink w:anchor="_Toc494106242" w:history="1">
        <w:r w:rsidR="00CE4CAA" w:rsidRPr="006C6528">
          <w:rPr>
            <w:rStyle w:val="Hyperlink"/>
          </w:rPr>
          <w:t>1.</w:t>
        </w:r>
        <w:r w:rsidR="00CE4CAA">
          <w:rPr>
            <w:rFonts w:asciiTheme="minorHAnsi" w:eastAsiaTheme="minorEastAsia" w:hAnsiTheme="minorHAnsi" w:cstheme="minorBidi"/>
            <w:b w:val="0"/>
            <w:sz w:val="22"/>
            <w:szCs w:val="22"/>
          </w:rPr>
          <w:tab/>
        </w:r>
        <w:r w:rsidR="00CE4CAA" w:rsidRPr="006C6528">
          <w:rPr>
            <w:rStyle w:val="Hyperlink"/>
          </w:rPr>
          <w:t>CMDh:</w:t>
        </w:r>
      </w:hyperlink>
    </w:p>
    <w:p w14:paraId="45D6C717" w14:textId="0693CE8F" w:rsidR="00CE4CAA" w:rsidRDefault="00CE4CAA">
      <w:pPr>
        <w:pStyle w:val="Verzeichnis1"/>
        <w:rPr>
          <w:rStyle w:val="Hyperlink"/>
        </w:rPr>
      </w:pPr>
      <w:r>
        <w:rPr>
          <w:rStyle w:val="Hyperlink"/>
          <w:u w:val="none"/>
        </w:rPr>
        <w:tab/>
      </w:r>
      <w:hyperlink w:anchor="_Toc494106243" w:history="1">
        <w:r w:rsidRPr="006C6528">
          <w:rPr>
            <w:rStyle w:val="Hyperlink"/>
          </w:rPr>
          <w:t>Bericht vom September-Meeting</w:t>
        </w:r>
      </w:hyperlink>
    </w:p>
    <w:p w14:paraId="0FAFD518" w14:textId="77777777" w:rsidR="00CE4CAA" w:rsidRPr="00CE4CAA" w:rsidRDefault="00CE4CAA" w:rsidP="00CE4CAA">
      <w:pPr>
        <w:rPr>
          <w:rFonts w:eastAsiaTheme="minorEastAsia"/>
        </w:rPr>
      </w:pPr>
    </w:p>
    <w:p w14:paraId="5BA09ED6" w14:textId="77777777" w:rsidR="00CE4CAA" w:rsidRDefault="00802D59">
      <w:pPr>
        <w:pStyle w:val="Verzeichnis1"/>
        <w:rPr>
          <w:rFonts w:asciiTheme="minorHAnsi" w:eastAsiaTheme="minorEastAsia" w:hAnsiTheme="minorHAnsi" w:cstheme="minorBidi"/>
          <w:b w:val="0"/>
          <w:sz w:val="22"/>
          <w:szCs w:val="22"/>
        </w:rPr>
      </w:pPr>
      <w:hyperlink w:anchor="_Toc494106244" w:history="1">
        <w:r w:rsidR="00CE4CAA" w:rsidRPr="006C6528">
          <w:rPr>
            <w:rStyle w:val="Hyperlink"/>
          </w:rPr>
          <w:t>2.</w:t>
        </w:r>
        <w:r w:rsidR="00CE4CAA">
          <w:rPr>
            <w:rFonts w:asciiTheme="minorHAnsi" w:eastAsiaTheme="minorEastAsia" w:hAnsiTheme="minorHAnsi" w:cstheme="minorBidi"/>
            <w:b w:val="0"/>
            <w:sz w:val="22"/>
            <w:szCs w:val="22"/>
          </w:rPr>
          <w:tab/>
        </w:r>
        <w:r w:rsidR="00CE4CAA" w:rsidRPr="006C6528">
          <w:rPr>
            <w:rStyle w:val="Hyperlink"/>
          </w:rPr>
          <w:t>EMA:</w:t>
        </w:r>
      </w:hyperlink>
    </w:p>
    <w:p w14:paraId="3BFA5DA5" w14:textId="6F680908" w:rsidR="00CE4CAA" w:rsidRDefault="00CE4CAA">
      <w:pPr>
        <w:pStyle w:val="Verzeichnis1"/>
        <w:rPr>
          <w:rStyle w:val="Hyperlink"/>
        </w:rPr>
      </w:pPr>
      <w:r>
        <w:rPr>
          <w:rStyle w:val="Hyperlink"/>
          <w:u w:val="none"/>
        </w:rPr>
        <w:tab/>
      </w:r>
      <w:hyperlink w:anchor="_Toc494106245" w:history="1">
        <w:r w:rsidRPr="006C6528">
          <w:rPr>
            <w:rStyle w:val="Hyperlink"/>
          </w:rPr>
          <w:t>PSUR Single Assessment für national zugelassene Produkte</w:t>
        </w:r>
      </w:hyperlink>
    </w:p>
    <w:p w14:paraId="5F12D37B" w14:textId="77777777" w:rsidR="00CE4CAA" w:rsidRPr="00CE4CAA" w:rsidRDefault="00CE4CAA" w:rsidP="00CE4CAA">
      <w:pPr>
        <w:rPr>
          <w:rFonts w:eastAsiaTheme="minorEastAsia"/>
        </w:rPr>
      </w:pPr>
    </w:p>
    <w:p w14:paraId="0EE75DFC" w14:textId="77777777" w:rsidR="00CE4CAA" w:rsidRDefault="00802D59">
      <w:pPr>
        <w:pStyle w:val="Verzeichnis1"/>
        <w:rPr>
          <w:rFonts w:asciiTheme="minorHAnsi" w:eastAsiaTheme="minorEastAsia" w:hAnsiTheme="minorHAnsi" w:cstheme="minorBidi"/>
          <w:b w:val="0"/>
          <w:sz w:val="22"/>
          <w:szCs w:val="22"/>
        </w:rPr>
      </w:pPr>
      <w:hyperlink w:anchor="_Toc494106246" w:history="1">
        <w:r w:rsidR="00CE4CAA" w:rsidRPr="006C6528">
          <w:rPr>
            <w:rStyle w:val="Hyperlink"/>
          </w:rPr>
          <w:t>3.</w:t>
        </w:r>
        <w:r w:rsidR="00CE4CAA">
          <w:rPr>
            <w:rFonts w:asciiTheme="minorHAnsi" w:eastAsiaTheme="minorEastAsia" w:hAnsiTheme="minorHAnsi" w:cstheme="minorBidi"/>
            <w:b w:val="0"/>
            <w:sz w:val="22"/>
            <w:szCs w:val="22"/>
          </w:rPr>
          <w:tab/>
        </w:r>
        <w:r w:rsidR="00CE4CAA" w:rsidRPr="006C6528">
          <w:rPr>
            <w:rStyle w:val="Hyperlink"/>
          </w:rPr>
          <w:t>EMA</w:t>
        </w:r>
        <w:r w:rsidR="00CE4CAA" w:rsidRPr="006C6528">
          <w:rPr>
            <w:rStyle w:val="Hyperlink"/>
            <w:lang w:val="en-US"/>
          </w:rPr>
          <w:t>:</w:t>
        </w:r>
      </w:hyperlink>
    </w:p>
    <w:p w14:paraId="5D0D3442" w14:textId="052F63E2" w:rsidR="00CE4CAA" w:rsidRDefault="00CE4CAA">
      <w:pPr>
        <w:pStyle w:val="Verzeichnis1"/>
        <w:rPr>
          <w:rStyle w:val="Hyperlink"/>
        </w:rPr>
      </w:pPr>
      <w:r>
        <w:rPr>
          <w:rStyle w:val="Hyperlink"/>
          <w:u w:val="none"/>
        </w:rPr>
        <w:tab/>
      </w:r>
      <w:hyperlink w:anchor="_Toc494106247" w:history="1">
        <w:r w:rsidRPr="006C6528">
          <w:rPr>
            <w:rStyle w:val="Hyperlink"/>
            <w:lang w:val="en-US"/>
          </w:rPr>
          <w:t>Bericht vom „11th industry stakeholder platform meeting– operation of EU pharmacovigilance”</w:t>
        </w:r>
      </w:hyperlink>
    </w:p>
    <w:p w14:paraId="7047F55D" w14:textId="77777777" w:rsidR="00CE4CAA" w:rsidRPr="00CE4CAA" w:rsidRDefault="00CE4CAA" w:rsidP="00CE4CAA">
      <w:pPr>
        <w:rPr>
          <w:rFonts w:eastAsiaTheme="minorEastAsia"/>
        </w:rPr>
      </w:pPr>
    </w:p>
    <w:p w14:paraId="5E9AAC27" w14:textId="77777777" w:rsidR="00CE4CAA" w:rsidRDefault="00802D59">
      <w:pPr>
        <w:pStyle w:val="Verzeichnis1"/>
        <w:rPr>
          <w:rFonts w:asciiTheme="minorHAnsi" w:eastAsiaTheme="minorEastAsia" w:hAnsiTheme="minorHAnsi" w:cstheme="minorBidi"/>
          <w:b w:val="0"/>
          <w:sz w:val="22"/>
          <w:szCs w:val="22"/>
        </w:rPr>
      </w:pPr>
      <w:hyperlink w:anchor="_Toc494106248" w:history="1">
        <w:r w:rsidR="00CE4CAA" w:rsidRPr="006C6528">
          <w:rPr>
            <w:rStyle w:val="Hyperlink"/>
          </w:rPr>
          <w:t>4.</w:t>
        </w:r>
        <w:r w:rsidR="00CE4CAA">
          <w:rPr>
            <w:rFonts w:asciiTheme="minorHAnsi" w:eastAsiaTheme="minorEastAsia" w:hAnsiTheme="minorHAnsi" w:cstheme="minorBidi"/>
            <w:b w:val="0"/>
            <w:sz w:val="22"/>
            <w:szCs w:val="22"/>
          </w:rPr>
          <w:tab/>
        </w:r>
        <w:r w:rsidR="00CE4CAA" w:rsidRPr="006C6528">
          <w:rPr>
            <w:rStyle w:val="Hyperlink"/>
          </w:rPr>
          <w:t>EMA:</w:t>
        </w:r>
      </w:hyperlink>
    </w:p>
    <w:p w14:paraId="6ECB4EC0" w14:textId="06177ED7" w:rsidR="00CE4CAA" w:rsidRDefault="00CE4CAA">
      <w:pPr>
        <w:pStyle w:val="Verzeichnis1"/>
        <w:rPr>
          <w:rStyle w:val="Hyperlink"/>
        </w:rPr>
      </w:pPr>
      <w:r>
        <w:rPr>
          <w:rStyle w:val="Hyperlink"/>
          <w:u w:val="none"/>
        </w:rPr>
        <w:tab/>
      </w:r>
      <w:hyperlink w:anchor="_Toc494106249" w:history="1">
        <w:r w:rsidRPr="006C6528">
          <w:rPr>
            <w:rStyle w:val="Hyperlink"/>
          </w:rPr>
          <w:t>PRAC Meeting Minutes vom Juli 2017 veröffentlicht</w:t>
        </w:r>
      </w:hyperlink>
    </w:p>
    <w:p w14:paraId="139CEF44" w14:textId="77777777" w:rsidR="00CE4CAA" w:rsidRPr="00CE4CAA" w:rsidRDefault="00CE4CAA" w:rsidP="00CE4CAA">
      <w:pPr>
        <w:rPr>
          <w:rFonts w:eastAsiaTheme="minorEastAsia"/>
        </w:rPr>
      </w:pPr>
    </w:p>
    <w:p w14:paraId="0898FBE3" w14:textId="77777777" w:rsidR="00CE4CAA" w:rsidRDefault="00802D59">
      <w:pPr>
        <w:pStyle w:val="Verzeichnis1"/>
        <w:rPr>
          <w:rFonts w:asciiTheme="minorHAnsi" w:eastAsiaTheme="minorEastAsia" w:hAnsiTheme="minorHAnsi" w:cstheme="minorBidi"/>
          <w:b w:val="0"/>
          <w:sz w:val="22"/>
          <w:szCs w:val="22"/>
        </w:rPr>
      </w:pPr>
      <w:hyperlink w:anchor="_Toc494106250" w:history="1">
        <w:r w:rsidR="00CE4CAA" w:rsidRPr="006C6528">
          <w:rPr>
            <w:rStyle w:val="Hyperlink"/>
          </w:rPr>
          <w:t>5.</w:t>
        </w:r>
        <w:r w:rsidR="00CE4CAA">
          <w:rPr>
            <w:rFonts w:asciiTheme="minorHAnsi" w:eastAsiaTheme="minorEastAsia" w:hAnsiTheme="minorHAnsi" w:cstheme="minorBidi"/>
            <w:b w:val="0"/>
            <w:sz w:val="22"/>
            <w:szCs w:val="22"/>
          </w:rPr>
          <w:tab/>
        </w:r>
        <w:r w:rsidR="00CE4CAA" w:rsidRPr="006C6528">
          <w:rPr>
            <w:rStyle w:val="Hyperlink"/>
          </w:rPr>
          <w:t>BfArM/PEI:</w:t>
        </w:r>
      </w:hyperlink>
    </w:p>
    <w:p w14:paraId="7003E8BC" w14:textId="4E69B840" w:rsidR="00CE4CAA" w:rsidRDefault="00CE4CAA">
      <w:pPr>
        <w:pStyle w:val="Verzeichnis1"/>
        <w:rPr>
          <w:rFonts w:asciiTheme="minorHAnsi" w:eastAsiaTheme="minorEastAsia" w:hAnsiTheme="minorHAnsi" w:cstheme="minorBidi"/>
          <w:b w:val="0"/>
          <w:sz w:val="22"/>
          <w:szCs w:val="22"/>
        </w:rPr>
      </w:pPr>
      <w:r>
        <w:rPr>
          <w:rStyle w:val="Hyperlink"/>
          <w:u w:val="none"/>
        </w:rPr>
        <w:tab/>
      </w:r>
      <w:hyperlink w:anchor="_Toc494106251" w:history="1">
        <w:r w:rsidRPr="006C6528">
          <w:rPr>
            <w:rStyle w:val="Hyperlink"/>
          </w:rPr>
          <w:t>Bulletin zur Arzneimittelsicherheit Ausgabe 3 – September 2017 veröffentlicht</w:t>
        </w:r>
      </w:hyperlink>
    </w:p>
    <w:p w14:paraId="1F10FE17" w14:textId="251C078F" w:rsidR="0072457F" w:rsidRPr="004A75DC" w:rsidRDefault="008E0FA4" w:rsidP="003A3DCF">
      <w:pPr>
        <w:pStyle w:val="berschrift1"/>
        <w:numPr>
          <w:ilvl w:val="0"/>
          <w:numId w:val="0"/>
        </w:numPr>
        <w:ind w:left="720"/>
      </w:pPr>
      <w:r w:rsidRPr="003A3DCF">
        <w:fldChar w:fldCharType="end"/>
      </w:r>
      <w:r w:rsidR="0025505E" w:rsidRPr="004D665D">
        <w:br w:type="column"/>
      </w:r>
      <w:bookmarkStart w:id="0" w:name="_Toc480804515"/>
      <w:bookmarkEnd w:id="0"/>
    </w:p>
    <w:p w14:paraId="5F41DCD7" w14:textId="553FD9A2" w:rsidR="00124B0B" w:rsidRPr="00124B0B" w:rsidRDefault="00CE4CAA" w:rsidP="003A3DCF">
      <w:pPr>
        <w:pStyle w:val="berschrift1"/>
      </w:pPr>
      <w:bookmarkStart w:id="1" w:name="_Toc494106242"/>
      <w:bookmarkStart w:id="2" w:name="_Toc431550884"/>
      <w:bookmarkStart w:id="3" w:name="_Toc434577574"/>
      <w:r>
        <w:t>CMDh</w:t>
      </w:r>
      <w:r w:rsidR="004A75DC" w:rsidRPr="00124B0B">
        <w:t>:</w:t>
      </w:r>
      <w:bookmarkEnd w:id="1"/>
    </w:p>
    <w:p w14:paraId="38A2E7A4" w14:textId="2E758FD8" w:rsidR="00B96AA6" w:rsidRPr="00E17C90" w:rsidRDefault="00CE4CAA" w:rsidP="003A3DCF">
      <w:pPr>
        <w:pStyle w:val="berschrift1"/>
        <w:numPr>
          <w:ilvl w:val="0"/>
          <w:numId w:val="0"/>
        </w:numPr>
        <w:ind w:left="720" w:hanging="294"/>
      </w:pPr>
      <w:bookmarkStart w:id="4" w:name="_Toc494106243"/>
      <w:r w:rsidRPr="00CE4CAA">
        <w:t>Bericht vom September-Meeting</w:t>
      </w:r>
      <w:bookmarkEnd w:id="4"/>
      <w:r w:rsidRPr="00CE4CAA">
        <w:t xml:space="preserve"> </w:t>
      </w:r>
    </w:p>
    <w:p w14:paraId="1F10FE19" w14:textId="5C9D592A" w:rsidR="00EC5D97" w:rsidRPr="00E26A1A" w:rsidRDefault="00EC5D97" w:rsidP="00746684">
      <w:pPr>
        <w:spacing w:line="276" w:lineRule="auto"/>
        <w:rPr>
          <w:szCs w:val="24"/>
        </w:rPr>
      </w:pPr>
      <w:r w:rsidRPr="00E26A1A">
        <w:rPr>
          <w:szCs w:val="24"/>
        </w:rPr>
        <w:t>___________________________________________________________</w:t>
      </w:r>
    </w:p>
    <w:p w14:paraId="0A018F0C" w14:textId="77777777" w:rsidR="00E17C90" w:rsidRDefault="00E17C90" w:rsidP="009E0DFC">
      <w:pPr>
        <w:spacing w:line="276" w:lineRule="auto"/>
        <w:rPr>
          <w:szCs w:val="24"/>
        </w:rPr>
      </w:pPr>
    </w:p>
    <w:p w14:paraId="25D4B52A" w14:textId="2CD30BAF" w:rsidR="00CE4CAA" w:rsidRPr="00CE4CAA" w:rsidRDefault="00CE4CAA" w:rsidP="00CE4CAA">
      <w:pPr>
        <w:spacing w:line="276" w:lineRule="auto"/>
        <w:rPr>
          <w:rFonts w:cs="Arial"/>
          <w:szCs w:val="24"/>
        </w:rPr>
      </w:pPr>
      <w:r w:rsidRPr="00CE4CAA">
        <w:rPr>
          <w:rFonts w:cs="Arial"/>
          <w:szCs w:val="24"/>
        </w:rPr>
        <w:t xml:space="preserve">Die „Co-ordination Group for Mutual Recognition and Decentralised Procedures - human“, CMDh, hat den </w:t>
      </w:r>
      <w:hyperlink r:id="rId11" w:history="1">
        <w:r w:rsidRPr="00CE4CAA">
          <w:rPr>
            <w:rStyle w:val="Hyperlink"/>
            <w:rFonts w:cs="Arial"/>
            <w:szCs w:val="24"/>
          </w:rPr>
          <w:t>Kurzbericht</w:t>
        </w:r>
      </w:hyperlink>
      <w:r w:rsidRPr="00CE4CAA">
        <w:rPr>
          <w:rFonts w:cs="Arial"/>
          <w:szCs w:val="24"/>
        </w:rPr>
        <w:t xml:space="preserve"> über ihre letzte Sitzung veröffentlicht, die vom 11. bis 13. September 2017 stattfand. Über die wichtigsten Ergebnisse wird nachfolgend berichtet.</w:t>
      </w:r>
    </w:p>
    <w:p w14:paraId="6C36DFA7" w14:textId="77777777" w:rsidR="00CE4CAA" w:rsidRPr="00CE4CAA" w:rsidRDefault="00CE4CAA" w:rsidP="00CE4CAA">
      <w:pPr>
        <w:spacing w:line="276" w:lineRule="auto"/>
        <w:rPr>
          <w:rFonts w:cs="Arial"/>
          <w:szCs w:val="24"/>
        </w:rPr>
      </w:pPr>
    </w:p>
    <w:p w14:paraId="102EE9E1" w14:textId="77777777" w:rsidR="00CE4CAA" w:rsidRPr="00CE4CAA" w:rsidRDefault="00CE4CAA" w:rsidP="00CE4CAA">
      <w:pPr>
        <w:spacing w:line="276" w:lineRule="auto"/>
        <w:rPr>
          <w:rFonts w:cs="Arial"/>
          <w:b/>
          <w:szCs w:val="24"/>
        </w:rPr>
      </w:pPr>
      <w:r w:rsidRPr="00CE4CAA">
        <w:rPr>
          <w:rFonts w:cs="Arial"/>
          <w:b/>
          <w:szCs w:val="24"/>
        </w:rPr>
        <w:t>CMDh Positionen im Anschluss an PSUR Single Assessment (PSUSA) Verfahren für national zugelassene Produkte</w:t>
      </w:r>
    </w:p>
    <w:p w14:paraId="72CF18E7" w14:textId="77777777" w:rsidR="00CE4CAA" w:rsidRPr="00CE4CAA" w:rsidRDefault="00CE4CAA" w:rsidP="00CE4CAA">
      <w:pPr>
        <w:spacing w:line="276" w:lineRule="auto"/>
        <w:rPr>
          <w:rFonts w:cs="Arial"/>
          <w:szCs w:val="24"/>
        </w:rPr>
      </w:pPr>
      <w:r w:rsidRPr="00CE4CAA">
        <w:rPr>
          <w:rFonts w:cs="Arial"/>
          <w:szCs w:val="24"/>
        </w:rPr>
        <w:t>Als PSUR Single Assessment (PSUSA) wird das Verfahren der einheitlichen Beurteilung von PSURs (Periodic safety update reports) zu Wirkstoffen, die auf der zentralen Liste EURD-Liste stehen, bezeichnet. In PSUR-Bewertungsverfahren zu Wirkstoffen mit ausschließlich nationalen Zulassungen (auch MRP und DCP) wird von Seiten des Ausschusses für Risikobewertung (PRAC) eine wissenschaftliche Bewertung und Empfehlung an die Koordinierungsgruppe (CMDh) gegeben. Die CMDh trifft darauf basierend eine Entscheidung hinsichtlich der umzusetzenden Maßnahmen. Die Ergebnisse der Entscheidungen der Koordinierungsgruppe werden auf der Webseite der EMA veröffentlicht.</w:t>
      </w:r>
    </w:p>
    <w:p w14:paraId="0DFB50A7" w14:textId="77777777" w:rsidR="00CE4CAA" w:rsidRPr="00CE4CAA" w:rsidRDefault="00CE4CAA" w:rsidP="00CE4CAA">
      <w:pPr>
        <w:spacing w:line="276" w:lineRule="auto"/>
        <w:rPr>
          <w:rFonts w:cs="Arial"/>
          <w:szCs w:val="24"/>
        </w:rPr>
      </w:pPr>
      <w:r w:rsidRPr="00CE4CAA">
        <w:rPr>
          <w:rFonts w:cs="Arial"/>
          <w:szCs w:val="24"/>
        </w:rPr>
        <w:t>Die CMDh stimmte im Konsens den Empfehlungen des PRAC bezüglich des PSUR Single Assessments (PSUSA) zu folgenden Wirkstoffen zu:</w:t>
      </w:r>
    </w:p>
    <w:p w14:paraId="7D51DE85" w14:textId="77777777" w:rsidR="00CE4CAA" w:rsidRPr="00CE4CAA" w:rsidRDefault="00CE4CAA" w:rsidP="00CE4CAA">
      <w:pPr>
        <w:spacing w:line="276" w:lineRule="auto"/>
        <w:rPr>
          <w:rFonts w:cs="Arial"/>
          <w:szCs w:val="24"/>
        </w:rPr>
      </w:pPr>
    </w:p>
    <w:p w14:paraId="48D29BF0"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allopurinol </w:t>
      </w:r>
    </w:p>
    <w:p w14:paraId="52B51756"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bacillus clausii multi-antibioresistant spores </w:t>
      </w:r>
    </w:p>
    <w:p w14:paraId="084D0D38"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bendamustine hydrochloride  </w:t>
      </w:r>
    </w:p>
    <w:p w14:paraId="0F00E20E"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chlormadinone </w:t>
      </w:r>
    </w:p>
    <w:p w14:paraId="2FECFC38"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dexlansoprazole, lansoprazole </w:t>
      </w:r>
    </w:p>
    <w:p w14:paraId="3194AE9C"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diacerein </w:t>
      </w:r>
    </w:p>
    <w:p w14:paraId="2FFB6E57"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levobunolol (ophthalmic indication) </w:t>
      </w:r>
    </w:p>
    <w:p w14:paraId="5BC4C703"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octenidine dihydrochloride / phenoxyethanol </w:t>
      </w:r>
    </w:p>
    <w:p w14:paraId="27139BE7"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quinine </w:t>
      </w:r>
    </w:p>
    <w:p w14:paraId="3650B048" w14:textId="77777777" w:rsidR="00CE4CAA" w:rsidRPr="00CE4CAA" w:rsidRDefault="00CE4CAA" w:rsidP="00CE4CAA">
      <w:pPr>
        <w:spacing w:line="276" w:lineRule="auto"/>
        <w:rPr>
          <w:rFonts w:cs="Arial"/>
          <w:szCs w:val="24"/>
          <w:lang w:val="en-US"/>
        </w:rPr>
      </w:pPr>
      <w:r w:rsidRPr="00CE4CAA">
        <w:rPr>
          <w:rFonts w:cs="Arial"/>
          <w:szCs w:val="24"/>
          <w:lang w:val="en-US"/>
        </w:rPr>
        <w:t xml:space="preserve">• roxithromycin </w:t>
      </w:r>
    </w:p>
    <w:p w14:paraId="508778F2" w14:textId="77777777" w:rsidR="00CE4CAA" w:rsidRPr="00CE4CAA" w:rsidRDefault="00CE4CAA" w:rsidP="00CE4CAA">
      <w:pPr>
        <w:spacing w:line="276" w:lineRule="auto"/>
        <w:rPr>
          <w:rFonts w:cs="Arial"/>
          <w:szCs w:val="24"/>
          <w:lang w:val="en-US"/>
        </w:rPr>
      </w:pPr>
      <w:r w:rsidRPr="00CE4CAA">
        <w:rPr>
          <w:rFonts w:cs="Arial"/>
          <w:szCs w:val="24"/>
          <w:lang w:val="en-US"/>
        </w:rPr>
        <w:t>• topiramate</w:t>
      </w:r>
    </w:p>
    <w:p w14:paraId="7837BDFE" w14:textId="77777777" w:rsidR="00CE4CAA" w:rsidRPr="00CE4CAA" w:rsidRDefault="00CE4CAA" w:rsidP="00CE4CAA">
      <w:pPr>
        <w:spacing w:line="276" w:lineRule="auto"/>
        <w:rPr>
          <w:rFonts w:cs="Arial"/>
          <w:szCs w:val="24"/>
          <w:lang w:val="en-US"/>
        </w:rPr>
      </w:pPr>
    </w:p>
    <w:p w14:paraId="0D80B090" w14:textId="77777777" w:rsidR="00CE4CAA" w:rsidRPr="00CE4CAA" w:rsidRDefault="00CE4CAA" w:rsidP="00CE4CAA">
      <w:pPr>
        <w:spacing w:line="276" w:lineRule="auto"/>
        <w:rPr>
          <w:rFonts w:cs="Arial"/>
          <w:szCs w:val="24"/>
        </w:rPr>
      </w:pPr>
      <w:r w:rsidRPr="00CE4CAA">
        <w:rPr>
          <w:rFonts w:cs="Arial"/>
          <w:szCs w:val="24"/>
        </w:rPr>
        <w:t xml:space="preserve">Details zu diesen Entscheidungen finden sich in Kürze auf der </w:t>
      </w:r>
      <w:hyperlink r:id="rId12" w:history="1">
        <w:r w:rsidRPr="00CE4CAA">
          <w:rPr>
            <w:rStyle w:val="Hyperlink"/>
            <w:rFonts w:cs="Arial"/>
            <w:szCs w:val="24"/>
          </w:rPr>
          <w:t>EMA-Homepage</w:t>
        </w:r>
      </w:hyperlink>
      <w:r w:rsidRPr="00CE4CAA">
        <w:rPr>
          <w:rFonts w:cs="Arial"/>
          <w:szCs w:val="24"/>
        </w:rPr>
        <w:t>.</w:t>
      </w:r>
    </w:p>
    <w:p w14:paraId="1D023E62" w14:textId="44FD0ACF" w:rsidR="00CE4CAA" w:rsidRPr="00CE4CAA" w:rsidRDefault="00CE4CAA" w:rsidP="00CE4CAA">
      <w:pPr>
        <w:spacing w:line="276" w:lineRule="auto"/>
        <w:rPr>
          <w:rFonts w:cs="Arial"/>
          <w:szCs w:val="24"/>
        </w:rPr>
      </w:pPr>
      <w:r>
        <w:rPr>
          <w:rFonts w:cs="Arial"/>
          <w:szCs w:val="24"/>
        </w:rPr>
        <w:br w:type="column"/>
      </w:r>
    </w:p>
    <w:p w14:paraId="7A2006AC" w14:textId="77777777" w:rsidR="00CE4CAA" w:rsidRPr="00CE4CAA" w:rsidRDefault="00CE4CAA" w:rsidP="00CE4CAA">
      <w:pPr>
        <w:spacing w:line="276" w:lineRule="auto"/>
        <w:rPr>
          <w:rFonts w:cs="Arial"/>
          <w:b/>
          <w:szCs w:val="24"/>
        </w:rPr>
      </w:pPr>
      <w:r w:rsidRPr="00CE4CAA">
        <w:rPr>
          <w:rFonts w:cs="Arial"/>
          <w:b/>
          <w:szCs w:val="24"/>
        </w:rPr>
        <w:t>Inhalative Kortikoide zur Anwendung mit Verneblern</w:t>
      </w:r>
    </w:p>
    <w:p w14:paraId="39ACE2DB" w14:textId="77777777" w:rsidR="00CE4CAA" w:rsidRPr="00CE4CAA" w:rsidRDefault="00CE4CAA" w:rsidP="00CE4CAA">
      <w:pPr>
        <w:spacing w:line="276" w:lineRule="auto"/>
        <w:rPr>
          <w:rFonts w:cs="Arial"/>
          <w:szCs w:val="24"/>
        </w:rPr>
      </w:pPr>
      <w:r w:rsidRPr="00CE4CAA">
        <w:rPr>
          <w:rFonts w:cs="Arial"/>
          <w:szCs w:val="24"/>
        </w:rPr>
        <w:t xml:space="preserve">Im Rahmen des </w:t>
      </w:r>
      <w:hyperlink r:id="rId13" w:history="1">
        <w:r w:rsidRPr="00CE4CAA">
          <w:rPr>
            <w:rStyle w:val="Hyperlink"/>
            <w:rFonts w:cs="Arial"/>
            <w:szCs w:val="24"/>
          </w:rPr>
          <w:t>Artikel-30-Referral für Clenil</w:t>
        </w:r>
      </w:hyperlink>
      <w:r w:rsidRPr="00CE4CAA">
        <w:rPr>
          <w:rFonts w:cs="Arial"/>
          <w:szCs w:val="24"/>
        </w:rPr>
        <w:t xml:space="preserve"> vertrat der Ausschuss für Humanarzneimittel, CHMP, die Auffassung, dass bei der Anwendung Kortikoid-haltiger Arzneimittel zur Inhalation bei Asthma Vernebler nur dann empfohlen werden, wenn andere manuell zu betätigende Inhalatoren (z.B. Dosieraerosole oder Inhaler) nicht in Frage kommen. </w:t>
      </w:r>
    </w:p>
    <w:p w14:paraId="3887B477" w14:textId="77777777" w:rsidR="00CE4CAA" w:rsidRPr="00CE4CAA" w:rsidRDefault="00CE4CAA" w:rsidP="00CE4CAA">
      <w:pPr>
        <w:spacing w:line="276" w:lineRule="auto"/>
        <w:rPr>
          <w:rFonts w:cs="Arial"/>
          <w:szCs w:val="24"/>
        </w:rPr>
      </w:pPr>
    </w:p>
    <w:p w14:paraId="492308F4" w14:textId="77777777" w:rsidR="00CE4CAA" w:rsidRPr="00CE4CAA" w:rsidRDefault="00CE4CAA" w:rsidP="00CE4CAA">
      <w:pPr>
        <w:spacing w:line="276" w:lineRule="auto"/>
        <w:rPr>
          <w:rFonts w:cs="Arial"/>
          <w:szCs w:val="24"/>
        </w:rPr>
      </w:pPr>
      <w:r w:rsidRPr="00CE4CAA">
        <w:rPr>
          <w:rFonts w:cs="Arial"/>
          <w:szCs w:val="24"/>
        </w:rPr>
        <w:t>Die CMDh weist darauf hin, dass Kortikoid-haltige Arzneimittel zur Anwendung bei Asthma, die per Vernebler inhaliert werden, auf ihre Indikationen hin überprüft und ggf. an die CHMP opinion angepasst werden sollen.</w:t>
      </w:r>
    </w:p>
    <w:p w14:paraId="601B5CAB" w14:textId="77777777" w:rsidR="00CE4CAA" w:rsidRPr="00CE4CAA" w:rsidRDefault="00CE4CAA" w:rsidP="00CE4CAA">
      <w:pPr>
        <w:spacing w:line="276" w:lineRule="auto"/>
        <w:rPr>
          <w:rFonts w:cs="Arial"/>
          <w:szCs w:val="24"/>
        </w:rPr>
      </w:pPr>
    </w:p>
    <w:p w14:paraId="14BEF8C5" w14:textId="77777777" w:rsidR="00CE4CAA" w:rsidRPr="00CE4CAA" w:rsidRDefault="00CE4CAA" w:rsidP="00CE4CAA">
      <w:pPr>
        <w:spacing w:line="276" w:lineRule="auto"/>
        <w:rPr>
          <w:rFonts w:cs="Arial"/>
          <w:b/>
          <w:szCs w:val="24"/>
        </w:rPr>
      </w:pPr>
      <w:r w:rsidRPr="00CE4CAA">
        <w:rPr>
          <w:rFonts w:cs="Arial"/>
          <w:b/>
          <w:szCs w:val="24"/>
        </w:rPr>
        <w:t>Erleichterungen für das Verlängerungsverfahren</w:t>
      </w:r>
    </w:p>
    <w:p w14:paraId="7D5A5F93" w14:textId="77777777" w:rsidR="00CE4CAA" w:rsidRPr="00CE4CAA" w:rsidRDefault="00CE4CAA" w:rsidP="00CE4CAA">
      <w:pPr>
        <w:spacing w:line="276" w:lineRule="auto"/>
        <w:rPr>
          <w:rFonts w:cs="Arial"/>
          <w:szCs w:val="24"/>
        </w:rPr>
      </w:pPr>
      <w:r w:rsidRPr="00CE4CAA">
        <w:rPr>
          <w:rFonts w:cs="Arial"/>
          <w:szCs w:val="24"/>
        </w:rPr>
        <w:t>Die CMDh setzte die Diskussion um Möglichkeiten der Vereinfachung und Straffung des Verfahrens zur Verlängerung von MRP/DCP-Zulassungen innerhalb der gültigen gesetzlichen Vorschriften fort. Folgende Änderungen des bisherigen Verfahrens wurden beschlossen:</w:t>
      </w:r>
    </w:p>
    <w:p w14:paraId="0F118B95" w14:textId="77777777" w:rsidR="00CE4CAA" w:rsidRPr="00CE4CAA" w:rsidRDefault="00CE4CAA" w:rsidP="00CE4CAA">
      <w:pPr>
        <w:spacing w:line="276" w:lineRule="auto"/>
        <w:rPr>
          <w:rFonts w:cs="Arial"/>
          <w:szCs w:val="24"/>
        </w:rPr>
      </w:pPr>
    </w:p>
    <w:p w14:paraId="2F248C4D" w14:textId="77777777" w:rsidR="00CE4CAA" w:rsidRPr="00CE4CAA" w:rsidRDefault="00CE4CAA" w:rsidP="00CE4CAA">
      <w:pPr>
        <w:spacing w:line="276" w:lineRule="auto"/>
        <w:rPr>
          <w:rFonts w:cs="Arial"/>
          <w:szCs w:val="24"/>
        </w:rPr>
      </w:pPr>
      <w:r w:rsidRPr="00CE4CAA">
        <w:rPr>
          <w:rFonts w:cs="Arial"/>
          <w:szCs w:val="24"/>
        </w:rPr>
        <w:t xml:space="preserve">Zukünftig kommt für alle </w:t>
      </w:r>
      <w:r w:rsidRPr="00CE4CAA">
        <w:rPr>
          <w:rFonts w:cs="Arial"/>
          <w:b/>
          <w:szCs w:val="24"/>
        </w:rPr>
        <w:t>generischen Zulassungen</w:t>
      </w:r>
      <w:r w:rsidRPr="00CE4CAA">
        <w:rPr>
          <w:rFonts w:cs="Arial"/>
          <w:szCs w:val="24"/>
        </w:rPr>
        <w:t>, die nach Art. 10(1) der Richtlinie 2001/83/EG beantragt und erteilt wurden, ein vereinfachtes Renewal-Verfahren mit reduziertem Antragsumfang in Frage. Der Antragsteller reicht in diesen Fällen lediglich einen cover letter und das Antragsformular ein. Auf die Einreichung der Anlagen kann verzichtet werden, stattdessen bestätigt der Antragsteller, dass diese auf Nachfrage zur Verfügung gestellt werden. Die Verfahrensdauer beträgt 30 Tage. Auch bei Anträgen, die bereits eingereicht worden sind und die eine vollständige Dokumentation umfassen, ist nach Auffassung der CMDh ein beschleunigtes und vereinfachtes Verfahren möglich, vorausgesetzt, der Reference Member State willigt ein.</w:t>
      </w:r>
    </w:p>
    <w:p w14:paraId="28273027" w14:textId="77777777" w:rsidR="00CE4CAA" w:rsidRPr="00CE4CAA" w:rsidRDefault="00CE4CAA" w:rsidP="00CE4CAA">
      <w:pPr>
        <w:spacing w:line="276" w:lineRule="auto"/>
        <w:rPr>
          <w:rFonts w:cs="Arial"/>
          <w:szCs w:val="24"/>
        </w:rPr>
      </w:pPr>
    </w:p>
    <w:p w14:paraId="026F1B44" w14:textId="77777777" w:rsidR="00CE4CAA" w:rsidRPr="00CE4CAA" w:rsidRDefault="00CE4CAA" w:rsidP="00CE4CAA">
      <w:pPr>
        <w:spacing w:line="276" w:lineRule="auto"/>
        <w:rPr>
          <w:rFonts w:cs="Arial"/>
          <w:szCs w:val="24"/>
        </w:rPr>
      </w:pPr>
      <w:r w:rsidRPr="00CE4CAA">
        <w:rPr>
          <w:rFonts w:cs="Arial"/>
          <w:szCs w:val="24"/>
        </w:rPr>
        <w:t>Der CMDh Best Practice Guide für das Renewal-Verfahren wird bei der nächsten Überarbeitung entsprechend angepasst.</w:t>
      </w:r>
    </w:p>
    <w:p w14:paraId="7B75C409" w14:textId="77777777" w:rsidR="00CE4CAA" w:rsidRPr="00CE4CAA" w:rsidRDefault="00CE4CAA" w:rsidP="00CE4CAA">
      <w:pPr>
        <w:spacing w:line="276" w:lineRule="auto"/>
        <w:rPr>
          <w:rFonts w:cs="Arial"/>
          <w:szCs w:val="24"/>
        </w:rPr>
      </w:pPr>
    </w:p>
    <w:p w14:paraId="6FEE8049" w14:textId="77777777" w:rsidR="00CE4CAA" w:rsidRPr="00CE4CAA" w:rsidRDefault="00CE4CAA" w:rsidP="00CE4CAA">
      <w:pPr>
        <w:spacing w:line="276" w:lineRule="auto"/>
        <w:rPr>
          <w:rFonts w:cs="Arial"/>
          <w:b/>
          <w:szCs w:val="24"/>
        </w:rPr>
      </w:pPr>
      <w:r w:rsidRPr="00CE4CAA">
        <w:rPr>
          <w:rFonts w:cs="Arial"/>
          <w:b/>
          <w:szCs w:val="24"/>
        </w:rPr>
        <w:t>Ausscheiden Großbritanniens aus der Europäischen Union - Brexit</w:t>
      </w:r>
    </w:p>
    <w:p w14:paraId="2BBC5A65" w14:textId="77777777" w:rsidR="00CE4CAA" w:rsidRPr="00CE4CAA" w:rsidRDefault="00CE4CAA" w:rsidP="00CE4CAA">
      <w:pPr>
        <w:spacing w:line="276" w:lineRule="auto"/>
        <w:rPr>
          <w:rFonts w:cs="Arial"/>
          <w:szCs w:val="24"/>
        </w:rPr>
      </w:pPr>
      <w:r w:rsidRPr="00CE4CAA">
        <w:rPr>
          <w:rFonts w:cs="Arial"/>
          <w:szCs w:val="24"/>
        </w:rPr>
        <w:t>Anlässlich der September-Sitzung der CMDh fand ein Treffen mit den europäischen Arzneimittelverbänden statt, bei dem die Auswirkungen des Brexit zur Sprache kamen. Zukünftig soll es einen regelmäßigen Austausch der CMDh mit den Verbänden über das Thema geben; das nächste Treffen findet im Rahmen der November-Sitzung der CMDh statt.</w:t>
      </w:r>
    </w:p>
    <w:p w14:paraId="73E4A17D" w14:textId="3A947ECB" w:rsidR="00CE4CAA" w:rsidRPr="00CE4CAA" w:rsidRDefault="00CE4CAA" w:rsidP="00CE4CAA">
      <w:pPr>
        <w:spacing w:line="276" w:lineRule="auto"/>
        <w:rPr>
          <w:rFonts w:cs="Arial"/>
          <w:szCs w:val="24"/>
        </w:rPr>
      </w:pPr>
      <w:r>
        <w:rPr>
          <w:rFonts w:cs="Arial"/>
          <w:szCs w:val="24"/>
        </w:rPr>
        <w:br w:type="column"/>
      </w:r>
    </w:p>
    <w:p w14:paraId="25143F95" w14:textId="77777777" w:rsidR="00CE4CAA" w:rsidRPr="00CE4CAA" w:rsidRDefault="00CE4CAA" w:rsidP="00CE4CAA">
      <w:pPr>
        <w:spacing w:line="276" w:lineRule="auto"/>
        <w:rPr>
          <w:rFonts w:cs="Arial"/>
          <w:b/>
          <w:szCs w:val="24"/>
        </w:rPr>
      </w:pPr>
      <w:r w:rsidRPr="00CE4CAA">
        <w:rPr>
          <w:rFonts w:cs="Arial"/>
          <w:b/>
          <w:szCs w:val="24"/>
        </w:rPr>
        <w:t>Verschiedenes</w:t>
      </w:r>
    </w:p>
    <w:p w14:paraId="14D804AF" w14:textId="77777777" w:rsidR="00CE4CAA" w:rsidRPr="00CE4CAA" w:rsidRDefault="00CE4CAA" w:rsidP="00CE4CAA">
      <w:pPr>
        <w:spacing w:line="276" w:lineRule="auto"/>
        <w:rPr>
          <w:rFonts w:cs="Arial"/>
          <w:szCs w:val="24"/>
        </w:rPr>
      </w:pPr>
      <w:r w:rsidRPr="00CE4CAA">
        <w:rPr>
          <w:rFonts w:cs="Arial"/>
          <w:szCs w:val="24"/>
        </w:rPr>
        <w:t xml:space="preserve">Unter bestimmten Voraussetzungen kann auf die Durchführung eines </w:t>
      </w:r>
      <w:r w:rsidRPr="00CE4CAA">
        <w:rPr>
          <w:rFonts w:cs="Arial"/>
          <w:b/>
          <w:szCs w:val="24"/>
        </w:rPr>
        <w:t>Lesbarkeitstests von Gebrauchsinformationen</w:t>
      </w:r>
      <w:r w:rsidRPr="00CE4CAA">
        <w:rPr>
          <w:rFonts w:cs="Arial"/>
          <w:szCs w:val="24"/>
        </w:rPr>
        <w:t xml:space="preserve"> verzichtet und Bezug auf getestete Packungsbeilagen vergleichbarer Arzneimittel genommen werden („bridging“). Die CMDh verabschiedete ein Formblatt der QRD, das bei einem angestrebten </w:t>
      </w:r>
      <w:r w:rsidRPr="00CE4CAA">
        <w:rPr>
          <w:rFonts w:cs="Arial"/>
          <w:b/>
          <w:szCs w:val="24"/>
        </w:rPr>
        <w:t>„bridging“</w:t>
      </w:r>
      <w:r w:rsidRPr="00CE4CAA">
        <w:rPr>
          <w:rFonts w:cs="Arial"/>
          <w:szCs w:val="24"/>
        </w:rPr>
        <w:t xml:space="preserve"> vom Antragsteller verwendet werden und gleichzeitig für die Behörde als Richtschnur bei der Entscheidung dienen soll. Das Formblatt wird in der Rubrik „Procedural Guidance“, „Consultation with target patient groups“ veröffentlicht.</w:t>
      </w:r>
    </w:p>
    <w:p w14:paraId="3E3860FA" w14:textId="77777777" w:rsidR="00CE4CAA" w:rsidRPr="00CE4CAA" w:rsidRDefault="00CE4CAA" w:rsidP="00CE4CAA">
      <w:pPr>
        <w:spacing w:line="276" w:lineRule="auto"/>
        <w:rPr>
          <w:rFonts w:cs="Arial"/>
          <w:szCs w:val="24"/>
        </w:rPr>
      </w:pPr>
    </w:p>
    <w:p w14:paraId="13ED2187" w14:textId="77777777" w:rsidR="00CE4CAA" w:rsidRPr="00CE4CAA" w:rsidRDefault="00CE4CAA" w:rsidP="00CE4CAA">
      <w:pPr>
        <w:spacing w:line="276" w:lineRule="auto"/>
        <w:rPr>
          <w:rFonts w:cs="Arial"/>
          <w:szCs w:val="24"/>
        </w:rPr>
      </w:pPr>
      <w:r w:rsidRPr="00CE4CAA">
        <w:rPr>
          <w:rFonts w:cs="Arial"/>
          <w:szCs w:val="24"/>
        </w:rPr>
        <w:t xml:space="preserve">Die </w:t>
      </w:r>
      <w:r w:rsidRPr="00CE4CAA">
        <w:rPr>
          <w:rFonts w:cs="Arial"/>
          <w:b/>
          <w:szCs w:val="24"/>
        </w:rPr>
        <w:t>CMDh/EMA-Arbeitsgruppe Kinderarzneimittel</w:t>
      </w:r>
      <w:r w:rsidRPr="00CE4CAA">
        <w:rPr>
          <w:rFonts w:cs="Arial"/>
          <w:szCs w:val="24"/>
        </w:rPr>
        <w:t xml:space="preserve"> verabschiedete die </w:t>
      </w:r>
      <w:r w:rsidRPr="00CE4CAA">
        <w:rPr>
          <w:rFonts w:cs="Arial"/>
          <w:b/>
          <w:szCs w:val="24"/>
        </w:rPr>
        <w:t>36.</w:t>
      </w:r>
      <w:r w:rsidRPr="00CE4CAA">
        <w:rPr>
          <w:rFonts w:cs="Arial"/>
          <w:szCs w:val="24"/>
        </w:rPr>
        <w:t xml:space="preserve"> Tranche der Wirkstoffe, für die pädiatrische Studien eingereicht wurden und die in einem Worksharing-Verfahren nach Artikel 45 der Kinderarzneimittel-Verordnung bewertet werden sollen. Die Wirkstoffe werden in Kürze auf der CMDh-Homepage veröffentlicht.</w:t>
      </w:r>
    </w:p>
    <w:p w14:paraId="0B2BEF32" w14:textId="77777777" w:rsidR="00CE4CAA" w:rsidRPr="00CE4CAA" w:rsidRDefault="00CE4CAA" w:rsidP="00CE4CAA">
      <w:pPr>
        <w:spacing w:line="276" w:lineRule="auto"/>
        <w:rPr>
          <w:rFonts w:cs="Arial"/>
          <w:szCs w:val="24"/>
        </w:rPr>
      </w:pPr>
    </w:p>
    <w:p w14:paraId="2F83F8A7" w14:textId="77777777" w:rsidR="00CE4CAA" w:rsidRPr="00CE4CAA" w:rsidRDefault="00CE4CAA" w:rsidP="00CE4CAA">
      <w:pPr>
        <w:spacing w:line="276" w:lineRule="auto"/>
        <w:rPr>
          <w:rFonts w:cs="Arial"/>
          <w:szCs w:val="24"/>
        </w:rPr>
      </w:pPr>
      <w:r w:rsidRPr="00CE4CAA">
        <w:rPr>
          <w:rFonts w:cs="Arial"/>
          <w:szCs w:val="24"/>
        </w:rPr>
        <w:t xml:space="preserve">Die nächste Sitzung der CMDh findet vom </w:t>
      </w:r>
      <w:r w:rsidRPr="00CE4CAA">
        <w:rPr>
          <w:rFonts w:cs="Arial"/>
          <w:b/>
          <w:szCs w:val="24"/>
        </w:rPr>
        <w:t>9. bis 11. Oktober 2017</w:t>
      </w:r>
      <w:r w:rsidRPr="00CE4CAA">
        <w:rPr>
          <w:rFonts w:cs="Arial"/>
          <w:szCs w:val="24"/>
        </w:rPr>
        <w:t xml:space="preserve"> statt.</w:t>
      </w:r>
    </w:p>
    <w:p w14:paraId="66371370" w14:textId="77777777" w:rsidR="0009331B" w:rsidRDefault="0009331B" w:rsidP="009E0DFC">
      <w:pPr>
        <w:spacing w:line="276" w:lineRule="auto"/>
        <w:rPr>
          <w:szCs w:val="24"/>
        </w:rPr>
      </w:pPr>
    </w:p>
    <w:p w14:paraId="6CA69C29" w14:textId="77777777" w:rsidR="005D74F6" w:rsidRDefault="005D74F6" w:rsidP="009E0DFC">
      <w:pPr>
        <w:spacing w:line="276" w:lineRule="auto"/>
        <w:rPr>
          <w:szCs w:val="24"/>
        </w:rPr>
      </w:pPr>
    </w:p>
    <w:p w14:paraId="5DA536EC" w14:textId="534E69C1" w:rsidR="004A75DC" w:rsidRPr="004A75DC" w:rsidRDefault="00525E2B" w:rsidP="003A3DCF">
      <w:pPr>
        <w:pStyle w:val="berschrift1"/>
      </w:pPr>
      <w:bookmarkStart w:id="5" w:name="_Toc494106244"/>
      <w:bookmarkEnd w:id="2"/>
      <w:bookmarkEnd w:id="3"/>
      <w:r>
        <w:t>EMA</w:t>
      </w:r>
      <w:r w:rsidR="002F7FBC">
        <w:t>:</w:t>
      </w:r>
      <w:bookmarkEnd w:id="5"/>
    </w:p>
    <w:p w14:paraId="4AE83D4F" w14:textId="0F02768F" w:rsidR="00EF352A" w:rsidRDefault="005D74F6" w:rsidP="003A3DCF">
      <w:pPr>
        <w:pStyle w:val="berschrift1"/>
        <w:numPr>
          <w:ilvl w:val="0"/>
          <w:numId w:val="0"/>
        </w:numPr>
        <w:ind w:left="426"/>
      </w:pPr>
      <w:bookmarkStart w:id="6" w:name="_Toc494106245"/>
      <w:r w:rsidRPr="005D74F6">
        <w:t>PSUR Single Assessment für national zugelassene Pro</w:t>
      </w:r>
      <w:r>
        <w:t>dukte</w:t>
      </w:r>
      <w:bookmarkEnd w:id="6"/>
      <w:r w:rsidR="00B10E3B" w:rsidRPr="001E4C72">
        <w:t xml:space="preserve"> </w:t>
      </w:r>
    </w:p>
    <w:p w14:paraId="1F10FE68" w14:textId="65D0F258" w:rsidR="00E60934" w:rsidRPr="00586F78" w:rsidRDefault="00E60934" w:rsidP="00746684">
      <w:pPr>
        <w:spacing w:line="276" w:lineRule="auto"/>
      </w:pPr>
      <w:r w:rsidRPr="00586F78">
        <w:t>___________________________________________________________</w:t>
      </w:r>
    </w:p>
    <w:p w14:paraId="1F10FE69" w14:textId="77777777" w:rsidR="00E60934" w:rsidRPr="00405367" w:rsidRDefault="00E60934" w:rsidP="00862AAF">
      <w:pPr>
        <w:spacing w:line="276" w:lineRule="auto"/>
        <w:rPr>
          <w:bCs/>
          <w:color w:val="000000"/>
          <w:szCs w:val="24"/>
        </w:rPr>
      </w:pPr>
    </w:p>
    <w:p w14:paraId="418E8FF2" w14:textId="77777777" w:rsidR="00CE4CAA" w:rsidRPr="00CE4CAA" w:rsidRDefault="00CE4CAA" w:rsidP="00CE4CAA">
      <w:pPr>
        <w:spacing w:line="276" w:lineRule="auto"/>
        <w:rPr>
          <w:rFonts w:cs="Arial"/>
          <w:szCs w:val="24"/>
        </w:rPr>
      </w:pPr>
      <w:r w:rsidRPr="00CE4CAA">
        <w:rPr>
          <w:rFonts w:cs="Arial"/>
          <w:szCs w:val="24"/>
        </w:rPr>
        <w:t xml:space="preserve">Als PSUR Single Assessment (PSUSA) wird das Verfahren der einheitlichen Beurteilung von PSURs zu Wirkstoffen, die auf der EURD-Liste stehen, bezeichnet. </w:t>
      </w:r>
    </w:p>
    <w:p w14:paraId="15351600" w14:textId="77777777" w:rsidR="00CE4CAA" w:rsidRPr="00CE4CAA" w:rsidRDefault="00CE4CAA" w:rsidP="00CE4CAA">
      <w:pPr>
        <w:spacing w:line="276" w:lineRule="auto"/>
        <w:rPr>
          <w:rFonts w:cs="Arial"/>
          <w:szCs w:val="24"/>
        </w:rPr>
      </w:pPr>
    </w:p>
    <w:p w14:paraId="3099C4BC" w14:textId="77777777" w:rsidR="00CE4CAA" w:rsidRPr="00CE4CAA" w:rsidRDefault="00CE4CAA" w:rsidP="00CE4CAA">
      <w:pPr>
        <w:spacing w:line="276" w:lineRule="auto"/>
        <w:rPr>
          <w:rFonts w:cs="Arial"/>
          <w:szCs w:val="24"/>
        </w:rPr>
      </w:pPr>
      <w:r w:rsidRPr="00CE4CAA">
        <w:rPr>
          <w:rFonts w:cs="Arial"/>
          <w:szCs w:val="24"/>
        </w:rPr>
        <w:t xml:space="preserve">In PSUR-Bewertungsverfahren zu Wirkstoffen mit </w:t>
      </w:r>
      <w:r w:rsidRPr="00CE4CAA">
        <w:rPr>
          <w:rFonts w:cs="Arial"/>
          <w:b/>
          <w:bCs/>
          <w:szCs w:val="24"/>
        </w:rPr>
        <w:t xml:space="preserve">ausschließlich nationalen Zulassungen </w:t>
      </w:r>
      <w:r w:rsidRPr="00CE4CAA">
        <w:rPr>
          <w:rFonts w:cs="Arial"/>
          <w:szCs w:val="24"/>
        </w:rPr>
        <w:t xml:space="preserve">(auch MRP und DCP), werden die Ergebnisse auf der Webseite der EMA </w:t>
      </w:r>
      <w:hyperlink r:id="rId14" w:history="1">
        <w:r w:rsidRPr="00CE4CAA">
          <w:rPr>
            <w:rStyle w:val="Hyperlink"/>
            <w:rFonts w:cs="Arial"/>
            <w:szCs w:val="24"/>
          </w:rPr>
          <w:t>hier</w:t>
        </w:r>
      </w:hyperlink>
      <w:r w:rsidRPr="00CE4CAA">
        <w:rPr>
          <w:rFonts w:cs="Arial"/>
          <w:szCs w:val="24"/>
        </w:rPr>
        <w:t xml:space="preserve"> veröffentlicht. In dieser Woche wurde für folgenden rein national zugelassenen Wirkstoff eine </w:t>
      </w:r>
      <w:r w:rsidRPr="00CE4CAA">
        <w:rPr>
          <w:rFonts w:cs="Arial"/>
          <w:bCs/>
          <w:szCs w:val="24"/>
        </w:rPr>
        <w:t xml:space="preserve">Liste mit den Zulassungen sowie ggf. Änderungen der Produktinformation veröffentlicht, </w:t>
      </w:r>
      <w:r w:rsidRPr="00CE4CAA">
        <w:rPr>
          <w:rFonts w:cs="Arial"/>
          <w:szCs w:val="24"/>
        </w:rPr>
        <w:t xml:space="preserve">die in den jeweiligen </w:t>
      </w:r>
      <w:r w:rsidRPr="00CE4CAA">
        <w:rPr>
          <w:rFonts w:cs="Arial"/>
          <w:bCs/>
          <w:szCs w:val="24"/>
        </w:rPr>
        <w:t>PSUR Single Assessment Prozess involviert sind</w:t>
      </w:r>
      <w:r w:rsidRPr="00CE4CAA">
        <w:rPr>
          <w:rFonts w:cs="Arial"/>
          <w:szCs w:val="24"/>
        </w:rPr>
        <w:t xml:space="preserve">: </w:t>
      </w:r>
    </w:p>
    <w:p w14:paraId="161D25C2" w14:textId="77777777" w:rsidR="00CE4CAA" w:rsidRPr="00CE4CAA" w:rsidRDefault="00CE4CAA" w:rsidP="00CE4CAA">
      <w:pPr>
        <w:spacing w:line="276" w:lineRule="auto"/>
        <w:rPr>
          <w:rFonts w:cs="Arial"/>
          <w:szCs w:val="24"/>
        </w:rPr>
      </w:pPr>
    </w:p>
    <w:p w14:paraId="773E458F" w14:textId="77777777" w:rsidR="00CE4CAA" w:rsidRPr="00CE4CAA" w:rsidRDefault="00CE4CAA" w:rsidP="00CE4CAA">
      <w:pPr>
        <w:numPr>
          <w:ilvl w:val="0"/>
          <w:numId w:val="18"/>
        </w:numPr>
        <w:spacing w:line="276" w:lineRule="auto"/>
        <w:rPr>
          <w:rFonts w:cs="Arial"/>
          <w:b/>
          <w:bCs/>
          <w:szCs w:val="24"/>
        </w:rPr>
      </w:pPr>
      <w:r w:rsidRPr="00CE4CAA">
        <w:rPr>
          <w:rFonts w:cs="Arial"/>
          <w:b/>
          <w:bCs/>
          <w:szCs w:val="24"/>
        </w:rPr>
        <w:t xml:space="preserve">felbamate </w:t>
      </w:r>
      <w:r w:rsidRPr="00CE4CAA">
        <w:rPr>
          <w:rFonts w:cs="Arial"/>
          <w:bCs/>
          <w:szCs w:val="24"/>
        </w:rPr>
        <w:t>- PSUSA/00010155/201609</w:t>
      </w:r>
    </w:p>
    <w:p w14:paraId="2AFF8718" w14:textId="77777777" w:rsidR="00CE4CAA" w:rsidRPr="00CE4CAA" w:rsidRDefault="00CE4CAA" w:rsidP="00CE4CAA">
      <w:pPr>
        <w:spacing w:line="276" w:lineRule="auto"/>
        <w:rPr>
          <w:rFonts w:cs="Arial"/>
          <w:b/>
          <w:bCs/>
          <w:szCs w:val="24"/>
          <w:lang w:val="en-US"/>
        </w:rPr>
      </w:pPr>
    </w:p>
    <w:p w14:paraId="27EE7F35" w14:textId="5575B1DD" w:rsidR="00CE4CAA" w:rsidRPr="00CE4CAA" w:rsidRDefault="00CE4CAA" w:rsidP="00CE4CAA">
      <w:pPr>
        <w:spacing w:line="276" w:lineRule="auto"/>
        <w:ind w:left="360"/>
        <w:rPr>
          <w:rFonts w:cs="Arial"/>
          <w:b/>
          <w:bCs/>
          <w:szCs w:val="24"/>
        </w:rPr>
      </w:pPr>
      <w:r w:rsidRPr="00EB6843">
        <w:rPr>
          <w:rFonts w:ascii="Wingdings" w:hAnsi="Wingdings" w:cs="Wingdings"/>
          <w:szCs w:val="24"/>
        </w:rPr>
        <w:t></w:t>
      </w:r>
      <w:r w:rsidRPr="00CE4CAA">
        <w:rPr>
          <w:rFonts w:cs="Arial"/>
          <w:szCs w:val="24"/>
        </w:rPr>
        <w:t xml:space="preserve">Outcome </w:t>
      </w:r>
      <w:r w:rsidRPr="00CE4CAA">
        <w:rPr>
          <w:rFonts w:cs="Arial"/>
          <w:b/>
          <w:bCs/>
          <w:szCs w:val="24"/>
        </w:rPr>
        <w:t>„Variation“</w:t>
      </w:r>
    </w:p>
    <w:p w14:paraId="0392E5C8" w14:textId="77777777" w:rsidR="00CE4CAA" w:rsidRPr="00CE4CAA" w:rsidRDefault="00CE4CAA" w:rsidP="00CE4CAA">
      <w:pPr>
        <w:spacing w:line="276" w:lineRule="auto"/>
        <w:rPr>
          <w:rFonts w:cs="Arial"/>
          <w:b/>
          <w:bCs/>
          <w:szCs w:val="24"/>
          <w:lang w:val="en-US"/>
        </w:rPr>
      </w:pPr>
    </w:p>
    <w:p w14:paraId="4EBEE936" w14:textId="1B2A65D6" w:rsidR="006B0393" w:rsidRPr="00DC0AC2" w:rsidRDefault="00802D59" w:rsidP="00862AAF">
      <w:pPr>
        <w:spacing w:line="276" w:lineRule="auto"/>
        <w:rPr>
          <w:rFonts w:cs="Arial"/>
        </w:rPr>
      </w:pPr>
      <w:r>
        <w:rPr>
          <w:rFonts w:cs="Arial"/>
        </w:rPr>
        <w:br w:type="column"/>
      </w:r>
    </w:p>
    <w:p w14:paraId="045A0279" w14:textId="4AFD60AD" w:rsidR="002F7FBC" w:rsidRDefault="00CE4CAA" w:rsidP="005D74F6">
      <w:pPr>
        <w:pStyle w:val="berschrift1"/>
      </w:pPr>
      <w:bookmarkStart w:id="7" w:name="_Toc494106246"/>
      <w:r>
        <w:t>EMA</w:t>
      </w:r>
      <w:r w:rsidR="006B0393" w:rsidRPr="00BB6F41">
        <w:rPr>
          <w:lang w:val="en-US"/>
        </w:rPr>
        <w:t>:</w:t>
      </w:r>
      <w:bookmarkEnd w:id="7"/>
    </w:p>
    <w:p w14:paraId="53EF4167" w14:textId="034BA9C1" w:rsidR="002F7FBC" w:rsidRPr="00CE4CAA" w:rsidRDefault="00CE4CAA" w:rsidP="00862AAF">
      <w:pPr>
        <w:pStyle w:val="berschrift1"/>
        <w:numPr>
          <w:ilvl w:val="0"/>
          <w:numId w:val="0"/>
        </w:numPr>
        <w:spacing w:line="276" w:lineRule="auto"/>
        <w:ind w:left="426"/>
        <w:rPr>
          <w:lang w:val="en-US"/>
        </w:rPr>
      </w:pPr>
      <w:bookmarkStart w:id="8" w:name="_Toc494106247"/>
      <w:r w:rsidRPr="00CE4CAA">
        <w:rPr>
          <w:lang w:val="en-US"/>
        </w:rPr>
        <w:t>Bericht vom „11th industry stakeholder platform meeting– operation of EU pharmacovigilance</w:t>
      </w:r>
      <w:r>
        <w:rPr>
          <w:lang w:val="en-US"/>
        </w:rPr>
        <w:t>”</w:t>
      </w:r>
      <w:bookmarkEnd w:id="8"/>
    </w:p>
    <w:p w14:paraId="6188B2C0" w14:textId="736172A4" w:rsidR="00B96AA6" w:rsidRPr="00DC0AC2" w:rsidRDefault="009E0DFC" w:rsidP="00862AAF">
      <w:pPr>
        <w:spacing w:line="276" w:lineRule="auto"/>
        <w:rPr>
          <w:bCs/>
        </w:rPr>
      </w:pPr>
      <w:r w:rsidRPr="00DC0AC2">
        <w:rPr>
          <w:bCs/>
        </w:rPr>
        <w:t>___________________________________________________________</w:t>
      </w:r>
    </w:p>
    <w:p w14:paraId="6D39DB0D" w14:textId="77777777" w:rsidR="005D74F6" w:rsidRPr="00CE4CAA" w:rsidRDefault="005D74F6" w:rsidP="005D74F6">
      <w:pPr>
        <w:spacing w:line="276" w:lineRule="auto"/>
        <w:rPr>
          <w:rFonts w:cs="Arial"/>
          <w:color w:val="000000"/>
          <w:szCs w:val="24"/>
        </w:rPr>
      </w:pPr>
    </w:p>
    <w:p w14:paraId="323306D1" w14:textId="77777777" w:rsidR="00CE4CAA" w:rsidRPr="00CE4CAA" w:rsidRDefault="00CE4CAA" w:rsidP="00CE4CAA">
      <w:pPr>
        <w:spacing w:line="276" w:lineRule="auto"/>
        <w:rPr>
          <w:rFonts w:cs="Arial"/>
          <w:color w:val="000000"/>
          <w:szCs w:val="24"/>
        </w:rPr>
      </w:pPr>
      <w:r w:rsidRPr="00CE4CAA">
        <w:rPr>
          <w:rFonts w:cs="Arial"/>
          <w:color w:val="000000"/>
          <w:szCs w:val="24"/>
        </w:rPr>
        <w:t xml:space="preserve">Am 20. September 2017 fand das “11. industry stakeholder platform meeting” bei der Europäischen Arzneimittelagentur (EMA) in London statt. Hier berichten Vertreter der Behörden, der wissenschaftlichen Gremien (insbesondere PRAC) und der EMA von den Fortschritten, aktuellen regulatorischen Themen und Projekten im Rahmen der europäischen Pharmakovigilanzaktivitäten. </w:t>
      </w:r>
    </w:p>
    <w:p w14:paraId="6A995B7C" w14:textId="77777777" w:rsidR="00CE4CAA" w:rsidRPr="00CE4CAA" w:rsidRDefault="00CE4CAA" w:rsidP="00CE4CAA">
      <w:pPr>
        <w:spacing w:line="276" w:lineRule="auto"/>
        <w:rPr>
          <w:rFonts w:cs="Arial"/>
          <w:color w:val="000000"/>
          <w:szCs w:val="24"/>
        </w:rPr>
      </w:pPr>
    </w:p>
    <w:p w14:paraId="1857A2E7" w14:textId="77777777" w:rsidR="00CE4CAA" w:rsidRDefault="00CE4CAA" w:rsidP="00CE4CAA">
      <w:pPr>
        <w:spacing w:line="276" w:lineRule="auto"/>
        <w:rPr>
          <w:rFonts w:cs="Arial"/>
          <w:color w:val="000000"/>
          <w:szCs w:val="24"/>
        </w:rPr>
      </w:pPr>
      <w:r w:rsidRPr="00802D59">
        <w:rPr>
          <w:rFonts w:cs="Arial"/>
          <w:b/>
          <w:color w:val="000000"/>
          <w:szCs w:val="24"/>
        </w:rPr>
        <w:t>June Raine (MHRA)</w:t>
      </w:r>
      <w:r w:rsidRPr="00CE4CAA">
        <w:rPr>
          <w:rFonts w:cs="Arial"/>
          <w:color w:val="000000"/>
          <w:szCs w:val="24"/>
        </w:rPr>
        <w:t xml:space="preserve"> berichtete als Vorsitzende von den Erfahrungen aus den ersten fünf Jahren des PRAC. Sie begann mit einer Übersicht über die Aktivitäten und der daraus erkennbaren Notwendigkeit von Pharmakovigilanzaktivitäten zur sicheren Anwendung von Arzneimitteln. Sie stellte dar, dass sich insbesondere auch PSUSA-Verfahren als gute Möglichkeit einer zeitnahen kontinuierlichen Umsetzung von Pharmakovigilanzmaßnahmen etabliert haben. Weiterhin hob sie die besondere Wichtigkeit der zentral verfügbaren Daten in Eudravigilance durch die im November startende zentrale Erfassung und Verwaltung hervor. Der zu erwartende Benefit durch die umfassende Sammlung und Möglichkeit zur Auswertung, rechtfertige die erheblichen kommenden Umstellungen für Behörden und Industrie. Sie gab außerdem einen Überblick über Referral-Verfahren als zentrales Instrument zur Bewertung schwerwiegender Risiken (mit Überblick über Zahlen und Aufteilung in Verfahrenstypen) und erläuterte an den drei Beispielen Gadolinium, Valproat (als erstes Verfahren mit Anhörung) und den Fluorchinolonen (für mögliche langanhaltende Schädigungen) deren Bedeutung. Sie ging auch auf Signalverfahren als kontinuierliches Risikomonitoring ein. Abschließend hob sie die Bedeutung einer guten internationalen Zusammenarbeit (insbesondere mit der FDA und HC als Observer des PRAC) wie aber auch der Zusammenarbeit in verschiedenen Projekten (auch Gremien-übergreifend wie bei PRIME) hervor. </w:t>
      </w:r>
    </w:p>
    <w:p w14:paraId="1E750AC5" w14:textId="77777777" w:rsidR="00CE4CAA" w:rsidRPr="00CE4CAA" w:rsidRDefault="00CE4CAA" w:rsidP="00CE4CAA">
      <w:pPr>
        <w:spacing w:line="276" w:lineRule="auto"/>
        <w:rPr>
          <w:rFonts w:cs="Arial"/>
          <w:color w:val="000000"/>
          <w:szCs w:val="24"/>
        </w:rPr>
      </w:pPr>
    </w:p>
    <w:p w14:paraId="75113F3F" w14:textId="77777777" w:rsidR="00CE4CAA" w:rsidRDefault="00CE4CAA" w:rsidP="00CE4CAA">
      <w:pPr>
        <w:spacing w:line="276" w:lineRule="auto"/>
        <w:rPr>
          <w:rFonts w:cs="Arial"/>
          <w:color w:val="000000"/>
          <w:szCs w:val="24"/>
        </w:rPr>
      </w:pPr>
      <w:r w:rsidRPr="00CE4CAA">
        <w:rPr>
          <w:rFonts w:cs="Arial"/>
          <w:color w:val="000000"/>
          <w:szCs w:val="24"/>
        </w:rPr>
        <w:t xml:space="preserve">Im zweiten Vortrag von </w:t>
      </w:r>
      <w:r w:rsidRPr="00802D59">
        <w:rPr>
          <w:rFonts w:cs="Arial"/>
          <w:b/>
          <w:color w:val="000000"/>
          <w:szCs w:val="24"/>
        </w:rPr>
        <w:t>Louise Loughlin (MHRA)</w:t>
      </w:r>
      <w:r w:rsidRPr="00CE4CAA">
        <w:rPr>
          <w:rFonts w:cs="Arial"/>
          <w:color w:val="000000"/>
          <w:szCs w:val="24"/>
        </w:rPr>
        <w:t xml:space="preserve"> wurden die Aktivitäten im Rahmen des SCOPE (Collaboration for Operating Pharmacovigilance in Europe) Projekts vorgestellt. Dieses wurde 2013 gestartet und zielte darauf ab, Information und Expertise der Behörden der Mitgliedsstaaten zusammen zu tragen und eine Reihe von “Tools” zu entwickeln (inclusive Guidance-Dokumente, Trainingsmaterialien und andere Hilfestellungen für eine konsistente Umsetzung von Pharmakovigilanzaktivitäten in der gesamten EU. Das Projekt bestand aus acht Arbeitspaketen, von denen drei auf </w:t>
      </w:r>
      <w:r w:rsidRPr="00CE4CAA">
        <w:rPr>
          <w:rFonts w:cs="Arial"/>
          <w:color w:val="000000"/>
          <w:szCs w:val="24"/>
        </w:rPr>
        <w:lastRenderedPageBreak/>
        <w:t>praktische Aspekte von Koordination, Weitergabe und Evaluation fokussierten. Die fünf weiteren Arbeitspakete adressierten spezifische Aspekte von Adverse Drug Reaction (ADR) collection, signal management, risk communication, quality management systems und lifecycle pharmacovigilance. Das SCOPE Projekt beinhaltet unter anderem auch verschiedene Lerneinheiten für Industrie und Heilberufler, über die von der Referentin berichtet wurde. Die Resonanz auf die Trainings war sehr gut. Außerdem gab es als Pilot auch eine Infokampagne für Patienten (in 21 EU-Mitgliedstaaten), nach der die Meldezahlen stark gestiegen waren. Weiterhin gibt es verschiedene Guidance Dokumente z.B. zur Aufbereitung von Webinformationen in leicht erfassbarer Art sowie eLearning Module für PV Mitarbeiter in der Industrie.</w:t>
      </w:r>
    </w:p>
    <w:p w14:paraId="38AB37C9" w14:textId="77777777" w:rsidR="00CE4CAA" w:rsidRPr="00CE4CAA" w:rsidRDefault="00CE4CAA" w:rsidP="00CE4CAA">
      <w:pPr>
        <w:spacing w:line="276" w:lineRule="auto"/>
        <w:rPr>
          <w:rFonts w:cs="Arial"/>
          <w:color w:val="000000"/>
          <w:szCs w:val="24"/>
        </w:rPr>
      </w:pPr>
    </w:p>
    <w:p w14:paraId="31B45118" w14:textId="77777777" w:rsidR="00CE4CAA" w:rsidRDefault="00CE4CAA" w:rsidP="00CE4CAA">
      <w:pPr>
        <w:spacing w:line="276" w:lineRule="auto"/>
        <w:rPr>
          <w:rFonts w:cs="Arial"/>
          <w:color w:val="000000"/>
          <w:szCs w:val="24"/>
        </w:rPr>
      </w:pPr>
      <w:r w:rsidRPr="00802D59">
        <w:rPr>
          <w:rFonts w:cs="Arial"/>
          <w:b/>
          <w:color w:val="000000"/>
          <w:szCs w:val="24"/>
        </w:rPr>
        <w:t>Juan Garcia Burgos (EMA)</w:t>
      </w:r>
      <w:r w:rsidRPr="00CE4CAA">
        <w:rPr>
          <w:rFonts w:cs="Arial"/>
          <w:color w:val="000000"/>
          <w:szCs w:val="24"/>
        </w:rPr>
        <w:t xml:space="preserve"> berichtet über das Verfahren der Beteiligung von Patienten und Heilberufsvertretern in öffentlichen Anhörungen der EMA. Dabei erläuterte er die Vorbereitung sowie den geplanten Ablauf der Anhörung im Referral-Verfahren zu Valproat. Es gibt dazu vordefinierte Fragen als Leitfaden. Patienten sollen ein angemessenes Forum erhalten und insgesamt die Transparenz erhöht werden. Weiterhin erläuterte er, dass es um den Austausch zwischen den Beteiligten und nicht nur um eine Anhörung von Seiten der Behörden gehe. Das Vertrauen in das System soll damit gestärkt werden.</w:t>
      </w:r>
    </w:p>
    <w:p w14:paraId="1B87D926" w14:textId="77777777" w:rsidR="00CE4CAA" w:rsidRPr="00CE4CAA" w:rsidRDefault="00CE4CAA" w:rsidP="00CE4CAA">
      <w:pPr>
        <w:spacing w:line="276" w:lineRule="auto"/>
        <w:rPr>
          <w:rFonts w:cs="Arial"/>
          <w:color w:val="000000"/>
          <w:szCs w:val="24"/>
        </w:rPr>
      </w:pPr>
    </w:p>
    <w:p w14:paraId="6D97CD46" w14:textId="77777777" w:rsidR="00CE4CAA" w:rsidRDefault="00CE4CAA" w:rsidP="00CE4CAA">
      <w:pPr>
        <w:spacing w:line="276" w:lineRule="auto"/>
        <w:rPr>
          <w:rFonts w:cs="Arial"/>
          <w:color w:val="000000"/>
          <w:szCs w:val="24"/>
        </w:rPr>
      </w:pPr>
      <w:r w:rsidRPr="00CE4CAA">
        <w:rPr>
          <w:rFonts w:cs="Arial"/>
          <w:color w:val="000000"/>
          <w:szCs w:val="24"/>
        </w:rPr>
        <w:t>Zu den in Kürze implementierten neuen Funktionen und sonstigen Änderungen in Eudravigilance berichtete</w:t>
      </w:r>
      <w:r w:rsidRPr="00CE4CAA">
        <w:rPr>
          <w:rFonts w:cs="Arial"/>
          <w:bCs/>
          <w:color w:val="000000"/>
          <w:szCs w:val="24"/>
        </w:rPr>
        <w:t xml:space="preserve"> </w:t>
      </w:r>
      <w:r w:rsidRPr="00802D59">
        <w:rPr>
          <w:rFonts w:cs="Arial"/>
          <w:b/>
          <w:color w:val="000000"/>
          <w:szCs w:val="24"/>
        </w:rPr>
        <w:t>Sabine Brosch von der EMA.</w:t>
      </w:r>
      <w:r w:rsidRPr="00CE4CAA">
        <w:rPr>
          <w:rFonts w:cs="Arial"/>
          <w:color w:val="000000"/>
          <w:szCs w:val="24"/>
        </w:rPr>
        <w:t xml:space="preserve"> Sie gab einen kurzen Überblick über das Projekt der Einrichtung der vollen Funktionsfähigkeit von EV gemäß Pharmapaket. Die EMA berichtet regelmäßig in stakeholder meetings hierzu und hat eine ganze Reihe informativer Seiten sowie Trainings zu den Umstellungen eingerichtet. Sie wies daher neben den an die Industrie gerichteten Änderungen insbesondere auf den neuerdings gegebenen Zugang für Patienten und Heilberufler hin, da dies ein weiterer Schritt zu mehr Transparenz sein soll. Für diese gibt es ein eigenes Portal für Suchen, und die Möglichkeit, line listings zu erhalten und zu filtern (z.B. Seriousness, Geographic Origin, Reporter Group, Sex, Age Group…). ICSR sind per Link im line listing verfügbar.</w:t>
      </w:r>
    </w:p>
    <w:p w14:paraId="45A24EBC" w14:textId="77777777" w:rsidR="00CE4CAA" w:rsidRPr="00CE4CAA" w:rsidRDefault="00CE4CAA" w:rsidP="00CE4CAA">
      <w:pPr>
        <w:spacing w:line="276" w:lineRule="auto"/>
        <w:rPr>
          <w:rFonts w:cs="Arial"/>
          <w:color w:val="000000"/>
          <w:szCs w:val="24"/>
        </w:rPr>
      </w:pPr>
    </w:p>
    <w:p w14:paraId="73AAE22C" w14:textId="77777777" w:rsidR="00CE4CAA" w:rsidRDefault="00CE4CAA" w:rsidP="00CE4CAA">
      <w:pPr>
        <w:spacing w:line="276" w:lineRule="auto"/>
        <w:rPr>
          <w:rFonts w:cs="Arial"/>
          <w:color w:val="000000"/>
          <w:szCs w:val="24"/>
        </w:rPr>
      </w:pPr>
      <w:r w:rsidRPr="00802D59">
        <w:rPr>
          <w:rFonts w:cs="Arial"/>
          <w:b/>
          <w:color w:val="000000"/>
          <w:szCs w:val="24"/>
        </w:rPr>
        <w:t>Georgy Genov (EMA)</w:t>
      </w:r>
      <w:r w:rsidRPr="00CE4CAA">
        <w:rPr>
          <w:rFonts w:cs="Arial"/>
          <w:color w:val="000000"/>
          <w:szCs w:val="24"/>
        </w:rPr>
        <w:t xml:space="preserve"> führte zu den Erfahrungen der letzten fünf Jahre mit dem Prozess des Signal Management</w:t>
      </w:r>
      <w:r w:rsidRPr="00CE4CAA">
        <w:rPr>
          <w:rFonts w:cs="Arial"/>
          <w:bCs/>
          <w:color w:val="000000"/>
          <w:szCs w:val="24"/>
        </w:rPr>
        <w:t xml:space="preserve"> </w:t>
      </w:r>
      <w:r w:rsidRPr="00CE4CAA">
        <w:rPr>
          <w:rFonts w:cs="Arial"/>
          <w:color w:val="000000"/>
          <w:szCs w:val="24"/>
        </w:rPr>
        <w:t xml:space="preserve">aus, dass Erkenntnisse inzwischen besser und schneller verfügbar sind. Auch die Transparenz wurde erhöht und validierte wissenschaftliche Methoden standardmäßig implementiert. Meist führen die Verfahren zu Änderungen in der GI/FI, und nur gelegentlich </w:t>
      </w:r>
      <w:r w:rsidRPr="00CE4CAA">
        <w:rPr>
          <w:rFonts w:cs="Arial"/>
          <w:color w:val="000000"/>
          <w:szCs w:val="24"/>
        </w:rPr>
        <w:lastRenderedPageBreak/>
        <w:t>wurden neue Kontraindikationen aufgenommen. Nur 4,3% der Signalverfahren münden in einem Referral-Verfahren. Ergebnisse der Signalverfahren wurden inzwischen mit Übersetzungen in die EU Sprachen publiziert. Im Ausblick stellte er die neuen Pflichten zum Signal Management in Eudravigilance dar und auf den Einschluss der emerging safety issues in das Modul zu Signal Management. Abschließend erläuterte er, dass die neuen Pflichten zur Signaldetektion in EVDAS in einer einjährigen Übergangsphase erprobt werden sollen (Produkte unter additional monitoring müssen dies spätestens im Februar 2018 routinemäßig durchführen). Die in EVDAS hinterlegten statistischen Tools sind evidenzbasiert entwickelt worden.</w:t>
      </w:r>
    </w:p>
    <w:p w14:paraId="7EB36A85" w14:textId="77777777" w:rsidR="00CE4CAA" w:rsidRPr="00CE4CAA" w:rsidRDefault="00CE4CAA" w:rsidP="00CE4CAA">
      <w:pPr>
        <w:spacing w:line="276" w:lineRule="auto"/>
        <w:rPr>
          <w:rFonts w:cs="Arial"/>
          <w:color w:val="000000"/>
          <w:szCs w:val="24"/>
        </w:rPr>
      </w:pPr>
    </w:p>
    <w:p w14:paraId="7DB3B9FA" w14:textId="77777777" w:rsidR="00CE4CAA" w:rsidRDefault="00CE4CAA" w:rsidP="00CE4CAA">
      <w:pPr>
        <w:spacing w:line="276" w:lineRule="auto"/>
        <w:rPr>
          <w:rFonts w:cs="Arial"/>
          <w:color w:val="000000"/>
          <w:szCs w:val="24"/>
        </w:rPr>
      </w:pPr>
      <w:bookmarkStart w:id="9" w:name="_GoBack"/>
      <w:r w:rsidRPr="00802D59">
        <w:rPr>
          <w:rFonts w:cs="Arial"/>
          <w:b/>
          <w:color w:val="000000"/>
          <w:szCs w:val="24"/>
        </w:rPr>
        <w:t>Xavier Kurz (EMA)</w:t>
      </w:r>
      <w:r w:rsidRPr="00CE4CAA">
        <w:rPr>
          <w:rFonts w:cs="Arial"/>
          <w:color w:val="000000"/>
          <w:szCs w:val="24"/>
        </w:rPr>
        <w:t xml:space="preserve"> </w:t>
      </w:r>
      <w:bookmarkEnd w:id="9"/>
      <w:r w:rsidRPr="00CE4CAA">
        <w:rPr>
          <w:rFonts w:cs="Arial"/>
          <w:color w:val="000000"/>
          <w:szCs w:val="24"/>
        </w:rPr>
        <w:t>referierte zur Registries initiative, die 2015 initiiert wurde. Im Oktober 2016 gab es einen Workshop mit Behörden zu den Erwartungen an Register aus deren Sicht und die realistisch erzielbaren Ergebnisse. Es gibt darüber hinaus eine aus Behördenvertretern gebildete Task Force und drei Arbeitsgruppen zu common data elements, consent and governance, interoperability and quality. Ziel ist die Entwicklung von Standards für Register, um sie für Pharmakovigilanzprojekte und Patienten optimal nutzbar zu machen. In einem Pilotprojekt wurde der Versuch unternommen, Datensammlungen zu zystischer Fibrose und multipler Sklerose interoperabel und gemeinsam auswertbar zu machen.</w:t>
      </w:r>
    </w:p>
    <w:p w14:paraId="440A638E" w14:textId="77777777" w:rsidR="00CE4CAA" w:rsidRPr="00CE4CAA" w:rsidRDefault="00CE4CAA" w:rsidP="00CE4CAA">
      <w:pPr>
        <w:spacing w:line="276" w:lineRule="auto"/>
        <w:rPr>
          <w:rFonts w:cs="Arial"/>
          <w:color w:val="000000"/>
          <w:szCs w:val="24"/>
        </w:rPr>
      </w:pPr>
    </w:p>
    <w:p w14:paraId="72F29FBB" w14:textId="77777777" w:rsidR="00CE4CAA" w:rsidRPr="00CE4CAA" w:rsidRDefault="00CE4CAA" w:rsidP="00CE4CAA">
      <w:pPr>
        <w:spacing w:line="276" w:lineRule="auto"/>
        <w:rPr>
          <w:rFonts w:cs="Arial"/>
          <w:color w:val="000000"/>
          <w:szCs w:val="24"/>
        </w:rPr>
      </w:pPr>
      <w:r w:rsidRPr="00CE4CAA">
        <w:rPr>
          <w:rFonts w:cs="Arial"/>
          <w:color w:val="000000"/>
          <w:szCs w:val="24"/>
        </w:rPr>
        <w:t>Almath Spooner (HPRA) gab als Co-Chair des PRAC abschließend einen kurzen Ausblick in die Zukunft der europäischen Pharmakovigilanz. Den Umgang mit Social media, “big data” und die Weiterentwicklung von Fortbildungskonzepten für eine konsistente Anwendung von PV-Regularien waren die Themen über die sie mit Blick auf die Zukunft reflektierte.</w:t>
      </w:r>
    </w:p>
    <w:p w14:paraId="6CE5086D" w14:textId="77777777" w:rsidR="005D74F6" w:rsidRDefault="005D74F6" w:rsidP="005D74F6">
      <w:pPr>
        <w:spacing w:line="276" w:lineRule="auto"/>
        <w:rPr>
          <w:rFonts w:cs="Arial"/>
          <w:color w:val="000000"/>
          <w:szCs w:val="24"/>
        </w:rPr>
      </w:pPr>
    </w:p>
    <w:p w14:paraId="574656C6" w14:textId="77777777" w:rsidR="0003207B" w:rsidRPr="005D74F6" w:rsidRDefault="0003207B" w:rsidP="005D74F6">
      <w:pPr>
        <w:spacing w:line="276" w:lineRule="auto"/>
        <w:rPr>
          <w:rFonts w:cs="Arial"/>
          <w:color w:val="000000"/>
          <w:szCs w:val="24"/>
        </w:rPr>
      </w:pPr>
    </w:p>
    <w:p w14:paraId="17C47A70" w14:textId="2B6D5B43" w:rsidR="005D74F6" w:rsidRPr="004F5953" w:rsidRDefault="00CE4CAA" w:rsidP="005D74F6">
      <w:pPr>
        <w:pStyle w:val="berschrift1"/>
      </w:pPr>
      <w:bookmarkStart w:id="10" w:name="_Toc494106248"/>
      <w:r>
        <w:t>EMA:</w:t>
      </w:r>
      <w:bookmarkEnd w:id="10"/>
    </w:p>
    <w:p w14:paraId="6799E550" w14:textId="7C3ACB7C" w:rsidR="005D74F6" w:rsidRDefault="00CE4CAA" w:rsidP="005D74F6">
      <w:pPr>
        <w:pStyle w:val="berschrift1"/>
        <w:numPr>
          <w:ilvl w:val="0"/>
          <w:numId w:val="0"/>
        </w:numPr>
        <w:spacing w:line="276" w:lineRule="auto"/>
        <w:ind w:left="426"/>
        <w:jc w:val="both"/>
      </w:pPr>
      <w:bookmarkStart w:id="11" w:name="_Toc494106249"/>
      <w:r w:rsidRPr="00CE4CAA">
        <w:t>PRAC Meeting Minutes vom Juli 2017 veröffentlic</w:t>
      </w:r>
      <w:r>
        <w:t>ht</w:t>
      </w:r>
      <w:bookmarkEnd w:id="11"/>
    </w:p>
    <w:p w14:paraId="15FF2AF9" w14:textId="77777777" w:rsidR="005D74F6" w:rsidRPr="00525E2B" w:rsidRDefault="005D74F6" w:rsidP="005D74F6">
      <w:pPr>
        <w:spacing w:line="276" w:lineRule="auto"/>
        <w:rPr>
          <w:bCs/>
        </w:rPr>
      </w:pPr>
      <w:r w:rsidRPr="00525E2B">
        <w:rPr>
          <w:bCs/>
        </w:rPr>
        <w:t>___________________________________________________________</w:t>
      </w:r>
    </w:p>
    <w:p w14:paraId="79203E10" w14:textId="77777777" w:rsidR="005D74F6" w:rsidRDefault="005D74F6" w:rsidP="005D74F6">
      <w:pPr>
        <w:spacing w:line="276" w:lineRule="auto"/>
      </w:pPr>
    </w:p>
    <w:p w14:paraId="1810E68C" w14:textId="77777777" w:rsidR="00CE4CAA" w:rsidRPr="00CE4CAA" w:rsidRDefault="00CE4CAA" w:rsidP="00CE4CAA">
      <w:pPr>
        <w:spacing w:line="276" w:lineRule="auto"/>
        <w:rPr>
          <w:bCs/>
        </w:rPr>
      </w:pPr>
      <w:r w:rsidRPr="00CE4CAA">
        <w:rPr>
          <w:bCs/>
        </w:rPr>
        <w:t xml:space="preserve">Die Meeting Minutes des Pharmacovigilance Risk Assessment Committee (PRAC) von der Sitzung, die vom </w:t>
      </w:r>
      <w:r w:rsidRPr="00CE4CAA">
        <w:rPr>
          <w:b/>
          <w:bCs/>
        </w:rPr>
        <w:t>3. – 6. Juli 2017</w:t>
      </w:r>
      <w:r w:rsidRPr="00CE4CAA">
        <w:rPr>
          <w:bCs/>
        </w:rPr>
        <w:t xml:space="preserve"> stattfand, wurden veröffentlicht. Das gesamte Dokument finden Sie auf der EMA-Webseite </w:t>
      </w:r>
      <w:hyperlink r:id="rId15" w:history="1">
        <w:r w:rsidRPr="00CE4CAA">
          <w:rPr>
            <w:rStyle w:val="Hyperlink"/>
            <w:bCs/>
          </w:rPr>
          <w:t>hier</w:t>
        </w:r>
      </w:hyperlink>
      <w:r w:rsidRPr="00CE4CAA">
        <w:rPr>
          <w:bCs/>
        </w:rPr>
        <w:t xml:space="preserve">. </w:t>
      </w:r>
    </w:p>
    <w:p w14:paraId="5B695655" w14:textId="77777777" w:rsidR="00CE4CAA" w:rsidRPr="00CE4CAA" w:rsidRDefault="00CE4CAA" w:rsidP="00CE4CAA">
      <w:pPr>
        <w:spacing w:line="276" w:lineRule="auto"/>
        <w:rPr>
          <w:bCs/>
        </w:rPr>
      </w:pPr>
    </w:p>
    <w:p w14:paraId="7321F409" w14:textId="77777777" w:rsidR="00CE4CAA" w:rsidRPr="00CE4CAA" w:rsidRDefault="00CE4CAA" w:rsidP="00CE4CAA">
      <w:pPr>
        <w:spacing w:line="276" w:lineRule="auto"/>
        <w:rPr>
          <w:bCs/>
        </w:rPr>
      </w:pPr>
      <w:r w:rsidRPr="00CE4CAA">
        <w:rPr>
          <w:bCs/>
        </w:rPr>
        <w:t xml:space="preserve">Das PRAC diskutiert in seinen monatlichen Meetings unter anderem neue und laufende europäische Risikobewertungsverfahren. In diesem Meeting wurden folgende Risikobewertungsverfahren weiterbearbeitet: </w:t>
      </w:r>
    </w:p>
    <w:p w14:paraId="789BF274" w14:textId="77777777" w:rsidR="00CE4CAA" w:rsidRPr="00CE4CAA" w:rsidRDefault="00CE4CAA" w:rsidP="00CE4CAA">
      <w:pPr>
        <w:spacing w:line="276" w:lineRule="auto"/>
        <w:rPr>
          <w:bCs/>
        </w:rPr>
      </w:pPr>
    </w:p>
    <w:p w14:paraId="11B14FA5" w14:textId="77777777" w:rsidR="00CE4CAA" w:rsidRPr="00CE4CAA" w:rsidRDefault="00CE4CAA" w:rsidP="00CE4CAA">
      <w:pPr>
        <w:numPr>
          <w:ilvl w:val="0"/>
          <w:numId w:val="29"/>
        </w:numPr>
        <w:spacing w:line="276" w:lineRule="auto"/>
        <w:rPr>
          <w:b/>
          <w:bCs/>
        </w:rPr>
      </w:pPr>
      <w:r w:rsidRPr="00CE4CAA">
        <w:rPr>
          <w:b/>
          <w:bCs/>
        </w:rPr>
        <w:t xml:space="preserve">Daclizumab    </w:t>
      </w:r>
    </w:p>
    <w:p w14:paraId="5A491806" w14:textId="77777777" w:rsidR="00CE4CAA" w:rsidRPr="00CE4CAA" w:rsidRDefault="00CE4CAA" w:rsidP="00CE4CAA">
      <w:pPr>
        <w:spacing w:line="276" w:lineRule="auto"/>
        <w:rPr>
          <w:bCs/>
        </w:rPr>
      </w:pPr>
      <w:r w:rsidRPr="00CE4CAA">
        <w:rPr>
          <w:bCs/>
        </w:rPr>
        <w:lastRenderedPageBreak/>
        <w:t>Siehe hierzu den Beitrag im WB Nr. 29/2017. Das Risikobewertungsverfahren nach Artikel 20 der Verordnung 726/2004 wurde auf Initiative der Europäischen Kommission gestartet. Zusätzlich bzw. parallel wurden übergangsweise zu beachtende Maßnahmen veröffentlicht. Diese Empfehlungen des PRAC für vorläufige Sicherheitsmaßnahmen wurden dann am 14. Juli durch eine Entscheidung der EU-Kommission rechtsverbindlich.</w:t>
      </w:r>
    </w:p>
    <w:p w14:paraId="412B8907" w14:textId="77777777" w:rsidR="00CE4CAA" w:rsidRPr="00CE4CAA" w:rsidRDefault="00CE4CAA" w:rsidP="00CE4CAA">
      <w:pPr>
        <w:spacing w:line="276" w:lineRule="auto"/>
        <w:rPr>
          <w:bCs/>
        </w:rPr>
      </w:pPr>
      <w:r w:rsidRPr="00CE4CAA">
        <w:rPr>
          <w:bCs/>
        </w:rPr>
        <w:t xml:space="preserve">Das PRAC verabschiedete am 9. August 2017 eine </w:t>
      </w:r>
      <w:hyperlink r:id="rId16" w:history="1">
        <w:r w:rsidRPr="00CE4CAA">
          <w:rPr>
            <w:rStyle w:val="Hyperlink"/>
            <w:bCs/>
          </w:rPr>
          <w:t>überarbeitete Empfehlung</w:t>
        </w:r>
      </w:hyperlink>
      <w:r w:rsidRPr="00CE4CAA">
        <w:rPr>
          <w:bCs/>
        </w:rPr>
        <w:t xml:space="preserve">, um eine einheitliche Information in den verschiedenen Abschnitten der Produktinformation zu erreichen. Am 29. August 2017 hat daraufhin die EC den Beschluss vom 14. Juli 2017 entsprechend korrigiert.  </w:t>
      </w:r>
    </w:p>
    <w:p w14:paraId="3E34AC22" w14:textId="77777777" w:rsidR="00CE4CAA" w:rsidRPr="00CE4CAA" w:rsidRDefault="00CE4CAA" w:rsidP="00CE4CAA">
      <w:pPr>
        <w:spacing w:line="276" w:lineRule="auto"/>
        <w:rPr>
          <w:bCs/>
          <w:i/>
        </w:rPr>
      </w:pPr>
    </w:p>
    <w:p w14:paraId="05BC5EFC" w14:textId="77777777" w:rsidR="00CE4CAA" w:rsidRPr="00CE4CAA" w:rsidRDefault="00CE4CAA" w:rsidP="00CE4CAA">
      <w:pPr>
        <w:numPr>
          <w:ilvl w:val="0"/>
          <w:numId w:val="29"/>
        </w:numPr>
        <w:spacing w:line="276" w:lineRule="auto"/>
        <w:rPr>
          <w:bCs/>
        </w:rPr>
      </w:pPr>
      <w:r w:rsidRPr="00CE4CAA">
        <w:rPr>
          <w:b/>
          <w:bCs/>
        </w:rPr>
        <w:t>Paracetamol</w:t>
      </w:r>
    </w:p>
    <w:p w14:paraId="269499BA" w14:textId="77777777" w:rsidR="00CE4CAA" w:rsidRPr="00CE4CAA" w:rsidRDefault="00CE4CAA" w:rsidP="00CE4CAA">
      <w:pPr>
        <w:spacing w:line="276" w:lineRule="auto"/>
        <w:rPr>
          <w:bCs/>
        </w:rPr>
      </w:pPr>
      <w:r w:rsidRPr="00CE4CAA">
        <w:rPr>
          <w:bCs/>
        </w:rPr>
        <w:t xml:space="preserve">Das Risikobewertungsverfahren nach Artikel 31 der RL 2001/83 wurde von der schwedischen Behörde initiiert. Betroffen sind modifiziert freisetzende Paracetamol-Produkte. Das PRAC verabschiedete eine dritte „list of outstanding issues“ für die betroffenen MAHs sowie einen </w:t>
      </w:r>
      <w:hyperlink r:id="rId17" w:history="1">
        <w:r w:rsidRPr="00CE4CAA">
          <w:rPr>
            <w:rStyle w:val="Hyperlink"/>
            <w:bCs/>
          </w:rPr>
          <w:t>überarbeiteten Zeitplan.</w:t>
        </w:r>
      </w:hyperlink>
    </w:p>
    <w:p w14:paraId="2DDA468B" w14:textId="77777777" w:rsidR="00CE4CAA" w:rsidRPr="00CE4CAA" w:rsidRDefault="00CE4CAA" w:rsidP="00CE4CAA">
      <w:pPr>
        <w:spacing w:line="276" w:lineRule="auto"/>
        <w:rPr>
          <w:bCs/>
        </w:rPr>
      </w:pPr>
    </w:p>
    <w:p w14:paraId="29D11166" w14:textId="77777777" w:rsidR="00CE4CAA" w:rsidRPr="00CE4CAA" w:rsidRDefault="00CE4CAA" w:rsidP="00CE4CAA">
      <w:pPr>
        <w:numPr>
          <w:ilvl w:val="0"/>
          <w:numId w:val="29"/>
        </w:numPr>
        <w:spacing w:line="276" w:lineRule="auto"/>
        <w:rPr>
          <w:bCs/>
        </w:rPr>
      </w:pPr>
      <w:r w:rsidRPr="00CE4CAA">
        <w:rPr>
          <w:b/>
          <w:bCs/>
        </w:rPr>
        <w:t>Valproate</w:t>
      </w:r>
    </w:p>
    <w:p w14:paraId="549533CB" w14:textId="77777777" w:rsidR="00CE4CAA" w:rsidRPr="00CE4CAA" w:rsidRDefault="00CE4CAA" w:rsidP="00CE4CAA">
      <w:pPr>
        <w:spacing w:line="276" w:lineRule="auto"/>
        <w:rPr>
          <w:bCs/>
        </w:rPr>
      </w:pPr>
      <w:r w:rsidRPr="00CE4CAA">
        <w:rPr>
          <w:bCs/>
        </w:rPr>
        <w:t xml:space="preserve">Das Risikobewertungsverfahren wurde nach Artikel 31 der RL 2001/83 von der französischen Behörde initiiert. Am 26. September 2017 gibt es, wie mehrfach berichtet, zu diesem Referral eine öffentliche Anhörung. Die </w:t>
      </w:r>
      <w:hyperlink r:id="rId18" w:history="1">
        <w:r w:rsidRPr="00CE4CAA">
          <w:rPr>
            <w:rStyle w:val="Hyperlink"/>
            <w:bCs/>
          </w:rPr>
          <w:t>Agenda zur Anhörung</w:t>
        </w:r>
      </w:hyperlink>
      <w:r w:rsidRPr="00CE4CAA">
        <w:rPr>
          <w:bCs/>
        </w:rPr>
        <w:t xml:space="preserve"> sowie  </w:t>
      </w:r>
      <w:hyperlink r:id="rId19" w:history="1">
        <w:r w:rsidRPr="00CE4CAA">
          <w:rPr>
            <w:rStyle w:val="Hyperlink"/>
            <w:bCs/>
          </w:rPr>
          <w:t>Details</w:t>
        </w:r>
      </w:hyperlink>
      <w:r w:rsidRPr="00CE4CAA">
        <w:rPr>
          <w:bCs/>
        </w:rPr>
        <w:t xml:space="preserve"> zum Verfahren sind verfügbar.</w:t>
      </w:r>
    </w:p>
    <w:p w14:paraId="06C23BAE" w14:textId="77777777" w:rsidR="00CE4CAA" w:rsidRPr="00CE4CAA" w:rsidRDefault="00CE4CAA" w:rsidP="00CE4CAA">
      <w:pPr>
        <w:spacing w:line="276" w:lineRule="auto"/>
        <w:rPr>
          <w:bCs/>
        </w:rPr>
      </w:pPr>
    </w:p>
    <w:p w14:paraId="6478372F" w14:textId="77777777" w:rsidR="00CE4CAA" w:rsidRPr="00CE4CAA" w:rsidRDefault="00CE4CAA" w:rsidP="00CE4CAA">
      <w:pPr>
        <w:spacing w:line="276" w:lineRule="auto"/>
        <w:rPr>
          <w:bCs/>
        </w:rPr>
      </w:pPr>
      <w:r w:rsidRPr="00CE4CAA">
        <w:rPr>
          <w:bCs/>
        </w:rPr>
        <w:t xml:space="preserve">Bewertungen von </w:t>
      </w:r>
      <w:r w:rsidRPr="00CE4CAA">
        <w:rPr>
          <w:b/>
          <w:bCs/>
        </w:rPr>
        <w:t>Risikomanagementplänen</w:t>
      </w:r>
      <w:r w:rsidRPr="00CE4CAA">
        <w:rPr>
          <w:bCs/>
        </w:rPr>
        <w:t xml:space="preserve"> (RMP) und </w:t>
      </w:r>
      <w:r w:rsidRPr="00CE4CAA">
        <w:rPr>
          <w:b/>
          <w:bCs/>
        </w:rPr>
        <w:t>Zulassungs-verlängerungen</w:t>
      </w:r>
      <w:r w:rsidRPr="00CE4CAA">
        <w:rPr>
          <w:bCs/>
        </w:rPr>
        <w:t xml:space="preserve"> zu verschiedenen Stoffen sowie Bewertungen von </w:t>
      </w:r>
      <w:r w:rsidRPr="00CE4CAA">
        <w:rPr>
          <w:b/>
          <w:bCs/>
        </w:rPr>
        <w:t>Periodic Safety Update Reports</w:t>
      </w:r>
      <w:r w:rsidRPr="00CE4CAA">
        <w:rPr>
          <w:bCs/>
        </w:rPr>
        <w:t xml:space="preserve"> (PSURs) und </w:t>
      </w:r>
      <w:r w:rsidRPr="00CE4CAA">
        <w:rPr>
          <w:b/>
          <w:bCs/>
        </w:rPr>
        <w:t xml:space="preserve">Studienprotokollen zu Post-Authorisation Safety Studies </w:t>
      </w:r>
      <w:r w:rsidRPr="00CE4CAA">
        <w:rPr>
          <w:bCs/>
        </w:rPr>
        <w:t>(PASS) werden ebenfalls durch das PRAC vorgenommen und können den Minutes entnommen werden.</w:t>
      </w:r>
    </w:p>
    <w:p w14:paraId="13A9E9E1" w14:textId="77777777" w:rsidR="00CE4CAA" w:rsidRPr="00CE4CAA" w:rsidRDefault="00CE4CAA" w:rsidP="00CE4CAA">
      <w:pPr>
        <w:spacing w:line="276" w:lineRule="auto"/>
        <w:rPr>
          <w:bCs/>
        </w:rPr>
      </w:pPr>
    </w:p>
    <w:p w14:paraId="787E0C2A" w14:textId="77777777" w:rsidR="00CE4CAA" w:rsidRPr="00CE4CAA" w:rsidRDefault="00CE4CAA" w:rsidP="00CE4CAA">
      <w:pPr>
        <w:spacing w:line="276" w:lineRule="auto"/>
        <w:rPr>
          <w:bCs/>
        </w:rPr>
      </w:pPr>
      <w:r w:rsidRPr="00CE4CAA">
        <w:rPr>
          <w:bCs/>
        </w:rPr>
        <w:t xml:space="preserve">In den Meetings des PRAC werden außerdem </w:t>
      </w:r>
      <w:r w:rsidRPr="00CE4CAA">
        <w:rPr>
          <w:b/>
          <w:bCs/>
        </w:rPr>
        <w:t>Sicherheitssignale</w:t>
      </w:r>
      <w:r w:rsidRPr="00CE4CAA">
        <w:rPr>
          <w:bCs/>
        </w:rPr>
        <w:t xml:space="preserve"> (Safety Signals) bewertet und Empfehlungen zu diesen ausgesprochen. Details zu diesen Empfehlungen und den diskutierten Signalen finden Sie ebenfalls in den Minutes. Die Empfehlungen zu den in diesem Meeting besprochenen Signalen sowie die vorgeschlagenen Textänderungen wurden bereits am </w:t>
      </w:r>
      <w:r w:rsidRPr="00CE4CAA">
        <w:rPr>
          <w:bCs/>
          <w:u w:val="single"/>
        </w:rPr>
        <w:t>7. August 2017</w:t>
      </w:r>
      <w:r w:rsidRPr="00CE4CAA">
        <w:rPr>
          <w:bCs/>
        </w:rPr>
        <w:t xml:space="preserve"> veröffentlicht. Die pharmazeutischen Unternehmer sind aufgefordert, die Änderungen in ihre Produktinformationen ohne Abweichungen wörtlich zu übernehmen. Sie finden die Empfehlungen sowie die Übersetzungen der empfohlenen Textänderungen auf der Webseite der EMA </w:t>
      </w:r>
      <w:hyperlink r:id="rId20" w:history="1">
        <w:r w:rsidRPr="00CE4CAA">
          <w:rPr>
            <w:rStyle w:val="Hyperlink"/>
            <w:bCs/>
          </w:rPr>
          <w:t>hier</w:t>
        </w:r>
      </w:hyperlink>
      <w:r w:rsidRPr="00CE4CAA">
        <w:rPr>
          <w:bCs/>
        </w:rPr>
        <w:t>.</w:t>
      </w:r>
    </w:p>
    <w:p w14:paraId="2687CA26" w14:textId="2C2B557B" w:rsidR="006B0393" w:rsidRDefault="006B0393" w:rsidP="00862AAF">
      <w:pPr>
        <w:spacing w:line="276" w:lineRule="auto"/>
        <w:rPr>
          <w:bCs/>
        </w:rPr>
      </w:pPr>
    </w:p>
    <w:p w14:paraId="0FFCD125" w14:textId="5D9A2683" w:rsidR="005D74F6" w:rsidRPr="004F5953" w:rsidRDefault="00CE4CAA" w:rsidP="00862AAF">
      <w:pPr>
        <w:spacing w:line="276" w:lineRule="auto"/>
        <w:rPr>
          <w:bCs/>
        </w:rPr>
      </w:pPr>
      <w:r>
        <w:rPr>
          <w:bCs/>
        </w:rPr>
        <w:br w:type="column"/>
      </w:r>
    </w:p>
    <w:p w14:paraId="3F8B2238" w14:textId="7454E40F" w:rsidR="004F5953" w:rsidRPr="004F5953" w:rsidRDefault="00CE4CAA" w:rsidP="005D74F6">
      <w:pPr>
        <w:pStyle w:val="berschrift1"/>
      </w:pPr>
      <w:bookmarkStart w:id="12" w:name="_Toc494106250"/>
      <w:r>
        <w:t>BfArM/PEI</w:t>
      </w:r>
      <w:r w:rsidR="006B0393">
        <w:t>:</w:t>
      </w:r>
      <w:bookmarkEnd w:id="12"/>
    </w:p>
    <w:p w14:paraId="57AC9795" w14:textId="3AF9D210" w:rsidR="004F5953" w:rsidRDefault="00CE4CAA" w:rsidP="00862AAF">
      <w:pPr>
        <w:pStyle w:val="berschrift1"/>
        <w:numPr>
          <w:ilvl w:val="0"/>
          <w:numId w:val="0"/>
        </w:numPr>
        <w:spacing w:line="276" w:lineRule="auto"/>
        <w:ind w:left="426"/>
      </w:pPr>
      <w:bookmarkStart w:id="13" w:name="_Toc494106251"/>
      <w:r w:rsidRPr="00CE4CAA">
        <w:t>Bulletin zur Arzneimittelsicherheit Ausgabe 3 – September 2017 veröffe</w:t>
      </w:r>
      <w:r>
        <w:t>ntlicht</w:t>
      </w:r>
      <w:bookmarkEnd w:id="13"/>
    </w:p>
    <w:p w14:paraId="1371F074" w14:textId="77777777" w:rsidR="003305D7" w:rsidRPr="00525E2B" w:rsidRDefault="003305D7" w:rsidP="003305D7">
      <w:pPr>
        <w:spacing w:line="276" w:lineRule="auto"/>
        <w:rPr>
          <w:bCs/>
        </w:rPr>
      </w:pPr>
      <w:r w:rsidRPr="00525E2B">
        <w:rPr>
          <w:bCs/>
        </w:rPr>
        <w:t>___________________________________________________________</w:t>
      </w:r>
    </w:p>
    <w:p w14:paraId="613FEC93" w14:textId="6F3F9781" w:rsidR="003305D7" w:rsidRDefault="003305D7" w:rsidP="00862AAF">
      <w:pPr>
        <w:spacing w:line="276" w:lineRule="auto"/>
      </w:pPr>
    </w:p>
    <w:p w14:paraId="65CE7250" w14:textId="77777777" w:rsidR="00CE4CAA" w:rsidRPr="00CE4CAA" w:rsidRDefault="00CE4CAA" w:rsidP="00CE4CAA">
      <w:pPr>
        <w:spacing w:line="276" w:lineRule="auto"/>
      </w:pPr>
      <w:r w:rsidRPr="00CE4CAA">
        <w:t xml:space="preserve">Die Bundesoberbehörden (BfArM und PEI) haben das neueste </w:t>
      </w:r>
      <w:hyperlink r:id="rId21" w:history="1">
        <w:r w:rsidRPr="00CE4CAA">
          <w:rPr>
            <w:rStyle w:val="Hyperlink"/>
          </w:rPr>
          <w:t>Bulletin zur Arzneimittelsicherheit</w:t>
        </w:r>
      </w:hyperlink>
      <w:r w:rsidRPr="00CE4CAA">
        <w:t xml:space="preserve"> herausgegeben. </w:t>
      </w:r>
    </w:p>
    <w:p w14:paraId="3C0458A8" w14:textId="77777777" w:rsidR="00CE4CAA" w:rsidRPr="00CE4CAA" w:rsidRDefault="00CE4CAA" w:rsidP="00CE4CAA">
      <w:pPr>
        <w:spacing w:line="276" w:lineRule="auto"/>
      </w:pPr>
    </w:p>
    <w:p w14:paraId="0DC9E699" w14:textId="77777777" w:rsidR="00CE4CAA" w:rsidRPr="00CE4CAA" w:rsidRDefault="00CE4CAA" w:rsidP="00CE4CAA">
      <w:pPr>
        <w:spacing w:line="276" w:lineRule="auto"/>
      </w:pPr>
      <w:r w:rsidRPr="00CE4CAA">
        <w:t>Die Themen der September - Ausgabe lauten u.a.:</w:t>
      </w:r>
    </w:p>
    <w:p w14:paraId="15A02C97" w14:textId="77777777" w:rsidR="00CE4CAA" w:rsidRPr="00CE4CAA" w:rsidRDefault="00CE4CAA" w:rsidP="00CE4CAA">
      <w:pPr>
        <w:spacing w:line="276" w:lineRule="auto"/>
      </w:pPr>
    </w:p>
    <w:p w14:paraId="3CDB4864" w14:textId="77777777" w:rsidR="00CE4CAA" w:rsidRPr="00CE4CAA" w:rsidRDefault="00CE4CAA" w:rsidP="00CE4CAA">
      <w:pPr>
        <w:numPr>
          <w:ilvl w:val="0"/>
          <w:numId w:val="30"/>
        </w:numPr>
        <w:spacing w:line="276" w:lineRule="auto"/>
      </w:pPr>
      <w:r w:rsidRPr="00CE4CAA">
        <w:t>Pembrolizumab (Keytruda®): Stevens-Johnson-Syndrom (SJS) und toxisch epidermale Nekrolyse (TEN)</w:t>
      </w:r>
    </w:p>
    <w:p w14:paraId="4374EC42" w14:textId="77777777" w:rsidR="00CE4CAA" w:rsidRPr="00CE4CAA" w:rsidRDefault="00CE4CAA" w:rsidP="00CE4CAA">
      <w:pPr>
        <w:numPr>
          <w:ilvl w:val="0"/>
          <w:numId w:val="30"/>
        </w:numPr>
        <w:spacing w:line="276" w:lineRule="auto"/>
      </w:pPr>
      <w:r w:rsidRPr="00CE4CAA">
        <w:t>SAPHO-Syndrom im Zusammenhang mit Adalimumab bei einem Patienten mit Morbus Crohn</w:t>
      </w:r>
    </w:p>
    <w:p w14:paraId="77988833" w14:textId="77777777" w:rsidR="00CE4CAA" w:rsidRPr="00CE4CAA" w:rsidRDefault="00CE4CAA" w:rsidP="00CE4CAA">
      <w:pPr>
        <w:numPr>
          <w:ilvl w:val="0"/>
          <w:numId w:val="30"/>
        </w:numPr>
        <w:spacing w:line="276" w:lineRule="auto"/>
      </w:pPr>
      <w:r w:rsidRPr="00CE4CAA">
        <w:t>Denosumab (Prolia®, XGEVA®): Fallberichte von Osteonekrosen des äußeren Gehörgangs</w:t>
      </w:r>
    </w:p>
    <w:p w14:paraId="31ADFFC5" w14:textId="77777777" w:rsidR="00CE4CAA" w:rsidRPr="00CE4CAA" w:rsidRDefault="00CE4CAA" w:rsidP="00CE4CAA">
      <w:pPr>
        <w:numPr>
          <w:ilvl w:val="0"/>
          <w:numId w:val="30"/>
        </w:numPr>
        <w:spacing w:line="276" w:lineRule="auto"/>
      </w:pPr>
      <w:r w:rsidRPr="00CE4CAA">
        <w:t>Verschreibungspflicht</w:t>
      </w:r>
    </w:p>
    <w:p w14:paraId="7B39EA20" w14:textId="77777777" w:rsidR="00CE4CAA" w:rsidRPr="00CE4CAA" w:rsidRDefault="00CE4CAA" w:rsidP="00CE4CAA">
      <w:pPr>
        <w:numPr>
          <w:ilvl w:val="0"/>
          <w:numId w:val="30"/>
        </w:numPr>
        <w:spacing w:line="276" w:lineRule="auto"/>
      </w:pPr>
      <w:r w:rsidRPr="00CE4CAA">
        <w:t>Drug-induced liver injury: Ein kurzer Überblick</w:t>
      </w:r>
    </w:p>
    <w:p w14:paraId="77D7CB5A" w14:textId="77777777" w:rsidR="00CE4CAA" w:rsidRPr="00CE4CAA" w:rsidRDefault="00CE4CAA" w:rsidP="00CE4CAA">
      <w:pPr>
        <w:numPr>
          <w:ilvl w:val="0"/>
          <w:numId w:val="30"/>
        </w:numPr>
        <w:spacing w:line="276" w:lineRule="auto"/>
      </w:pPr>
      <w:r w:rsidRPr="00CE4CAA">
        <w:t>Entwicklung eines PBTK-Modells für die Risikobewertung der Aluminiumexposition aus Adjuvanzien</w:t>
      </w:r>
    </w:p>
    <w:p w14:paraId="2CA1341B" w14:textId="77777777" w:rsidR="00CE4CAA" w:rsidRPr="00CE4CAA" w:rsidRDefault="00CE4CAA" w:rsidP="00CE4CAA">
      <w:pPr>
        <w:numPr>
          <w:ilvl w:val="0"/>
          <w:numId w:val="30"/>
        </w:numPr>
        <w:spacing w:line="276" w:lineRule="auto"/>
      </w:pPr>
      <w:r w:rsidRPr="00CE4CAA">
        <w:t>Generationsübergreifende diätetische Effekte auf die Kognition – Beeinflussung kognitiver Fähigkeiten des Nachwuchses durch väterliche Ernährungsgewohnheiten im Mausmodell</w:t>
      </w:r>
    </w:p>
    <w:p w14:paraId="3F58C5C0" w14:textId="77777777" w:rsidR="00CE4CAA" w:rsidRPr="00CE4CAA" w:rsidRDefault="00CE4CAA" w:rsidP="00CE4CAA">
      <w:pPr>
        <w:numPr>
          <w:ilvl w:val="0"/>
          <w:numId w:val="30"/>
        </w:numPr>
        <w:spacing w:line="276" w:lineRule="auto"/>
      </w:pPr>
      <w:r w:rsidRPr="00CE4CAA">
        <w:t>Meldungen aus BfArM und PEI</w:t>
      </w:r>
    </w:p>
    <w:p w14:paraId="4BA73DB3" w14:textId="77777777" w:rsidR="00CE4CAA" w:rsidRPr="00CE4CAA" w:rsidRDefault="00CE4CAA" w:rsidP="00CE4CAA">
      <w:pPr>
        <w:numPr>
          <w:ilvl w:val="0"/>
          <w:numId w:val="30"/>
        </w:numPr>
        <w:spacing w:line="276" w:lineRule="auto"/>
      </w:pPr>
      <w:r w:rsidRPr="00CE4CAA">
        <w:t>Hinweise auf Rote-Hand-Briefe und Sicherheitsinformationen</w:t>
      </w:r>
    </w:p>
    <w:p w14:paraId="09A7AA46" w14:textId="50EDBDC0" w:rsidR="00085EFA" w:rsidRPr="003305D7" w:rsidRDefault="00085EFA" w:rsidP="00CE4CAA">
      <w:pPr>
        <w:spacing w:line="276" w:lineRule="auto"/>
      </w:pPr>
    </w:p>
    <w:sectPr w:rsidR="00085EFA" w:rsidRPr="003305D7" w:rsidSect="003904B9">
      <w:headerReference w:type="default" r:id="rId22"/>
      <w:footerReference w:type="even" r:id="rId23"/>
      <w:footerReference w:type="default" r:id="rId24"/>
      <w:headerReference w:type="first" r:id="rId25"/>
      <w:footerReference w:type="first" r:id="rId26"/>
      <w:pgSz w:w="11901" w:h="16834" w:code="9"/>
      <w:pgMar w:top="1418" w:right="1985" w:bottom="1418" w:left="1985"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AFFCC" w14:textId="77777777" w:rsidR="007C77CD" w:rsidRDefault="007C77CD">
      <w:r>
        <w:separator/>
      </w:r>
    </w:p>
  </w:endnote>
  <w:endnote w:type="continuationSeparator" w:id="0">
    <w:p w14:paraId="16DAC40B" w14:textId="77777777" w:rsidR="007C77CD" w:rsidRDefault="007C7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0FE83" w14:textId="77777777" w:rsidR="00FE4694" w:rsidRDefault="00FE469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23</w:t>
    </w:r>
    <w:r>
      <w:rPr>
        <w:rStyle w:val="Seitenzahl"/>
      </w:rPr>
      <w:fldChar w:fldCharType="end"/>
    </w:r>
  </w:p>
  <w:p w14:paraId="1F10FE84" w14:textId="77777777" w:rsidR="00FE4694" w:rsidRDefault="00FE469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0FE85" w14:textId="330D184F" w:rsidR="00FE4694" w:rsidRPr="001D60BB" w:rsidRDefault="00FE4694">
    <w:pPr>
      <w:pStyle w:val="Fuzeile"/>
      <w:framePr w:wrap="around" w:vAnchor="text" w:hAnchor="margin" w:xAlign="right" w:y="1"/>
      <w:jc w:val="right"/>
      <w:rPr>
        <w:rStyle w:val="Seitenzahl"/>
        <w:sz w:val="20"/>
      </w:rPr>
    </w:pPr>
    <w:r w:rsidRPr="001D60BB">
      <w:rPr>
        <w:rStyle w:val="Seitenzahl"/>
        <w:sz w:val="20"/>
      </w:rPr>
      <w:fldChar w:fldCharType="begin"/>
    </w:r>
    <w:r w:rsidRPr="001D60BB">
      <w:rPr>
        <w:rStyle w:val="Seitenzahl"/>
        <w:sz w:val="20"/>
      </w:rPr>
      <w:instrText xml:space="preserve">PAGE  </w:instrText>
    </w:r>
    <w:r w:rsidRPr="001D60BB">
      <w:rPr>
        <w:rStyle w:val="Seitenzahl"/>
        <w:sz w:val="20"/>
      </w:rPr>
      <w:fldChar w:fldCharType="separate"/>
    </w:r>
    <w:r w:rsidR="00802D59">
      <w:rPr>
        <w:rStyle w:val="Seitenzahl"/>
        <w:noProof/>
        <w:sz w:val="20"/>
      </w:rPr>
      <w:t>6</w:t>
    </w:r>
    <w:r w:rsidRPr="001D60BB">
      <w:rPr>
        <w:rStyle w:val="Seitenzahl"/>
        <w:sz w:val="20"/>
      </w:rPr>
      <w:fldChar w:fldCharType="end"/>
    </w:r>
  </w:p>
  <w:p w14:paraId="1F10FE86" w14:textId="77777777" w:rsidR="00FE4694" w:rsidRDefault="00FE4694">
    <w:pPr>
      <w:pStyle w:val="Fuzeile"/>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0FE8B" w14:textId="7FD6953C" w:rsidR="00FE4694" w:rsidRPr="00330124" w:rsidRDefault="00FE4694">
    <w:pPr>
      <w:pStyle w:val="Fuzeile"/>
      <w:jc w:val="right"/>
      <w:rPr>
        <w:sz w:val="20"/>
      </w:rPr>
    </w:pPr>
    <w:r w:rsidRPr="00330124">
      <w:rPr>
        <w:rStyle w:val="Seitenzahl"/>
        <w:sz w:val="20"/>
      </w:rPr>
      <w:fldChar w:fldCharType="begin"/>
    </w:r>
    <w:r w:rsidRPr="00330124">
      <w:rPr>
        <w:rStyle w:val="Seitenzahl"/>
        <w:sz w:val="20"/>
      </w:rPr>
      <w:instrText xml:space="preserve"> PAGE </w:instrText>
    </w:r>
    <w:r w:rsidRPr="00330124">
      <w:rPr>
        <w:rStyle w:val="Seitenzahl"/>
        <w:sz w:val="20"/>
      </w:rPr>
      <w:fldChar w:fldCharType="separate"/>
    </w:r>
    <w:r w:rsidR="00802D59">
      <w:rPr>
        <w:rStyle w:val="Seitenzahl"/>
        <w:noProof/>
        <w:sz w:val="20"/>
      </w:rPr>
      <w:t>1</w:t>
    </w:r>
    <w:r w:rsidRPr="00330124">
      <w:rPr>
        <w:rStyle w:val="Seitenzah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F2D88" w14:textId="77777777" w:rsidR="007C77CD" w:rsidRDefault="007C77CD">
      <w:r>
        <w:separator/>
      </w:r>
    </w:p>
  </w:footnote>
  <w:footnote w:type="continuationSeparator" w:id="0">
    <w:p w14:paraId="6DEFC229" w14:textId="77777777" w:rsidR="007C77CD" w:rsidRDefault="007C7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0FE81" w14:textId="6D27CEA3" w:rsidR="00FE4694" w:rsidRDefault="00FE4694" w:rsidP="00E5661B">
    <w:pPr>
      <w:pStyle w:val="Kopfzeile"/>
      <w:jc w:val="center"/>
      <w:rPr>
        <w:b/>
      </w:rPr>
    </w:pPr>
    <w:r>
      <w:rPr>
        <w:b/>
        <w:noProof/>
      </w:rPr>
      <w:drawing>
        <wp:anchor distT="0" distB="0" distL="114300" distR="114300" simplePos="0" relativeHeight="251657216" behindDoc="0" locked="0" layoutInCell="1" allowOverlap="1" wp14:anchorId="1F10FE8C" wp14:editId="41C1F649">
          <wp:simplePos x="0" y="0"/>
          <wp:positionH relativeFrom="column">
            <wp:posOffset>4470400</wp:posOffset>
          </wp:positionH>
          <wp:positionV relativeFrom="paragraph">
            <wp:posOffset>-222885</wp:posOffset>
          </wp:positionV>
          <wp:extent cx="1562735" cy="426085"/>
          <wp:effectExtent l="0" t="0" r="0" b="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426085"/>
                  </a:xfrm>
                  <a:prstGeom prst="rect">
                    <a:avLst/>
                  </a:prstGeom>
                  <a:noFill/>
                </pic:spPr>
              </pic:pic>
            </a:graphicData>
          </a:graphic>
          <wp14:sizeRelH relativeFrom="page">
            <wp14:pctWidth>0</wp14:pctWidth>
          </wp14:sizeRelH>
          <wp14:sizeRelV relativeFrom="page">
            <wp14:pctHeight>0</wp14:pctHeight>
          </wp14:sizeRelV>
        </wp:anchor>
      </w:drawing>
    </w:r>
    <w:r w:rsidRPr="00576E2D">
      <w:rPr>
        <w:b/>
      </w:rPr>
      <w:t xml:space="preserve">Pharmakovigilanz – Wochenbericht </w:t>
    </w:r>
    <w:r w:rsidR="00B80542">
      <w:rPr>
        <w:b/>
      </w:rPr>
      <w:br/>
      <w:t xml:space="preserve">KW </w:t>
    </w:r>
    <w:r w:rsidR="004F5953">
      <w:rPr>
        <w:b/>
      </w:rPr>
      <w:t>3</w:t>
    </w:r>
    <w:r w:rsidR="00CE4CAA">
      <w:rPr>
        <w:b/>
      </w:rPr>
      <w:t>8</w:t>
    </w:r>
    <w:r>
      <w:rPr>
        <w:b/>
      </w:rPr>
      <w:t>/2017</w:t>
    </w:r>
  </w:p>
  <w:p w14:paraId="1F10FE82" w14:textId="77777777" w:rsidR="00FE4694" w:rsidRDefault="00FE4694" w:rsidP="00E5661B">
    <w:pPr>
      <w:pStyle w:val="Kopfzeile"/>
      <w:jc w:val="center"/>
      <w:rPr>
        <w:b/>
      </w:rPr>
    </w:pPr>
  </w:p>
  <w:p w14:paraId="3BEBBA04" w14:textId="77777777" w:rsidR="00FE4694" w:rsidRPr="00576E2D" w:rsidRDefault="00FE4694" w:rsidP="00E5661B">
    <w:pPr>
      <w:pStyle w:val="Kopfzeile"/>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0DFA0" w14:textId="38DEFDD6" w:rsidR="00FE4694" w:rsidRDefault="00FE4694" w:rsidP="00F23B39">
    <w:pPr>
      <w:pStyle w:val="Kopfzeile"/>
      <w:tabs>
        <w:tab w:val="clear" w:pos="4819"/>
        <w:tab w:val="clear" w:pos="9071"/>
        <w:tab w:val="center" w:pos="3965"/>
        <w:tab w:val="right" w:pos="7931"/>
      </w:tabs>
      <w:ind w:left="5672"/>
      <w:jc w:val="center"/>
      <w:rPr>
        <w:b/>
        <w:sz w:val="36"/>
        <w:szCs w:val="36"/>
      </w:rPr>
    </w:pPr>
    <w:r>
      <w:rPr>
        <w:b/>
        <w:noProof/>
      </w:rPr>
      <w:drawing>
        <wp:inline distT="0" distB="0" distL="0" distR="0" wp14:anchorId="5DBCDDCC" wp14:editId="3E052246">
          <wp:extent cx="2233930" cy="594995"/>
          <wp:effectExtent l="0" t="0" r="0" b="0"/>
          <wp:docPr id="5"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930" cy="594995"/>
                  </a:xfrm>
                  <a:prstGeom prst="rect">
                    <a:avLst/>
                  </a:prstGeom>
                  <a:noFill/>
                  <a:ln>
                    <a:noFill/>
                  </a:ln>
                </pic:spPr>
              </pic:pic>
            </a:graphicData>
          </a:graphic>
        </wp:inline>
      </w:drawing>
    </w:r>
  </w:p>
  <w:p w14:paraId="2150EE9F" w14:textId="77777777" w:rsidR="00FE4694" w:rsidRDefault="00FE4694" w:rsidP="00CC2F82">
    <w:pPr>
      <w:pStyle w:val="Kopfzeile"/>
      <w:tabs>
        <w:tab w:val="clear" w:pos="4819"/>
        <w:tab w:val="clear" w:pos="9071"/>
        <w:tab w:val="center" w:pos="3965"/>
        <w:tab w:val="right" w:pos="7931"/>
      </w:tabs>
      <w:jc w:val="center"/>
      <w:rPr>
        <w:b/>
        <w:sz w:val="36"/>
        <w:szCs w:val="36"/>
      </w:rPr>
    </w:pPr>
  </w:p>
  <w:p w14:paraId="1F10FE87" w14:textId="3669A657" w:rsidR="00FE4694" w:rsidRDefault="00FE4694" w:rsidP="00CC2F82">
    <w:pPr>
      <w:pStyle w:val="Kopfzeile"/>
      <w:tabs>
        <w:tab w:val="clear" w:pos="4819"/>
        <w:tab w:val="clear" w:pos="9071"/>
        <w:tab w:val="center" w:pos="3965"/>
        <w:tab w:val="right" w:pos="7931"/>
      </w:tabs>
      <w:jc w:val="center"/>
      <w:rPr>
        <w:b/>
        <w:sz w:val="36"/>
        <w:szCs w:val="36"/>
      </w:rPr>
    </w:pPr>
    <w:r>
      <w:rPr>
        <w:noProof/>
      </w:rPr>
      <w:drawing>
        <wp:anchor distT="0" distB="0" distL="114300" distR="114300" simplePos="0" relativeHeight="251659264" behindDoc="0" locked="0" layoutInCell="1" allowOverlap="1" wp14:anchorId="1F10FE8D" wp14:editId="6600A7AD">
          <wp:simplePos x="0" y="0"/>
          <wp:positionH relativeFrom="column">
            <wp:posOffset>6958330</wp:posOffset>
          </wp:positionH>
          <wp:positionV relativeFrom="paragraph">
            <wp:posOffset>-106045</wp:posOffset>
          </wp:positionV>
          <wp:extent cx="2190115" cy="563245"/>
          <wp:effectExtent l="0" t="0" r="635" b="8255"/>
          <wp:wrapNone/>
          <wp:docPr id="6" name="Bild 2" descr="BAH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H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115" cy="563245"/>
                  </a:xfrm>
                  <a:prstGeom prst="rect">
                    <a:avLst/>
                  </a:prstGeom>
                  <a:noFill/>
                </pic:spPr>
              </pic:pic>
            </a:graphicData>
          </a:graphic>
          <wp14:sizeRelH relativeFrom="page">
            <wp14:pctWidth>0</wp14:pctWidth>
          </wp14:sizeRelH>
          <wp14:sizeRelV relativeFrom="page">
            <wp14:pctHeight>0</wp14:pctHeight>
          </wp14:sizeRelV>
        </wp:anchor>
      </w:drawing>
    </w:r>
    <w:r w:rsidRPr="00FD1E1D">
      <w:rPr>
        <w:b/>
        <w:sz w:val="36"/>
        <w:szCs w:val="36"/>
      </w:rPr>
      <w:t>Pharmakovigilanz-Wochenbericht</w:t>
    </w:r>
  </w:p>
  <w:p w14:paraId="1F10FE88" w14:textId="77777777" w:rsidR="00FE4694" w:rsidRPr="00FD1E1D" w:rsidRDefault="00FE4694" w:rsidP="00CC2F82">
    <w:pPr>
      <w:pStyle w:val="Kopfzeile"/>
      <w:tabs>
        <w:tab w:val="clear" w:pos="4819"/>
        <w:tab w:val="clear" w:pos="9071"/>
        <w:tab w:val="center" w:pos="3965"/>
        <w:tab w:val="right" w:pos="7931"/>
      </w:tabs>
      <w:jc w:val="center"/>
      <w:rPr>
        <w:b/>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C6684C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A577C1"/>
    <w:multiLevelType w:val="hybridMultilevel"/>
    <w:tmpl w:val="D7DCC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EA704D"/>
    <w:multiLevelType w:val="hybridMultilevel"/>
    <w:tmpl w:val="7CEAAB0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736641B"/>
    <w:multiLevelType w:val="hybridMultilevel"/>
    <w:tmpl w:val="69428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2C4F9D"/>
    <w:multiLevelType w:val="multilevel"/>
    <w:tmpl w:val="E23A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90020"/>
    <w:multiLevelType w:val="hybridMultilevel"/>
    <w:tmpl w:val="DB6C3DE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E1A0F"/>
    <w:multiLevelType w:val="hybridMultilevel"/>
    <w:tmpl w:val="429AA37A"/>
    <w:lvl w:ilvl="0" w:tplc="29E45FA2">
      <w:start w:val="1"/>
      <w:numFmt w:val="decimal"/>
      <w:pStyle w:val="berschrift1"/>
      <w:lvlText w:val="%1."/>
      <w:lvlJc w:val="left"/>
      <w:pPr>
        <w:ind w:left="644" w:hanging="360"/>
      </w:pPr>
      <w:rPr>
        <w:rFonts w:hint="default"/>
      </w:r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7" w15:restartNumberingAfterBreak="0">
    <w:nsid w:val="20854C51"/>
    <w:multiLevelType w:val="hybridMultilevel"/>
    <w:tmpl w:val="A2367D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9C7574"/>
    <w:multiLevelType w:val="hybridMultilevel"/>
    <w:tmpl w:val="BD2CEC7E"/>
    <w:lvl w:ilvl="0" w:tplc="17126F4C">
      <w:numFmt w:val="bullet"/>
      <w:lvlText w:val=""/>
      <w:lvlJc w:val="left"/>
      <w:pPr>
        <w:ind w:left="1776" w:hanging="360"/>
      </w:pPr>
      <w:rPr>
        <w:rFonts w:ascii="Wingdings" w:eastAsia="Times New Roman"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23B50156"/>
    <w:multiLevelType w:val="hybridMultilevel"/>
    <w:tmpl w:val="EFBEF6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6F22AE"/>
    <w:multiLevelType w:val="hybridMultilevel"/>
    <w:tmpl w:val="70BEB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E00A4"/>
    <w:multiLevelType w:val="hybridMultilevel"/>
    <w:tmpl w:val="97CE3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5E58A9"/>
    <w:multiLevelType w:val="hybridMultilevel"/>
    <w:tmpl w:val="62048B18"/>
    <w:lvl w:ilvl="0" w:tplc="04070001">
      <w:start w:val="1"/>
      <w:numFmt w:val="bullet"/>
      <w:lvlText w:val=""/>
      <w:lvlJc w:val="left"/>
      <w:pPr>
        <w:tabs>
          <w:tab w:val="num" w:pos="720"/>
        </w:tabs>
        <w:ind w:left="720" w:hanging="360"/>
      </w:pPr>
      <w:rPr>
        <w:rFonts w:ascii="Symbol" w:hAnsi="Symbol" w:hint="default"/>
      </w:rPr>
    </w:lvl>
    <w:lvl w:ilvl="1" w:tplc="DDF21708" w:tentative="1">
      <w:start w:val="1"/>
      <w:numFmt w:val="bullet"/>
      <w:lvlText w:val=""/>
      <w:lvlJc w:val="left"/>
      <w:pPr>
        <w:tabs>
          <w:tab w:val="num" w:pos="1440"/>
        </w:tabs>
        <w:ind w:left="1440" w:hanging="360"/>
      </w:pPr>
      <w:rPr>
        <w:rFonts w:ascii="Wingdings" w:hAnsi="Wingdings" w:hint="default"/>
      </w:rPr>
    </w:lvl>
    <w:lvl w:ilvl="2" w:tplc="E77E5FCA" w:tentative="1">
      <w:start w:val="1"/>
      <w:numFmt w:val="bullet"/>
      <w:lvlText w:val=""/>
      <w:lvlJc w:val="left"/>
      <w:pPr>
        <w:tabs>
          <w:tab w:val="num" w:pos="2160"/>
        </w:tabs>
        <w:ind w:left="2160" w:hanging="360"/>
      </w:pPr>
      <w:rPr>
        <w:rFonts w:ascii="Wingdings" w:hAnsi="Wingdings" w:hint="default"/>
      </w:rPr>
    </w:lvl>
    <w:lvl w:ilvl="3" w:tplc="625CE49A" w:tentative="1">
      <w:start w:val="1"/>
      <w:numFmt w:val="bullet"/>
      <w:lvlText w:val=""/>
      <w:lvlJc w:val="left"/>
      <w:pPr>
        <w:tabs>
          <w:tab w:val="num" w:pos="2880"/>
        </w:tabs>
        <w:ind w:left="2880" w:hanging="360"/>
      </w:pPr>
      <w:rPr>
        <w:rFonts w:ascii="Wingdings" w:hAnsi="Wingdings" w:hint="default"/>
      </w:rPr>
    </w:lvl>
    <w:lvl w:ilvl="4" w:tplc="A81CD54E" w:tentative="1">
      <w:start w:val="1"/>
      <w:numFmt w:val="bullet"/>
      <w:lvlText w:val=""/>
      <w:lvlJc w:val="left"/>
      <w:pPr>
        <w:tabs>
          <w:tab w:val="num" w:pos="3600"/>
        </w:tabs>
        <w:ind w:left="3600" w:hanging="360"/>
      </w:pPr>
      <w:rPr>
        <w:rFonts w:ascii="Wingdings" w:hAnsi="Wingdings" w:hint="default"/>
      </w:rPr>
    </w:lvl>
    <w:lvl w:ilvl="5" w:tplc="AB403C9A" w:tentative="1">
      <w:start w:val="1"/>
      <w:numFmt w:val="bullet"/>
      <w:lvlText w:val=""/>
      <w:lvlJc w:val="left"/>
      <w:pPr>
        <w:tabs>
          <w:tab w:val="num" w:pos="4320"/>
        </w:tabs>
        <w:ind w:left="4320" w:hanging="360"/>
      </w:pPr>
      <w:rPr>
        <w:rFonts w:ascii="Wingdings" w:hAnsi="Wingdings" w:hint="default"/>
      </w:rPr>
    </w:lvl>
    <w:lvl w:ilvl="6" w:tplc="32288954" w:tentative="1">
      <w:start w:val="1"/>
      <w:numFmt w:val="bullet"/>
      <w:lvlText w:val=""/>
      <w:lvlJc w:val="left"/>
      <w:pPr>
        <w:tabs>
          <w:tab w:val="num" w:pos="5040"/>
        </w:tabs>
        <w:ind w:left="5040" w:hanging="360"/>
      </w:pPr>
      <w:rPr>
        <w:rFonts w:ascii="Wingdings" w:hAnsi="Wingdings" w:hint="default"/>
      </w:rPr>
    </w:lvl>
    <w:lvl w:ilvl="7" w:tplc="E98A14E6" w:tentative="1">
      <w:start w:val="1"/>
      <w:numFmt w:val="bullet"/>
      <w:lvlText w:val=""/>
      <w:lvlJc w:val="left"/>
      <w:pPr>
        <w:tabs>
          <w:tab w:val="num" w:pos="5760"/>
        </w:tabs>
        <w:ind w:left="5760" w:hanging="360"/>
      </w:pPr>
      <w:rPr>
        <w:rFonts w:ascii="Wingdings" w:hAnsi="Wingdings" w:hint="default"/>
      </w:rPr>
    </w:lvl>
    <w:lvl w:ilvl="8" w:tplc="179C22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A56F9"/>
    <w:multiLevelType w:val="hybridMultilevel"/>
    <w:tmpl w:val="810897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F31F7A"/>
    <w:multiLevelType w:val="hybridMultilevel"/>
    <w:tmpl w:val="4CD61482"/>
    <w:lvl w:ilvl="0" w:tplc="E72C39E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D9508A"/>
    <w:multiLevelType w:val="hybridMultilevel"/>
    <w:tmpl w:val="09AED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D42A61"/>
    <w:multiLevelType w:val="hybridMultilevel"/>
    <w:tmpl w:val="575E3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1F457F"/>
    <w:multiLevelType w:val="hybridMultilevel"/>
    <w:tmpl w:val="99CC9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801494"/>
    <w:multiLevelType w:val="hybridMultilevel"/>
    <w:tmpl w:val="5EE01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812287"/>
    <w:multiLevelType w:val="hybridMultilevel"/>
    <w:tmpl w:val="9702D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2E63C0"/>
    <w:multiLevelType w:val="hybridMultilevel"/>
    <w:tmpl w:val="B50048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89841BC"/>
    <w:multiLevelType w:val="hybridMultilevel"/>
    <w:tmpl w:val="F282FC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8E30013"/>
    <w:multiLevelType w:val="hybridMultilevel"/>
    <w:tmpl w:val="BCE04FAA"/>
    <w:lvl w:ilvl="0" w:tplc="BA500E3E">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97550B5"/>
    <w:multiLevelType w:val="hybridMultilevel"/>
    <w:tmpl w:val="CFD4A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070312"/>
    <w:multiLevelType w:val="hybridMultilevel"/>
    <w:tmpl w:val="EABE06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68FC671F"/>
    <w:multiLevelType w:val="hybridMultilevel"/>
    <w:tmpl w:val="405EAE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A859FD"/>
    <w:multiLevelType w:val="hybridMultilevel"/>
    <w:tmpl w:val="C52002CE"/>
    <w:lvl w:ilvl="0" w:tplc="C4741848">
      <w:numFmt w:val="bullet"/>
      <w:lvlText w:val="-"/>
      <w:lvlJc w:val="left"/>
      <w:pPr>
        <w:ind w:left="720" w:hanging="360"/>
      </w:pPr>
      <w:rPr>
        <w:rFonts w:ascii="Arial" w:eastAsiaTheme="minorHAnsi"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BB7D14"/>
    <w:multiLevelType w:val="hybridMultilevel"/>
    <w:tmpl w:val="FD0096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50D4A60"/>
    <w:multiLevelType w:val="hybridMultilevel"/>
    <w:tmpl w:val="0E8C88A6"/>
    <w:lvl w:ilvl="0" w:tplc="17126F4C">
      <w:numFmt w:val="bullet"/>
      <w:lvlText w:val=""/>
      <w:lvlJc w:val="left"/>
      <w:pPr>
        <w:ind w:left="1776" w:hanging="360"/>
      </w:pPr>
      <w:rPr>
        <w:rFonts w:ascii="Wingdings" w:eastAsia="Times New Roman"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7E8C1E82"/>
    <w:multiLevelType w:val="hybridMultilevel"/>
    <w:tmpl w:val="2BEA30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0"/>
  </w:num>
  <w:num w:numId="4">
    <w:abstractNumId w:val="27"/>
  </w:num>
  <w:num w:numId="5">
    <w:abstractNumId w:val="25"/>
  </w:num>
  <w:num w:numId="6">
    <w:abstractNumId w:val="8"/>
  </w:num>
  <w:num w:numId="7">
    <w:abstractNumId w:val="28"/>
  </w:num>
  <w:num w:numId="8">
    <w:abstractNumId w:val="21"/>
  </w:num>
  <w:num w:numId="9">
    <w:abstractNumId w:val="1"/>
  </w:num>
  <w:num w:numId="10">
    <w:abstractNumId w:val="18"/>
  </w:num>
  <w:num w:numId="11">
    <w:abstractNumId w:val="3"/>
  </w:num>
  <w:num w:numId="12">
    <w:abstractNumId w:val="10"/>
  </w:num>
  <w:num w:numId="13">
    <w:abstractNumId w:val="26"/>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num>
  <w:num w:numId="17">
    <w:abstractNumId w:val="5"/>
  </w:num>
  <w:num w:numId="18">
    <w:abstractNumId w:val="29"/>
  </w:num>
  <w:num w:numId="19">
    <w:abstractNumId w:val="19"/>
  </w:num>
  <w:num w:numId="20">
    <w:abstractNumId w:val="9"/>
  </w:num>
  <w:num w:numId="21">
    <w:abstractNumId w:val="12"/>
  </w:num>
  <w:num w:numId="22">
    <w:abstractNumId w:val="23"/>
  </w:num>
  <w:num w:numId="23">
    <w:abstractNumId w:val="15"/>
  </w:num>
  <w:num w:numId="24">
    <w:abstractNumId w:val="13"/>
  </w:num>
  <w:num w:numId="25">
    <w:abstractNumId w:val="11"/>
  </w:num>
  <w:num w:numId="26">
    <w:abstractNumId w:val="14"/>
  </w:num>
  <w:num w:numId="27">
    <w:abstractNumId w:val="22"/>
  </w:num>
  <w:num w:numId="28">
    <w:abstractNumId w:val="16"/>
  </w:num>
  <w:num w:numId="29">
    <w:abstractNumId w:val="2"/>
  </w:num>
  <w:num w:numId="3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113"/>
    <w:rsid w:val="000028F5"/>
    <w:rsid w:val="0000414F"/>
    <w:rsid w:val="00005722"/>
    <w:rsid w:val="00006F5B"/>
    <w:rsid w:val="0001114A"/>
    <w:rsid w:val="000148D8"/>
    <w:rsid w:val="00014E01"/>
    <w:rsid w:val="000174BA"/>
    <w:rsid w:val="0002027A"/>
    <w:rsid w:val="00025787"/>
    <w:rsid w:val="00025DC9"/>
    <w:rsid w:val="00026599"/>
    <w:rsid w:val="00026C62"/>
    <w:rsid w:val="00026CF6"/>
    <w:rsid w:val="00027745"/>
    <w:rsid w:val="00031006"/>
    <w:rsid w:val="0003207B"/>
    <w:rsid w:val="000320F3"/>
    <w:rsid w:val="00033835"/>
    <w:rsid w:val="00033B93"/>
    <w:rsid w:val="000360FA"/>
    <w:rsid w:val="0003611C"/>
    <w:rsid w:val="0003624E"/>
    <w:rsid w:val="0004189B"/>
    <w:rsid w:val="0004290E"/>
    <w:rsid w:val="00043AE7"/>
    <w:rsid w:val="00043F77"/>
    <w:rsid w:val="000455D0"/>
    <w:rsid w:val="00046A58"/>
    <w:rsid w:val="00047B52"/>
    <w:rsid w:val="00050608"/>
    <w:rsid w:val="0005077D"/>
    <w:rsid w:val="00052B31"/>
    <w:rsid w:val="00052CB3"/>
    <w:rsid w:val="000535C4"/>
    <w:rsid w:val="000554FD"/>
    <w:rsid w:val="000555F0"/>
    <w:rsid w:val="00055B70"/>
    <w:rsid w:val="0005660C"/>
    <w:rsid w:val="00062A45"/>
    <w:rsid w:val="00063A0A"/>
    <w:rsid w:val="000650B8"/>
    <w:rsid w:val="000655F8"/>
    <w:rsid w:val="0007048A"/>
    <w:rsid w:val="00071304"/>
    <w:rsid w:val="00076AB1"/>
    <w:rsid w:val="000834D2"/>
    <w:rsid w:val="0008437F"/>
    <w:rsid w:val="0008454C"/>
    <w:rsid w:val="00085EFA"/>
    <w:rsid w:val="0009331B"/>
    <w:rsid w:val="00096A49"/>
    <w:rsid w:val="000A01BE"/>
    <w:rsid w:val="000A2E46"/>
    <w:rsid w:val="000A7A01"/>
    <w:rsid w:val="000B1EDF"/>
    <w:rsid w:val="000B4404"/>
    <w:rsid w:val="000B50CA"/>
    <w:rsid w:val="000B58DE"/>
    <w:rsid w:val="000B6F71"/>
    <w:rsid w:val="000B721C"/>
    <w:rsid w:val="000C5084"/>
    <w:rsid w:val="000C5859"/>
    <w:rsid w:val="000C723D"/>
    <w:rsid w:val="000D0344"/>
    <w:rsid w:val="000D05F1"/>
    <w:rsid w:val="000D2D21"/>
    <w:rsid w:val="000D2EA0"/>
    <w:rsid w:val="000D37E7"/>
    <w:rsid w:val="000D52AD"/>
    <w:rsid w:val="000D5370"/>
    <w:rsid w:val="000D732C"/>
    <w:rsid w:val="000D7A1E"/>
    <w:rsid w:val="000D7AAB"/>
    <w:rsid w:val="000E1C14"/>
    <w:rsid w:val="000E7150"/>
    <w:rsid w:val="000F1146"/>
    <w:rsid w:val="000F1D4F"/>
    <w:rsid w:val="000F75B2"/>
    <w:rsid w:val="00100449"/>
    <w:rsid w:val="00102280"/>
    <w:rsid w:val="00102D9E"/>
    <w:rsid w:val="00104B33"/>
    <w:rsid w:val="001057B5"/>
    <w:rsid w:val="00105F3D"/>
    <w:rsid w:val="0011146C"/>
    <w:rsid w:val="00111A1A"/>
    <w:rsid w:val="0011444B"/>
    <w:rsid w:val="00115EDD"/>
    <w:rsid w:val="00116B57"/>
    <w:rsid w:val="001217ED"/>
    <w:rsid w:val="00124B0B"/>
    <w:rsid w:val="00124C7D"/>
    <w:rsid w:val="0012739F"/>
    <w:rsid w:val="00131B31"/>
    <w:rsid w:val="00133B5D"/>
    <w:rsid w:val="00137E12"/>
    <w:rsid w:val="001449EA"/>
    <w:rsid w:val="001467B1"/>
    <w:rsid w:val="00146B75"/>
    <w:rsid w:val="0014702E"/>
    <w:rsid w:val="001475BB"/>
    <w:rsid w:val="0015065B"/>
    <w:rsid w:val="00154361"/>
    <w:rsid w:val="00155268"/>
    <w:rsid w:val="00155F12"/>
    <w:rsid w:val="001563FE"/>
    <w:rsid w:val="00156A7C"/>
    <w:rsid w:val="00156DA7"/>
    <w:rsid w:val="001600CC"/>
    <w:rsid w:val="0016028F"/>
    <w:rsid w:val="00161F4B"/>
    <w:rsid w:val="00165CF7"/>
    <w:rsid w:val="00174A79"/>
    <w:rsid w:val="001768CA"/>
    <w:rsid w:val="00177587"/>
    <w:rsid w:val="00180CE1"/>
    <w:rsid w:val="00182690"/>
    <w:rsid w:val="001842F2"/>
    <w:rsid w:val="001906B1"/>
    <w:rsid w:val="0019232F"/>
    <w:rsid w:val="00196CBD"/>
    <w:rsid w:val="001979D1"/>
    <w:rsid w:val="00197A86"/>
    <w:rsid w:val="001A1098"/>
    <w:rsid w:val="001A19CC"/>
    <w:rsid w:val="001A324F"/>
    <w:rsid w:val="001A5DFB"/>
    <w:rsid w:val="001B1372"/>
    <w:rsid w:val="001B15B0"/>
    <w:rsid w:val="001B16FD"/>
    <w:rsid w:val="001B1F9D"/>
    <w:rsid w:val="001B54F4"/>
    <w:rsid w:val="001B6CA7"/>
    <w:rsid w:val="001C7395"/>
    <w:rsid w:val="001C780C"/>
    <w:rsid w:val="001D35FC"/>
    <w:rsid w:val="001D3E15"/>
    <w:rsid w:val="001D60BB"/>
    <w:rsid w:val="001D6E3B"/>
    <w:rsid w:val="001D7020"/>
    <w:rsid w:val="001E303C"/>
    <w:rsid w:val="001E401C"/>
    <w:rsid w:val="001F129D"/>
    <w:rsid w:val="001F154A"/>
    <w:rsid w:val="001F2DB2"/>
    <w:rsid w:val="001F4EF4"/>
    <w:rsid w:val="00201F53"/>
    <w:rsid w:val="00202193"/>
    <w:rsid w:val="002042FC"/>
    <w:rsid w:val="0020516F"/>
    <w:rsid w:val="00205EF4"/>
    <w:rsid w:val="00207034"/>
    <w:rsid w:val="00207089"/>
    <w:rsid w:val="00211C99"/>
    <w:rsid w:val="00211DBE"/>
    <w:rsid w:val="00212B85"/>
    <w:rsid w:val="00215B00"/>
    <w:rsid w:val="00215B9E"/>
    <w:rsid w:val="00216AEB"/>
    <w:rsid w:val="00216C1F"/>
    <w:rsid w:val="00221A40"/>
    <w:rsid w:val="0022266D"/>
    <w:rsid w:val="00224F6E"/>
    <w:rsid w:val="00225DB2"/>
    <w:rsid w:val="00226BF3"/>
    <w:rsid w:val="00235D17"/>
    <w:rsid w:val="00237594"/>
    <w:rsid w:val="00246D08"/>
    <w:rsid w:val="002471EF"/>
    <w:rsid w:val="002525B1"/>
    <w:rsid w:val="00254A6E"/>
    <w:rsid w:val="0025505E"/>
    <w:rsid w:val="00255069"/>
    <w:rsid w:val="00260451"/>
    <w:rsid w:val="00261F08"/>
    <w:rsid w:val="00263E4A"/>
    <w:rsid w:val="002645AF"/>
    <w:rsid w:val="0026468D"/>
    <w:rsid w:val="00265088"/>
    <w:rsid w:val="002666F7"/>
    <w:rsid w:val="00267061"/>
    <w:rsid w:val="00271443"/>
    <w:rsid w:val="002720BF"/>
    <w:rsid w:val="00273008"/>
    <w:rsid w:val="002755D0"/>
    <w:rsid w:val="00275E78"/>
    <w:rsid w:val="00281113"/>
    <w:rsid w:val="002818A9"/>
    <w:rsid w:val="00281CEB"/>
    <w:rsid w:val="00282463"/>
    <w:rsid w:val="00283B99"/>
    <w:rsid w:val="00285143"/>
    <w:rsid w:val="00285F9F"/>
    <w:rsid w:val="002878C9"/>
    <w:rsid w:val="00290978"/>
    <w:rsid w:val="0029322E"/>
    <w:rsid w:val="002942CC"/>
    <w:rsid w:val="00295E4F"/>
    <w:rsid w:val="00296E7A"/>
    <w:rsid w:val="002A1235"/>
    <w:rsid w:val="002A2F91"/>
    <w:rsid w:val="002A3839"/>
    <w:rsid w:val="002B1AAD"/>
    <w:rsid w:val="002B253E"/>
    <w:rsid w:val="002B449D"/>
    <w:rsid w:val="002B5FD7"/>
    <w:rsid w:val="002C196D"/>
    <w:rsid w:val="002C2E5A"/>
    <w:rsid w:val="002C5B6C"/>
    <w:rsid w:val="002C753E"/>
    <w:rsid w:val="002D71B1"/>
    <w:rsid w:val="002E475F"/>
    <w:rsid w:val="002F0637"/>
    <w:rsid w:val="002F6D68"/>
    <w:rsid w:val="002F7FBC"/>
    <w:rsid w:val="00302A72"/>
    <w:rsid w:val="00303B90"/>
    <w:rsid w:val="00305F69"/>
    <w:rsid w:val="00307606"/>
    <w:rsid w:val="00323AA2"/>
    <w:rsid w:val="0032593B"/>
    <w:rsid w:val="0032646C"/>
    <w:rsid w:val="00326BC0"/>
    <w:rsid w:val="00330124"/>
    <w:rsid w:val="003305D7"/>
    <w:rsid w:val="003319AB"/>
    <w:rsid w:val="00340674"/>
    <w:rsid w:val="00341C7C"/>
    <w:rsid w:val="0034256C"/>
    <w:rsid w:val="00344C0F"/>
    <w:rsid w:val="00344FB6"/>
    <w:rsid w:val="00345018"/>
    <w:rsid w:val="0034511C"/>
    <w:rsid w:val="00347237"/>
    <w:rsid w:val="00350811"/>
    <w:rsid w:val="00350AF4"/>
    <w:rsid w:val="00351631"/>
    <w:rsid w:val="00352468"/>
    <w:rsid w:val="0035517D"/>
    <w:rsid w:val="003551E5"/>
    <w:rsid w:val="00355CBD"/>
    <w:rsid w:val="003569C4"/>
    <w:rsid w:val="00357FEB"/>
    <w:rsid w:val="00360AA0"/>
    <w:rsid w:val="00363E8E"/>
    <w:rsid w:val="00363F48"/>
    <w:rsid w:val="0036430E"/>
    <w:rsid w:val="00372348"/>
    <w:rsid w:val="003744CB"/>
    <w:rsid w:val="00374CF4"/>
    <w:rsid w:val="003761F3"/>
    <w:rsid w:val="00376CD6"/>
    <w:rsid w:val="003803F7"/>
    <w:rsid w:val="00380EF5"/>
    <w:rsid w:val="003904B9"/>
    <w:rsid w:val="00391002"/>
    <w:rsid w:val="00392248"/>
    <w:rsid w:val="00394DDF"/>
    <w:rsid w:val="00396550"/>
    <w:rsid w:val="003972F4"/>
    <w:rsid w:val="003A059D"/>
    <w:rsid w:val="003A0C8F"/>
    <w:rsid w:val="003A20B4"/>
    <w:rsid w:val="003A3DCF"/>
    <w:rsid w:val="003A6D8D"/>
    <w:rsid w:val="003A73DE"/>
    <w:rsid w:val="003B0E3C"/>
    <w:rsid w:val="003B2BC2"/>
    <w:rsid w:val="003B42BA"/>
    <w:rsid w:val="003B50DB"/>
    <w:rsid w:val="003B6CFA"/>
    <w:rsid w:val="003B7C92"/>
    <w:rsid w:val="003C37B4"/>
    <w:rsid w:val="003C5302"/>
    <w:rsid w:val="003C63D2"/>
    <w:rsid w:val="003C69D2"/>
    <w:rsid w:val="003D4154"/>
    <w:rsid w:val="003D4E57"/>
    <w:rsid w:val="003D54E3"/>
    <w:rsid w:val="003D5545"/>
    <w:rsid w:val="003D6697"/>
    <w:rsid w:val="003E67C1"/>
    <w:rsid w:val="003F1AEE"/>
    <w:rsid w:val="003F1B45"/>
    <w:rsid w:val="003F2D97"/>
    <w:rsid w:val="003F4CCE"/>
    <w:rsid w:val="003F628C"/>
    <w:rsid w:val="00401C5F"/>
    <w:rsid w:val="00402179"/>
    <w:rsid w:val="00402E8D"/>
    <w:rsid w:val="00405367"/>
    <w:rsid w:val="004063D9"/>
    <w:rsid w:val="004064F0"/>
    <w:rsid w:val="004072BB"/>
    <w:rsid w:val="004107A9"/>
    <w:rsid w:val="00413CE9"/>
    <w:rsid w:val="00416FA1"/>
    <w:rsid w:val="0042009E"/>
    <w:rsid w:val="00423259"/>
    <w:rsid w:val="004268CC"/>
    <w:rsid w:val="0042746B"/>
    <w:rsid w:val="00430809"/>
    <w:rsid w:val="00430B8F"/>
    <w:rsid w:val="00431765"/>
    <w:rsid w:val="00431E17"/>
    <w:rsid w:val="00432CF6"/>
    <w:rsid w:val="0043336C"/>
    <w:rsid w:val="00434438"/>
    <w:rsid w:val="0044103A"/>
    <w:rsid w:val="00442702"/>
    <w:rsid w:val="0044437D"/>
    <w:rsid w:val="00446D79"/>
    <w:rsid w:val="004518AC"/>
    <w:rsid w:val="00452594"/>
    <w:rsid w:val="00454426"/>
    <w:rsid w:val="00456898"/>
    <w:rsid w:val="00461ED5"/>
    <w:rsid w:val="00463897"/>
    <w:rsid w:val="0046685F"/>
    <w:rsid w:val="00470033"/>
    <w:rsid w:val="00471060"/>
    <w:rsid w:val="00473161"/>
    <w:rsid w:val="00473BE3"/>
    <w:rsid w:val="0047609C"/>
    <w:rsid w:val="004778F9"/>
    <w:rsid w:val="00486AFD"/>
    <w:rsid w:val="00491E9A"/>
    <w:rsid w:val="00493FB1"/>
    <w:rsid w:val="00493FF8"/>
    <w:rsid w:val="0049548E"/>
    <w:rsid w:val="004A2053"/>
    <w:rsid w:val="004A365E"/>
    <w:rsid w:val="004A4A46"/>
    <w:rsid w:val="004A5958"/>
    <w:rsid w:val="004A60DC"/>
    <w:rsid w:val="004A61DC"/>
    <w:rsid w:val="004A75DC"/>
    <w:rsid w:val="004B019D"/>
    <w:rsid w:val="004B1921"/>
    <w:rsid w:val="004B43F0"/>
    <w:rsid w:val="004B61C0"/>
    <w:rsid w:val="004C1A7B"/>
    <w:rsid w:val="004C1D83"/>
    <w:rsid w:val="004C3037"/>
    <w:rsid w:val="004C39FB"/>
    <w:rsid w:val="004C41A0"/>
    <w:rsid w:val="004C7209"/>
    <w:rsid w:val="004D00FE"/>
    <w:rsid w:val="004D12D9"/>
    <w:rsid w:val="004D5749"/>
    <w:rsid w:val="004D665D"/>
    <w:rsid w:val="004E3881"/>
    <w:rsid w:val="004E475C"/>
    <w:rsid w:val="004E4CBF"/>
    <w:rsid w:val="004E61E8"/>
    <w:rsid w:val="004E7208"/>
    <w:rsid w:val="004F013C"/>
    <w:rsid w:val="004F2B78"/>
    <w:rsid w:val="004F5953"/>
    <w:rsid w:val="004F66CB"/>
    <w:rsid w:val="004F7491"/>
    <w:rsid w:val="004F779C"/>
    <w:rsid w:val="00504B15"/>
    <w:rsid w:val="005055F0"/>
    <w:rsid w:val="0050584C"/>
    <w:rsid w:val="00505BC2"/>
    <w:rsid w:val="0051269B"/>
    <w:rsid w:val="00512777"/>
    <w:rsid w:val="00514496"/>
    <w:rsid w:val="005144FD"/>
    <w:rsid w:val="005155DC"/>
    <w:rsid w:val="00517159"/>
    <w:rsid w:val="00522883"/>
    <w:rsid w:val="00525D3F"/>
    <w:rsid w:val="00525E2B"/>
    <w:rsid w:val="005309A2"/>
    <w:rsid w:val="00534C97"/>
    <w:rsid w:val="00534F02"/>
    <w:rsid w:val="0053788F"/>
    <w:rsid w:val="005529BD"/>
    <w:rsid w:val="00554203"/>
    <w:rsid w:val="00555258"/>
    <w:rsid w:val="00555E13"/>
    <w:rsid w:val="00556B58"/>
    <w:rsid w:val="00561789"/>
    <w:rsid w:val="00562680"/>
    <w:rsid w:val="00563482"/>
    <w:rsid w:val="005700DD"/>
    <w:rsid w:val="00570288"/>
    <w:rsid w:val="0057172E"/>
    <w:rsid w:val="0057189B"/>
    <w:rsid w:val="00573FF3"/>
    <w:rsid w:val="00576E2D"/>
    <w:rsid w:val="00580E78"/>
    <w:rsid w:val="00586F78"/>
    <w:rsid w:val="00590162"/>
    <w:rsid w:val="00591A55"/>
    <w:rsid w:val="005A28B4"/>
    <w:rsid w:val="005A7391"/>
    <w:rsid w:val="005B0266"/>
    <w:rsid w:val="005B0AF4"/>
    <w:rsid w:val="005B5F05"/>
    <w:rsid w:val="005B6D76"/>
    <w:rsid w:val="005C0C9B"/>
    <w:rsid w:val="005C0D10"/>
    <w:rsid w:val="005C1073"/>
    <w:rsid w:val="005C23B4"/>
    <w:rsid w:val="005C32F7"/>
    <w:rsid w:val="005C4818"/>
    <w:rsid w:val="005C4CED"/>
    <w:rsid w:val="005C50CD"/>
    <w:rsid w:val="005C5119"/>
    <w:rsid w:val="005C5FC4"/>
    <w:rsid w:val="005D45E9"/>
    <w:rsid w:val="005D4A88"/>
    <w:rsid w:val="005D5745"/>
    <w:rsid w:val="005D67FD"/>
    <w:rsid w:val="005D728F"/>
    <w:rsid w:val="005D74F6"/>
    <w:rsid w:val="005D7A00"/>
    <w:rsid w:val="005E3476"/>
    <w:rsid w:val="005E3737"/>
    <w:rsid w:val="005F1049"/>
    <w:rsid w:val="005F2E18"/>
    <w:rsid w:val="005F3090"/>
    <w:rsid w:val="00602201"/>
    <w:rsid w:val="006072FB"/>
    <w:rsid w:val="00612863"/>
    <w:rsid w:val="00614425"/>
    <w:rsid w:val="00614EED"/>
    <w:rsid w:val="00615B84"/>
    <w:rsid w:val="00615E9E"/>
    <w:rsid w:val="00616C25"/>
    <w:rsid w:val="00616FCF"/>
    <w:rsid w:val="00624147"/>
    <w:rsid w:val="00630105"/>
    <w:rsid w:val="00630B98"/>
    <w:rsid w:val="00642014"/>
    <w:rsid w:val="00642D7D"/>
    <w:rsid w:val="006442A5"/>
    <w:rsid w:val="006459EF"/>
    <w:rsid w:val="00646008"/>
    <w:rsid w:val="006461AB"/>
    <w:rsid w:val="00653CBA"/>
    <w:rsid w:val="00656404"/>
    <w:rsid w:val="00662599"/>
    <w:rsid w:val="00662D4F"/>
    <w:rsid w:val="006653EF"/>
    <w:rsid w:val="00665DAD"/>
    <w:rsid w:val="00670945"/>
    <w:rsid w:val="00671712"/>
    <w:rsid w:val="0067400E"/>
    <w:rsid w:val="0067603E"/>
    <w:rsid w:val="006801C5"/>
    <w:rsid w:val="00680837"/>
    <w:rsid w:val="00684648"/>
    <w:rsid w:val="00690668"/>
    <w:rsid w:val="00691527"/>
    <w:rsid w:val="00692C39"/>
    <w:rsid w:val="00694A49"/>
    <w:rsid w:val="0069556D"/>
    <w:rsid w:val="00697A9E"/>
    <w:rsid w:val="006B0393"/>
    <w:rsid w:val="006B3829"/>
    <w:rsid w:val="006B3A67"/>
    <w:rsid w:val="006B4E00"/>
    <w:rsid w:val="006C42EB"/>
    <w:rsid w:val="006C4350"/>
    <w:rsid w:val="006D192C"/>
    <w:rsid w:val="006D5CEC"/>
    <w:rsid w:val="006D7B0F"/>
    <w:rsid w:val="006E0EAA"/>
    <w:rsid w:val="006E138B"/>
    <w:rsid w:val="006E1B0A"/>
    <w:rsid w:val="006E1F2A"/>
    <w:rsid w:val="006E2E8A"/>
    <w:rsid w:val="006E6F03"/>
    <w:rsid w:val="006E7C1E"/>
    <w:rsid w:val="006F1443"/>
    <w:rsid w:val="006F2B22"/>
    <w:rsid w:val="006F2BC5"/>
    <w:rsid w:val="006F323D"/>
    <w:rsid w:val="006F344D"/>
    <w:rsid w:val="006F3593"/>
    <w:rsid w:val="006F4CED"/>
    <w:rsid w:val="006F5FF4"/>
    <w:rsid w:val="006F7291"/>
    <w:rsid w:val="00704936"/>
    <w:rsid w:val="00706FDA"/>
    <w:rsid w:val="00707217"/>
    <w:rsid w:val="007173C2"/>
    <w:rsid w:val="007207F1"/>
    <w:rsid w:val="00721754"/>
    <w:rsid w:val="0072271F"/>
    <w:rsid w:val="00722929"/>
    <w:rsid w:val="00723ACF"/>
    <w:rsid w:val="0072457F"/>
    <w:rsid w:val="007246B7"/>
    <w:rsid w:val="007251E9"/>
    <w:rsid w:val="00735C56"/>
    <w:rsid w:val="00736409"/>
    <w:rsid w:val="00736EA1"/>
    <w:rsid w:val="00740CF4"/>
    <w:rsid w:val="007425AE"/>
    <w:rsid w:val="00742ED8"/>
    <w:rsid w:val="0074303F"/>
    <w:rsid w:val="00746684"/>
    <w:rsid w:val="0075163C"/>
    <w:rsid w:val="00757570"/>
    <w:rsid w:val="007627E6"/>
    <w:rsid w:val="00770CE8"/>
    <w:rsid w:val="00770DF7"/>
    <w:rsid w:val="007713EE"/>
    <w:rsid w:val="007744D6"/>
    <w:rsid w:val="007772AB"/>
    <w:rsid w:val="0078138B"/>
    <w:rsid w:val="00781C63"/>
    <w:rsid w:val="00785C78"/>
    <w:rsid w:val="0079141D"/>
    <w:rsid w:val="00792D13"/>
    <w:rsid w:val="0079312E"/>
    <w:rsid w:val="00793FC1"/>
    <w:rsid w:val="00797281"/>
    <w:rsid w:val="007A119D"/>
    <w:rsid w:val="007A15D5"/>
    <w:rsid w:val="007A3566"/>
    <w:rsid w:val="007A3EDC"/>
    <w:rsid w:val="007A54F9"/>
    <w:rsid w:val="007A60FA"/>
    <w:rsid w:val="007B3485"/>
    <w:rsid w:val="007B5628"/>
    <w:rsid w:val="007B6035"/>
    <w:rsid w:val="007B6A65"/>
    <w:rsid w:val="007C27FC"/>
    <w:rsid w:val="007C4A82"/>
    <w:rsid w:val="007C68CE"/>
    <w:rsid w:val="007C77CD"/>
    <w:rsid w:val="007D03C7"/>
    <w:rsid w:val="007D0450"/>
    <w:rsid w:val="007D4464"/>
    <w:rsid w:val="007D4663"/>
    <w:rsid w:val="007D7220"/>
    <w:rsid w:val="007E3AE6"/>
    <w:rsid w:val="007E52B5"/>
    <w:rsid w:val="007E721F"/>
    <w:rsid w:val="007E722E"/>
    <w:rsid w:val="007F3C4A"/>
    <w:rsid w:val="007F46D1"/>
    <w:rsid w:val="007F4783"/>
    <w:rsid w:val="007F4C9D"/>
    <w:rsid w:val="007F5B97"/>
    <w:rsid w:val="00802D59"/>
    <w:rsid w:val="00810D00"/>
    <w:rsid w:val="008120D2"/>
    <w:rsid w:val="00813ECA"/>
    <w:rsid w:val="008158C1"/>
    <w:rsid w:val="00816430"/>
    <w:rsid w:val="008169D8"/>
    <w:rsid w:val="00821490"/>
    <w:rsid w:val="00821D81"/>
    <w:rsid w:val="00824779"/>
    <w:rsid w:val="00825D5D"/>
    <w:rsid w:val="00826664"/>
    <w:rsid w:val="00827203"/>
    <w:rsid w:val="00831547"/>
    <w:rsid w:val="00833BBE"/>
    <w:rsid w:val="0083403C"/>
    <w:rsid w:val="008350FE"/>
    <w:rsid w:val="008357B1"/>
    <w:rsid w:val="00835A25"/>
    <w:rsid w:val="0083623C"/>
    <w:rsid w:val="00842459"/>
    <w:rsid w:val="008427D6"/>
    <w:rsid w:val="008526AE"/>
    <w:rsid w:val="00856771"/>
    <w:rsid w:val="00861917"/>
    <w:rsid w:val="00862AAF"/>
    <w:rsid w:val="00872C2D"/>
    <w:rsid w:val="00874AB1"/>
    <w:rsid w:val="00877159"/>
    <w:rsid w:val="00880324"/>
    <w:rsid w:val="00881D5D"/>
    <w:rsid w:val="00881DA0"/>
    <w:rsid w:val="0088330E"/>
    <w:rsid w:val="00884013"/>
    <w:rsid w:val="00884A3A"/>
    <w:rsid w:val="00884CF6"/>
    <w:rsid w:val="008866A0"/>
    <w:rsid w:val="00887969"/>
    <w:rsid w:val="008924E2"/>
    <w:rsid w:val="00892821"/>
    <w:rsid w:val="00892991"/>
    <w:rsid w:val="008952D7"/>
    <w:rsid w:val="00896F28"/>
    <w:rsid w:val="008A052D"/>
    <w:rsid w:val="008A223C"/>
    <w:rsid w:val="008A2F20"/>
    <w:rsid w:val="008A3624"/>
    <w:rsid w:val="008A553C"/>
    <w:rsid w:val="008A7534"/>
    <w:rsid w:val="008A765F"/>
    <w:rsid w:val="008B100C"/>
    <w:rsid w:val="008B52EE"/>
    <w:rsid w:val="008B6885"/>
    <w:rsid w:val="008C44DC"/>
    <w:rsid w:val="008C5302"/>
    <w:rsid w:val="008D08F5"/>
    <w:rsid w:val="008D15A9"/>
    <w:rsid w:val="008D7251"/>
    <w:rsid w:val="008E0FA4"/>
    <w:rsid w:val="008E55DA"/>
    <w:rsid w:val="008E581C"/>
    <w:rsid w:val="008E6CC9"/>
    <w:rsid w:val="008F6ADB"/>
    <w:rsid w:val="008F6D81"/>
    <w:rsid w:val="00900863"/>
    <w:rsid w:val="009020A5"/>
    <w:rsid w:val="00902502"/>
    <w:rsid w:val="009068A7"/>
    <w:rsid w:val="009131F3"/>
    <w:rsid w:val="00917A1B"/>
    <w:rsid w:val="0092093B"/>
    <w:rsid w:val="00923A27"/>
    <w:rsid w:val="009248D8"/>
    <w:rsid w:val="0092495F"/>
    <w:rsid w:val="00934826"/>
    <w:rsid w:val="00934EFF"/>
    <w:rsid w:val="0093554D"/>
    <w:rsid w:val="009362D2"/>
    <w:rsid w:val="00937E0B"/>
    <w:rsid w:val="00941FD3"/>
    <w:rsid w:val="009456D8"/>
    <w:rsid w:val="009464EA"/>
    <w:rsid w:val="009472D2"/>
    <w:rsid w:val="009500DF"/>
    <w:rsid w:val="00950A9E"/>
    <w:rsid w:val="009541F1"/>
    <w:rsid w:val="009566B1"/>
    <w:rsid w:val="0096048C"/>
    <w:rsid w:val="00963A94"/>
    <w:rsid w:val="00963D15"/>
    <w:rsid w:val="009666E0"/>
    <w:rsid w:val="009667CE"/>
    <w:rsid w:val="009670E8"/>
    <w:rsid w:val="0097386A"/>
    <w:rsid w:val="00975976"/>
    <w:rsid w:val="00982D49"/>
    <w:rsid w:val="0098312D"/>
    <w:rsid w:val="0099019F"/>
    <w:rsid w:val="009946A9"/>
    <w:rsid w:val="0099696A"/>
    <w:rsid w:val="009972EC"/>
    <w:rsid w:val="009A3289"/>
    <w:rsid w:val="009A561D"/>
    <w:rsid w:val="009A5A37"/>
    <w:rsid w:val="009B055D"/>
    <w:rsid w:val="009B0E81"/>
    <w:rsid w:val="009B1FAB"/>
    <w:rsid w:val="009B5E85"/>
    <w:rsid w:val="009B7066"/>
    <w:rsid w:val="009C0B76"/>
    <w:rsid w:val="009C1A4A"/>
    <w:rsid w:val="009D141E"/>
    <w:rsid w:val="009E02E5"/>
    <w:rsid w:val="009E0CA0"/>
    <w:rsid w:val="009E0DFC"/>
    <w:rsid w:val="009E1D5B"/>
    <w:rsid w:val="009E1E6B"/>
    <w:rsid w:val="009E68B7"/>
    <w:rsid w:val="009F12E5"/>
    <w:rsid w:val="009F3691"/>
    <w:rsid w:val="009F3C52"/>
    <w:rsid w:val="009F3D32"/>
    <w:rsid w:val="009F41F7"/>
    <w:rsid w:val="00A0058D"/>
    <w:rsid w:val="00A00D73"/>
    <w:rsid w:val="00A03CDE"/>
    <w:rsid w:val="00A073CC"/>
    <w:rsid w:val="00A10496"/>
    <w:rsid w:val="00A1152B"/>
    <w:rsid w:val="00A11CCC"/>
    <w:rsid w:val="00A1317A"/>
    <w:rsid w:val="00A14CEF"/>
    <w:rsid w:val="00A17E89"/>
    <w:rsid w:val="00A235CF"/>
    <w:rsid w:val="00A236E1"/>
    <w:rsid w:val="00A24C1A"/>
    <w:rsid w:val="00A24CEF"/>
    <w:rsid w:val="00A3053F"/>
    <w:rsid w:val="00A329A0"/>
    <w:rsid w:val="00A3382A"/>
    <w:rsid w:val="00A34750"/>
    <w:rsid w:val="00A34DD4"/>
    <w:rsid w:val="00A35762"/>
    <w:rsid w:val="00A3596D"/>
    <w:rsid w:val="00A436EF"/>
    <w:rsid w:val="00A44893"/>
    <w:rsid w:val="00A53285"/>
    <w:rsid w:val="00A538C4"/>
    <w:rsid w:val="00A53C62"/>
    <w:rsid w:val="00A54B91"/>
    <w:rsid w:val="00A55A67"/>
    <w:rsid w:val="00A62849"/>
    <w:rsid w:val="00A70AFE"/>
    <w:rsid w:val="00A745DE"/>
    <w:rsid w:val="00A75117"/>
    <w:rsid w:val="00A81478"/>
    <w:rsid w:val="00A81E3A"/>
    <w:rsid w:val="00A91ACA"/>
    <w:rsid w:val="00A92110"/>
    <w:rsid w:val="00A923C8"/>
    <w:rsid w:val="00A9384C"/>
    <w:rsid w:val="00A95476"/>
    <w:rsid w:val="00AA0446"/>
    <w:rsid w:val="00AA065E"/>
    <w:rsid w:val="00AA54E1"/>
    <w:rsid w:val="00AA57D5"/>
    <w:rsid w:val="00AA5893"/>
    <w:rsid w:val="00AB1368"/>
    <w:rsid w:val="00AB3012"/>
    <w:rsid w:val="00AB3D87"/>
    <w:rsid w:val="00AB54E5"/>
    <w:rsid w:val="00AC1071"/>
    <w:rsid w:val="00AC11E3"/>
    <w:rsid w:val="00AC3844"/>
    <w:rsid w:val="00AC5259"/>
    <w:rsid w:val="00AD1A97"/>
    <w:rsid w:val="00AD1E22"/>
    <w:rsid w:val="00AD3CA4"/>
    <w:rsid w:val="00AD613A"/>
    <w:rsid w:val="00AD638F"/>
    <w:rsid w:val="00AD64F6"/>
    <w:rsid w:val="00AE1060"/>
    <w:rsid w:val="00AE19C0"/>
    <w:rsid w:val="00AE20C2"/>
    <w:rsid w:val="00AE27C6"/>
    <w:rsid w:val="00AE3229"/>
    <w:rsid w:val="00AE3AA2"/>
    <w:rsid w:val="00AE6648"/>
    <w:rsid w:val="00AF08A5"/>
    <w:rsid w:val="00AF4E55"/>
    <w:rsid w:val="00B00AC2"/>
    <w:rsid w:val="00B0118D"/>
    <w:rsid w:val="00B0520E"/>
    <w:rsid w:val="00B053E0"/>
    <w:rsid w:val="00B10E3B"/>
    <w:rsid w:val="00B11C38"/>
    <w:rsid w:val="00B14D33"/>
    <w:rsid w:val="00B15530"/>
    <w:rsid w:val="00B21563"/>
    <w:rsid w:val="00B22FA8"/>
    <w:rsid w:val="00B23C0D"/>
    <w:rsid w:val="00B2589F"/>
    <w:rsid w:val="00B30FCF"/>
    <w:rsid w:val="00B3103F"/>
    <w:rsid w:val="00B343E0"/>
    <w:rsid w:val="00B34ABF"/>
    <w:rsid w:val="00B353BA"/>
    <w:rsid w:val="00B3682E"/>
    <w:rsid w:val="00B40D81"/>
    <w:rsid w:val="00B40F63"/>
    <w:rsid w:val="00B45113"/>
    <w:rsid w:val="00B46B6F"/>
    <w:rsid w:val="00B478D7"/>
    <w:rsid w:val="00B47966"/>
    <w:rsid w:val="00B47FE2"/>
    <w:rsid w:val="00B50365"/>
    <w:rsid w:val="00B50E37"/>
    <w:rsid w:val="00B51C9C"/>
    <w:rsid w:val="00B52722"/>
    <w:rsid w:val="00B527E9"/>
    <w:rsid w:val="00B53480"/>
    <w:rsid w:val="00B553F9"/>
    <w:rsid w:val="00B55C05"/>
    <w:rsid w:val="00B55D81"/>
    <w:rsid w:val="00B64D6B"/>
    <w:rsid w:val="00B66DC6"/>
    <w:rsid w:val="00B676CD"/>
    <w:rsid w:val="00B7024B"/>
    <w:rsid w:val="00B72C49"/>
    <w:rsid w:val="00B76B33"/>
    <w:rsid w:val="00B80542"/>
    <w:rsid w:val="00B83469"/>
    <w:rsid w:val="00B872ED"/>
    <w:rsid w:val="00B919E0"/>
    <w:rsid w:val="00B93C1C"/>
    <w:rsid w:val="00B94709"/>
    <w:rsid w:val="00B95BB3"/>
    <w:rsid w:val="00B96AA6"/>
    <w:rsid w:val="00BA1B05"/>
    <w:rsid w:val="00BA2046"/>
    <w:rsid w:val="00BA31FA"/>
    <w:rsid w:val="00BA34F6"/>
    <w:rsid w:val="00BA4EEB"/>
    <w:rsid w:val="00BB0022"/>
    <w:rsid w:val="00BB2A4F"/>
    <w:rsid w:val="00BB50AA"/>
    <w:rsid w:val="00BB6BB0"/>
    <w:rsid w:val="00BB6F41"/>
    <w:rsid w:val="00BB6F59"/>
    <w:rsid w:val="00BC0342"/>
    <w:rsid w:val="00BC3557"/>
    <w:rsid w:val="00BC3810"/>
    <w:rsid w:val="00BD04DC"/>
    <w:rsid w:val="00BD07AB"/>
    <w:rsid w:val="00BD22B4"/>
    <w:rsid w:val="00BD3888"/>
    <w:rsid w:val="00BD7852"/>
    <w:rsid w:val="00BE7659"/>
    <w:rsid w:val="00BE7ACB"/>
    <w:rsid w:val="00BF12E7"/>
    <w:rsid w:val="00BF451F"/>
    <w:rsid w:val="00BF6350"/>
    <w:rsid w:val="00C0292E"/>
    <w:rsid w:val="00C02A4E"/>
    <w:rsid w:val="00C15540"/>
    <w:rsid w:val="00C21A5E"/>
    <w:rsid w:val="00C30243"/>
    <w:rsid w:val="00C302E0"/>
    <w:rsid w:val="00C317F6"/>
    <w:rsid w:val="00C34AF7"/>
    <w:rsid w:val="00C36E65"/>
    <w:rsid w:val="00C40900"/>
    <w:rsid w:val="00C43EB6"/>
    <w:rsid w:val="00C440CC"/>
    <w:rsid w:val="00C44D9E"/>
    <w:rsid w:val="00C450FE"/>
    <w:rsid w:val="00C45CEB"/>
    <w:rsid w:val="00C50EA8"/>
    <w:rsid w:val="00C6002E"/>
    <w:rsid w:val="00C7178D"/>
    <w:rsid w:val="00C75559"/>
    <w:rsid w:val="00C77012"/>
    <w:rsid w:val="00C773A3"/>
    <w:rsid w:val="00C802CD"/>
    <w:rsid w:val="00C847D1"/>
    <w:rsid w:val="00C851EC"/>
    <w:rsid w:val="00C95A08"/>
    <w:rsid w:val="00C970E3"/>
    <w:rsid w:val="00C97A59"/>
    <w:rsid w:val="00C97BAF"/>
    <w:rsid w:val="00CA0236"/>
    <w:rsid w:val="00CA3067"/>
    <w:rsid w:val="00CA37C8"/>
    <w:rsid w:val="00CA518E"/>
    <w:rsid w:val="00CB3021"/>
    <w:rsid w:val="00CB494F"/>
    <w:rsid w:val="00CC1BFC"/>
    <w:rsid w:val="00CC2F82"/>
    <w:rsid w:val="00CC3E15"/>
    <w:rsid w:val="00CC5419"/>
    <w:rsid w:val="00CC5E37"/>
    <w:rsid w:val="00CD11EB"/>
    <w:rsid w:val="00CD3932"/>
    <w:rsid w:val="00CD3E81"/>
    <w:rsid w:val="00CD4406"/>
    <w:rsid w:val="00CD52CC"/>
    <w:rsid w:val="00CE032E"/>
    <w:rsid w:val="00CE1360"/>
    <w:rsid w:val="00CE279C"/>
    <w:rsid w:val="00CE3330"/>
    <w:rsid w:val="00CE4873"/>
    <w:rsid w:val="00CE4BDB"/>
    <w:rsid w:val="00CE4CAA"/>
    <w:rsid w:val="00CF12D1"/>
    <w:rsid w:val="00CF2071"/>
    <w:rsid w:val="00CF33DE"/>
    <w:rsid w:val="00D02F61"/>
    <w:rsid w:val="00D047E4"/>
    <w:rsid w:val="00D11427"/>
    <w:rsid w:val="00D12F28"/>
    <w:rsid w:val="00D13DF5"/>
    <w:rsid w:val="00D17FF2"/>
    <w:rsid w:val="00D2454C"/>
    <w:rsid w:val="00D251B8"/>
    <w:rsid w:val="00D25A3D"/>
    <w:rsid w:val="00D264F0"/>
    <w:rsid w:val="00D26529"/>
    <w:rsid w:val="00D31A6C"/>
    <w:rsid w:val="00D334A3"/>
    <w:rsid w:val="00D34A0E"/>
    <w:rsid w:val="00D36BA8"/>
    <w:rsid w:val="00D405EC"/>
    <w:rsid w:val="00D447F7"/>
    <w:rsid w:val="00D44A3F"/>
    <w:rsid w:val="00D44E94"/>
    <w:rsid w:val="00D45602"/>
    <w:rsid w:val="00D45B5B"/>
    <w:rsid w:val="00D525B2"/>
    <w:rsid w:val="00D531E8"/>
    <w:rsid w:val="00D5754A"/>
    <w:rsid w:val="00D6580B"/>
    <w:rsid w:val="00D66675"/>
    <w:rsid w:val="00D75BD2"/>
    <w:rsid w:val="00D76D04"/>
    <w:rsid w:val="00D80789"/>
    <w:rsid w:val="00D80C14"/>
    <w:rsid w:val="00D840AE"/>
    <w:rsid w:val="00D84B3D"/>
    <w:rsid w:val="00D86D89"/>
    <w:rsid w:val="00D875DA"/>
    <w:rsid w:val="00D92B26"/>
    <w:rsid w:val="00D93686"/>
    <w:rsid w:val="00D943BF"/>
    <w:rsid w:val="00DA1183"/>
    <w:rsid w:val="00DA1D41"/>
    <w:rsid w:val="00DA29EB"/>
    <w:rsid w:val="00DA7631"/>
    <w:rsid w:val="00DB5A82"/>
    <w:rsid w:val="00DB6084"/>
    <w:rsid w:val="00DC0AC2"/>
    <w:rsid w:val="00DC29A5"/>
    <w:rsid w:val="00DC6A23"/>
    <w:rsid w:val="00DC79C9"/>
    <w:rsid w:val="00DD08C1"/>
    <w:rsid w:val="00DD1C72"/>
    <w:rsid w:val="00DE04C8"/>
    <w:rsid w:val="00DE085C"/>
    <w:rsid w:val="00DE0A89"/>
    <w:rsid w:val="00DE28F2"/>
    <w:rsid w:val="00DE3285"/>
    <w:rsid w:val="00DE36CF"/>
    <w:rsid w:val="00DE4217"/>
    <w:rsid w:val="00DE7FC1"/>
    <w:rsid w:val="00DF25F6"/>
    <w:rsid w:val="00DF2ADE"/>
    <w:rsid w:val="00DF45CA"/>
    <w:rsid w:val="00DF6EB5"/>
    <w:rsid w:val="00DF7DBC"/>
    <w:rsid w:val="00E01A57"/>
    <w:rsid w:val="00E034A6"/>
    <w:rsid w:val="00E06AEA"/>
    <w:rsid w:val="00E074D9"/>
    <w:rsid w:val="00E115AF"/>
    <w:rsid w:val="00E1308A"/>
    <w:rsid w:val="00E15C22"/>
    <w:rsid w:val="00E15DD3"/>
    <w:rsid w:val="00E169D3"/>
    <w:rsid w:val="00E17C90"/>
    <w:rsid w:val="00E17EB5"/>
    <w:rsid w:val="00E17F90"/>
    <w:rsid w:val="00E20F90"/>
    <w:rsid w:val="00E2217C"/>
    <w:rsid w:val="00E26A1A"/>
    <w:rsid w:val="00E32AA2"/>
    <w:rsid w:val="00E32BFC"/>
    <w:rsid w:val="00E3341A"/>
    <w:rsid w:val="00E3371A"/>
    <w:rsid w:val="00E35F9A"/>
    <w:rsid w:val="00E37587"/>
    <w:rsid w:val="00E4070F"/>
    <w:rsid w:val="00E41464"/>
    <w:rsid w:val="00E507D1"/>
    <w:rsid w:val="00E50D5B"/>
    <w:rsid w:val="00E52211"/>
    <w:rsid w:val="00E54D3E"/>
    <w:rsid w:val="00E56364"/>
    <w:rsid w:val="00E5661B"/>
    <w:rsid w:val="00E56B3F"/>
    <w:rsid w:val="00E60934"/>
    <w:rsid w:val="00E60D31"/>
    <w:rsid w:val="00E65183"/>
    <w:rsid w:val="00E67D66"/>
    <w:rsid w:val="00E80AAE"/>
    <w:rsid w:val="00E819E5"/>
    <w:rsid w:val="00E83395"/>
    <w:rsid w:val="00E84B48"/>
    <w:rsid w:val="00E9053B"/>
    <w:rsid w:val="00E91901"/>
    <w:rsid w:val="00E9225B"/>
    <w:rsid w:val="00E92F88"/>
    <w:rsid w:val="00E971DA"/>
    <w:rsid w:val="00E97E60"/>
    <w:rsid w:val="00EA395E"/>
    <w:rsid w:val="00EA3FCE"/>
    <w:rsid w:val="00EA4B66"/>
    <w:rsid w:val="00EB36D6"/>
    <w:rsid w:val="00EB5330"/>
    <w:rsid w:val="00EB7346"/>
    <w:rsid w:val="00EC00F3"/>
    <w:rsid w:val="00EC0E04"/>
    <w:rsid w:val="00EC2A64"/>
    <w:rsid w:val="00EC2E9E"/>
    <w:rsid w:val="00EC4475"/>
    <w:rsid w:val="00EC485A"/>
    <w:rsid w:val="00EC5D97"/>
    <w:rsid w:val="00ED16E1"/>
    <w:rsid w:val="00ED4DB7"/>
    <w:rsid w:val="00EE4F85"/>
    <w:rsid w:val="00EE7B70"/>
    <w:rsid w:val="00EF046D"/>
    <w:rsid w:val="00EF321B"/>
    <w:rsid w:val="00EF352A"/>
    <w:rsid w:val="00EF42FE"/>
    <w:rsid w:val="00EF5BC2"/>
    <w:rsid w:val="00EF5E6D"/>
    <w:rsid w:val="00F02C5B"/>
    <w:rsid w:val="00F068A4"/>
    <w:rsid w:val="00F10AB1"/>
    <w:rsid w:val="00F15B1E"/>
    <w:rsid w:val="00F17499"/>
    <w:rsid w:val="00F20948"/>
    <w:rsid w:val="00F23508"/>
    <w:rsid w:val="00F23B0D"/>
    <w:rsid w:val="00F23B39"/>
    <w:rsid w:val="00F24F6C"/>
    <w:rsid w:val="00F25E4F"/>
    <w:rsid w:val="00F262E4"/>
    <w:rsid w:val="00F26BAB"/>
    <w:rsid w:val="00F270AA"/>
    <w:rsid w:val="00F32C19"/>
    <w:rsid w:val="00F33A70"/>
    <w:rsid w:val="00F413D3"/>
    <w:rsid w:val="00F46083"/>
    <w:rsid w:val="00F467F1"/>
    <w:rsid w:val="00F513DA"/>
    <w:rsid w:val="00F5281C"/>
    <w:rsid w:val="00F56D34"/>
    <w:rsid w:val="00F57404"/>
    <w:rsid w:val="00F57777"/>
    <w:rsid w:val="00F579A4"/>
    <w:rsid w:val="00F62A0E"/>
    <w:rsid w:val="00F63C7B"/>
    <w:rsid w:val="00F64D3B"/>
    <w:rsid w:val="00F6603D"/>
    <w:rsid w:val="00F6677C"/>
    <w:rsid w:val="00F678BD"/>
    <w:rsid w:val="00F749BE"/>
    <w:rsid w:val="00F749C4"/>
    <w:rsid w:val="00F763DB"/>
    <w:rsid w:val="00F838AA"/>
    <w:rsid w:val="00F86136"/>
    <w:rsid w:val="00F93D41"/>
    <w:rsid w:val="00F960CD"/>
    <w:rsid w:val="00F977C4"/>
    <w:rsid w:val="00FA0975"/>
    <w:rsid w:val="00FA4030"/>
    <w:rsid w:val="00FA691B"/>
    <w:rsid w:val="00FA6F36"/>
    <w:rsid w:val="00FB0797"/>
    <w:rsid w:val="00FB2172"/>
    <w:rsid w:val="00FB3DA5"/>
    <w:rsid w:val="00FB5DDC"/>
    <w:rsid w:val="00FB71AE"/>
    <w:rsid w:val="00FC27F4"/>
    <w:rsid w:val="00FC38F9"/>
    <w:rsid w:val="00FC4F27"/>
    <w:rsid w:val="00FD170B"/>
    <w:rsid w:val="00FD1E1D"/>
    <w:rsid w:val="00FD4168"/>
    <w:rsid w:val="00FE0BF9"/>
    <w:rsid w:val="00FE1818"/>
    <w:rsid w:val="00FE1851"/>
    <w:rsid w:val="00FE27AD"/>
    <w:rsid w:val="00FE3227"/>
    <w:rsid w:val="00FE45FD"/>
    <w:rsid w:val="00FE4694"/>
    <w:rsid w:val="00FF4A42"/>
    <w:rsid w:val="00FF58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F10FDF6"/>
  <w15:docId w15:val="{B508A515-ECB9-4F78-A1C0-BC8C0515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744D6"/>
    <w:pPr>
      <w:jc w:val="both"/>
    </w:pPr>
    <w:rPr>
      <w:rFonts w:ascii="Arial" w:hAnsi="Arial"/>
      <w:sz w:val="24"/>
    </w:rPr>
  </w:style>
  <w:style w:type="paragraph" w:styleId="berschrift1">
    <w:name w:val="heading 1"/>
    <w:basedOn w:val="Standard"/>
    <w:next w:val="Standard"/>
    <w:link w:val="berschrift1Zchn"/>
    <w:autoRedefine/>
    <w:qFormat/>
    <w:rsid w:val="003A3DCF"/>
    <w:pPr>
      <w:numPr>
        <w:numId w:val="2"/>
      </w:numPr>
      <w:ind w:left="426" w:hanging="426"/>
      <w:jc w:val="left"/>
      <w:outlineLvl w:val="0"/>
    </w:pPr>
    <w:rPr>
      <w:b/>
      <w:szCs w:val="24"/>
    </w:rPr>
  </w:style>
  <w:style w:type="paragraph" w:styleId="berschrift2">
    <w:name w:val="heading 2"/>
    <w:basedOn w:val="Standard"/>
    <w:next w:val="Standard"/>
    <w:qFormat/>
    <w:rsid w:val="00570288"/>
    <w:pPr>
      <w:keepNext/>
      <w:outlineLvl w:val="1"/>
    </w:pPr>
    <w:rPr>
      <w:b/>
    </w:rPr>
  </w:style>
  <w:style w:type="paragraph" w:styleId="berschrift3">
    <w:name w:val="heading 3"/>
    <w:basedOn w:val="Standard"/>
    <w:next w:val="Standardeinzug"/>
    <w:qFormat/>
    <w:rsid w:val="00570288"/>
    <w:pPr>
      <w:jc w:val="left"/>
      <w:outlineLvl w:val="2"/>
    </w:pPr>
    <w:rPr>
      <w:b/>
    </w:rPr>
  </w:style>
  <w:style w:type="paragraph" w:styleId="berschrift4">
    <w:name w:val="heading 4"/>
    <w:basedOn w:val="Standard"/>
    <w:next w:val="Standardeinzug"/>
    <w:qFormat/>
    <w:rsid w:val="00570288"/>
    <w:pPr>
      <w:jc w:val="left"/>
      <w:outlineLvl w:val="3"/>
    </w:pPr>
    <w:rPr>
      <w:u w:val="single"/>
    </w:rPr>
  </w:style>
  <w:style w:type="paragraph" w:styleId="berschrift5">
    <w:name w:val="heading 5"/>
    <w:basedOn w:val="Standard"/>
    <w:next w:val="Standard"/>
    <w:link w:val="berschrift5Zchn"/>
    <w:uiPriority w:val="9"/>
    <w:semiHidden/>
    <w:unhideWhenUsed/>
    <w:qFormat/>
    <w:rsid w:val="00043F77"/>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uiPriority w:val="9"/>
    <w:semiHidden/>
    <w:unhideWhenUsed/>
    <w:qFormat/>
    <w:rsid w:val="00043F77"/>
    <w:pPr>
      <w:spacing w:before="240" w:after="60"/>
      <w:outlineLvl w:val="5"/>
    </w:pPr>
    <w:rPr>
      <w:rFonts w:ascii="Calibri" w:hAnsi="Calibri"/>
      <w:b/>
      <w:bCs/>
      <w:sz w:val="22"/>
      <w:szCs w:val="22"/>
    </w:rPr>
  </w:style>
  <w:style w:type="paragraph" w:styleId="berschrift7">
    <w:name w:val="heading 7"/>
    <w:basedOn w:val="Standard"/>
    <w:next w:val="Standard"/>
    <w:link w:val="berschrift7Zchn"/>
    <w:uiPriority w:val="9"/>
    <w:semiHidden/>
    <w:unhideWhenUsed/>
    <w:qFormat/>
    <w:rsid w:val="00043F77"/>
    <w:pPr>
      <w:spacing w:before="240" w:after="60"/>
      <w:outlineLvl w:val="6"/>
    </w:pPr>
    <w:rPr>
      <w:rFonts w:ascii="Calibri" w:hAnsi="Calibri"/>
      <w:szCs w:val="24"/>
    </w:rPr>
  </w:style>
  <w:style w:type="paragraph" w:styleId="berschrift8">
    <w:name w:val="heading 8"/>
    <w:basedOn w:val="Standard"/>
    <w:next w:val="Standard"/>
    <w:qFormat/>
    <w:rsid w:val="00570288"/>
    <w:pPr>
      <w:keepNext/>
      <w:jc w:val="center"/>
      <w:outlineLvl w:val="7"/>
    </w:pPr>
    <w:rPr>
      <w:b/>
    </w:rPr>
  </w:style>
  <w:style w:type="paragraph" w:styleId="berschrift9">
    <w:name w:val="heading 9"/>
    <w:basedOn w:val="Standard"/>
    <w:next w:val="Standard"/>
    <w:link w:val="berschrift9Zchn"/>
    <w:uiPriority w:val="9"/>
    <w:semiHidden/>
    <w:unhideWhenUsed/>
    <w:qFormat/>
    <w:rsid w:val="00043F7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rsid w:val="00570288"/>
    <w:pPr>
      <w:ind w:left="708"/>
      <w:jc w:val="left"/>
    </w:pPr>
  </w:style>
  <w:style w:type="paragraph" w:styleId="Aufzhlungszeichen">
    <w:name w:val="List Bullet"/>
    <w:basedOn w:val="Standard"/>
    <w:autoRedefine/>
    <w:semiHidden/>
    <w:rsid w:val="00570288"/>
    <w:pPr>
      <w:numPr>
        <w:numId w:val="1"/>
      </w:numPr>
      <w:jc w:val="left"/>
    </w:pPr>
  </w:style>
  <w:style w:type="paragraph" w:styleId="Index1">
    <w:name w:val="index 1"/>
    <w:basedOn w:val="Standard"/>
    <w:next w:val="Standard"/>
    <w:autoRedefine/>
    <w:semiHidden/>
    <w:rsid w:val="00570288"/>
    <w:pPr>
      <w:jc w:val="left"/>
    </w:pPr>
  </w:style>
  <w:style w:type="paragraph" w:styleId="Textkrper-Zeileneinzug">
    <w:name w:val="Body Text Indent"/>
    <w:basedOn w:val="Standard"/>
    <w:semiHidden/>
    <w:rsid w:val="00570288"/>
    <w:pPr>
      <w:tabs>
        <w:tab w:val="left" w:pos="426"/>
        <w:tab w:val="left" w:pos="5671"/>
      </w:tabs>
      <w:spacing w:line="240" w:lineRule="atLeast"/>
      <w:ind w:left="420"/>
      <w:jc w:val="left"/>
    </w:pPr>
  </w:style>
  <w:style w:type="paragraph" w:customStyle="1" w:styleId="Bezugszeichentext">
    <w:name w:val="Bezugszeichentext"/>
    <w:basedOn w:val="Standard"/>
    <w:rsid w:val="00570288"/>
    <w:pPr>
      <w:jc w:val="left"/>
    </w:pPr>
  </w:style>
  <w:style w:type="paragraph" w:styleId="Titel">
    <w:name w:val="Title"/>
    <w:basedOn w:val="Standard"/>
    <w:qFormat/>
    <w:rsid w:val="00570288"/>
    <w:pPr>
      <w:spacing w:before="240" w:after="60"/>
      <w:jc w:val="center"/>
      <w:outlineLvl w:val="0"/>
    </w:pPr>
    <w:rPr>
      <w:b/>
      <w:kern w:val="28"/>
      <w:sz w:val="32"/>
    </w:rPr>
  </w:style>
  <w:style w:type="paragraph" w:styleId="Textkrper">
    <w:name w:val="Body Text"/>
    <w:basedOn w:val="Standard"/>
    <w:semiHidden/>
    <w:rsid w:val="00570288"/>
    <w:rPr>
      <w:b/>
    </w:rPr>
  </w:style>
  <w:style w:type="paragraph" w:styleId="Liste">
    <w:name w:val="List"/>
    <w:basedOn w:val="Standard"/>
    <w:semiHidden/>
    <w:rsid w:val="00570288"/>
    <w:pPr>
      <w:ind w:left="283" w:hanging="283"/>
      <w:jc w:val="left"/>
    </w:pPr>
  </w:style>
  <w:style w:type="paragraph" w:styleId="Textkrper2">
    <w:name w:val="Body Text 2"/>
    <w:basedOn w:val="Standard"/>
    <w:semiHidden/>
    <w:rsid w:val="00570288"/>
  </w:style>
  <w:style w:type="paragraph" w:styleId="Liste2">
    <w:name w:val="List 2"/>
    <w:basedOn w:val="Standard"/>
    <w:semiHidden/>
    <w:rsid w:val="00570288"/>
    <w:pPr>
      <w:ind w:left="566" w:hanging="283"/>
      <w:jc w:val="left"/>
    </w:pPr>
  </w:style>
  <w:style w:type="paragraph" w:styleId="Kopfzeile">
    <w:name w:val="header"/>
    <w:basedOn w:val="Standard"/>
    <w:semiHidden/>
    <w:rsid w:val="00570288"/>
    <w:pPr>
      <w:tabs>
        <w:tab w:val="center" w:pos="4819"/>
        <w:tab w:val="right" w:pos="9071"/>
      </w:tabs>
      <w:jc w:val="left"/>
    </w:pPr>
  </w:style>
  <w:style w:type="character" w:styleId="Seitenzahl">
    <w:name w:val="page number"/>
    <w:basedOn w:val="Absatz-Standardschriftart"/>
    <w:semiHidden/>
    <w:rsid w:val="00570288"/>
  </w:style>
  <w:style w:type="paragraph" w:styleId="Fuzeile">
    <w:name w:val="footer"/>
    <w:basedOn w:val="Standard"/>
    <w:semiHidden/>
    <w:rsid w:val="00570288"/>
    <w:pPr>
      <w:tabs>
        <w:tab w:val="center" w:pos="4819"/>
        <w:tab w:val="right" w:pos="9071"/>
      </w:tabs>
      <w:jc w:val="left"/>
    </w:pPr>
  </w:style>
  <w:style w:type="character" w:styleId="Hyperlink">
    <w:name w:val="Hyperlink"/>
    <w:uiPriority w:val="99"/>
    <w:rsid w:val="00570288"/>
    <w:rPr>
      <w:color w:val="0000FF"/>
      <w:u w:val="single"/>
    </w:rPr>
  </w:style>
  <w:style w:type="paragraph" w:customStyle="1" w:styleId="ormal">
    <w:name w:val="ormal"/>
    <w:rsid w:val="00570288"/>
    <w:rPr>
      <w:rFonts w:ascii="Arial" w:hAnsi="Arial"/>
      <w:snapToGrid w:val="0"/>
      <w:sz w:val="24"/>
    </w:rPr>
  </w:style>
  <w:style w:type="paragraph" w:styleId="NurText">
    <w:name w:val="Plain Text"/>
    <w:basedOn w:val="Standard"/>
    <w:semiHidden/>
    <w:rsid w:val="00570288"/>
    <w:rPr>
      <w:rFonts w:ascii="Courier New" w:hAnsi="Courier New"/>
      <w:sz w:val="20"/>
    </w:rPr>
  </w:style>
  <w:style w:type="paragraph" w:styleId="Dokumentstruktur">
    <w:name w:val="Document Map"/>
    <w:basedOn w:val="Standard"/>
    <w:semiHidden/>
    <w:rsid w:val="00570288"/>
    <w:pPr>
      <w:shd w:val="clear" w:color="auto" w:fill="000080"/>
    </w:pPr>
    <w:rPr>
      <w:rFonts w:ascii="Tahoma" w:hAnsi="Tahoma"/>
    </w:rPr>
  </w:style>
  <w:style w:type="paragraph" w:styleId="Textkrper-Einzug2">
    <w:name w:val="Body Text Indent 2"/>
    <w:basedOn w:val="Standard"/>
    <w:semiHidden/>
    <w:rsid w:val="00570288"/>
    <w:pPr>
      <w:ind w:left="360" w:hanging="360"/>
    </w:pPr>
  </w:style>
  <w:style w:type="paragraph" w:styleId="Textkrper3">
    <w:name w:val="Body Text 3"/>
    <w:basedOn w:val="Standard"/>
    <w:semiHidden/>
    <w:rsid w:val="00570288"/>
    <w:rPr>
      <w:b/>
      <w:sz w:val="22"/>
    </w:rPr>
  </w:style>
  <w:style w:type="paragraph" w:customStyle="1" w:styleId="TxBrp2">
    <w:name w:val="TxBr_p2"/>
    <w:basedOn w:val="Standard"/>
    <w:rsid w:val="00570288"/>
    <w:pPr>
      <w:tabs>
        <w:tab w:val="left" w:pos="204"/>
      </w:tabs>
      <w:spacing w:line="362" w:lineRule="atLeast"/>
    </w:pPr>
  </w:style>
  <w:style w:type="paragraph" w:customStyle="1" w:styleId="tellungnahmeanfordern">
    <w:name w:val="tellungnahme anfordern."/>
    <w:basedOn w:val="Standard"/>
    <w:rsid w:val="00570288"/>
  </w:style>
  <w:style w:type="paragraph" w:customStyle="1" w:styleId="WiDi">
    <w:name w:val="WiDi"/>
    <w:basedOn w:val="Standard"/>
    <w:rsid w:val="00570288"/>
  </w:style>
  <w:style w:type="character" w:styleId="Kommentarzeichen">
    <w:name w:val="annotation reference"/>
    <w:semiHidden/>
    <w:rsid w:val="00570288"/>
    <w:rPr>
      <w:sz w:val="16"/>
    </w:rPr>
  </w:style>
  <w:style w:type="paragraph" w:styleId="Kommentartext">
    <w:name w:val="annotation text"/>
    <w:basedOn w:val="Standard"/>
    <w:semiHidden/>
    <w:rsid w:val="00570288"/>
    <w:pPr>
      <w:jc w:val="left"/>
    </w:pPr>
    <w:rPr>
      <w:sz w:val="20"/>
    </w:rPr>
  </w:style>
  <w:style w:type="paragraph" w:styleId="Textkrper-Einzug3">
    <w:name w:val="Body Text Indent 3"/>
    <w:basedOn w:val="Standard"/>
    <w:semiHidden/>
    <w:rsid w:val="00570288"/>
    <w:pPr>
      <w:spacing w:line="360" w:lineRule="atLeast"/>
      <w:ind w:left="426" w:hanging="426"/>
    </w:pPr>
    <w:rPr>
      <w:sz w:val="26"/>
    </w:rPr>
  </w:style>
  <w:style w:type="paragraph" w:styleId="Funotentext">
    <w:name w:val="footnote text"/>
    <w:basedOn w:val="Standard"/>
    <w:semiHidden/>
    <w:rsid w:val="00570288"/>
    <w:rPr>
      <w:sz w:val="20"/>
    </w:rPr>
  </w:style>
  <w:style w:type="character" w:styleId="Funotenzeichen">
    <w:name w:val="footnote reference"/>
    <w:semiHidden/>
    <w:rsid w:val="00570288"/>
    <w:rPr>
      <w:vertAlign w:val="superscript"/>
    </w:rPr>
  </w:style>
  <w:style w:type="paragraph" w:customStyle="1" w:styleId="Fuzeile0">
    <w:name w:val="Fuzeile"/>
    <w:basedOn w:val="Standard"/>
    <w:next w:val="Standard"/>
    <w:rsid w:val="00570288"/>
    <w:pPr>
      <w:jc w:val="left"/>
    </w:pPr>
    <w:rPr>
      <w:snapToGrid w:val="0"/>
    </w:rPr>
  </w:style>
  <w:style w:type="character" w:customStyle="1" w:styleId="tableadoptguideline">
    <w:name w:val="tableadoptguideline"/>
    <w:basedOn w:val="Absatz-Standardschriftart"/>
    <w:rsid w:val="00616FCF"/>
  </w:style>
  <w:style w:type="paragraph" w:styleId="Listenabsatz">
    <w:name w:val="List Paragraph"/>
    <w:basedOn w:val="Standard"/>
    <w:uiPriority w:val="34"/>
    <w:qFormat/>
    <w:rsid w:val="00616FCF"/>
    <w:pPr>
      <w:suppressAutoHyphens/>
      <w:ind w:left="720"/>
      <w:contextualSpacing/>
      <w:jc w:val="left"/>
    </w:pPr>
    <w:rPr>
      <w:rFonts w:ascii="Times New Roman" w:hAnsi="Times New Roman"/>
      <w:sz w:val="20"/>
      <w:lang w:eastAsia="ar-SA"/>
    </w:rPr>
  </w:style>
  <w:style w:type="character" w:customStyle="1" w:styleId="berschrift1Zchn">
    <w:name w:val="Überschrift 1 Zchn"/>
    <w:link w:val="berschrift1"/>
    <w:rsid w:val="003A3DCF"/>
    <w:rPr>
      <w:rFonts w:ascii="Arial" w:hAnsi="Arial"/>
      <w:b/>
      <w:sz w:val="24"/>
      <w:szCs w:val="24"/>
    </w:rPr>
  </w:style>
  <w:style w:type="character" w:customStyle="1" w:styleId="tableant">
    <w:name w:val="tableant"/>
    <w:basedOn w:val="Absatz-Standardschriftart"/>
    <w:rsid w:val="001E303C"/>
  </w:style>
  <w:style w:type="character" w:styleId="Fett">
    <w:name w:val="Strong"/>
    <w:uiPriority w:val="22"/>
    <w:qFormat/>
    <w:rsid w:val="001E303C"/>
    <w:rPr>
      <w:b/>
      <w:bCs/>
    </w:rPr>
  </w:style>
  <w:style w:type="paragraph" w:customStyle="1" w:styleId="Default">
    <w:name w:val="Default"/>
    <w:rsid w:val="00F270AA"/>
    <w:pPr>
      <w:autoSpaceDE w:val="0"/>
      <w:autoSpaceDN w:val="0"/>
      <w:adjustRightInd w:val="0"/>
    </w:pPr>
    <w:rPr>
      <w:color w:val="000000"/>
      <w:sz w:val="24"/>
      <w:szCs w:val="24"/>
    </w:rPr>
  </w:style>
  <w:style w:type="character" w:styleId="BesuchterHyperlink">
    <w:name w:val="FollowedHyperlink"/>
    <w:uiPriority w:val="99"/>
    <w:semiHidden/>
    <w:unhideWhenUsed/>
    <w:rsid w:val="000B4404"/>
    <w:rPr>
      <w:color w:val="800080"/>
      <w:u w:val="single"/>
    </w:rPr>
  </w:style>
  <w:style w:type="character" w:styleId="HTMLAkronym">
    <w:name w:val="HTML Acronym"/>
    <w:uiPriority w:val="99"/>
    <w:semiHidden/>
    <w:unhideWhenUsed/>
    <w:rsid w:val="00EA3FCE"/>
  </w:style>
  <w:style w:type="character" w:styleId="Hervorhebung">
    <w:name w:val="Emphasis"/>
    <w:uiPriority w:val="20"/>
    <w:qFormat/>
    <w:rsid w:val="00EA3FCE"/>
    <w:rPr>
      <w:i/>
      <w:iCs/>
    </w:rPr>
  </w:style>
  <w:style w:type="paragraph" w:styleId="Sprechblasentext">
    <w:name w:val="Balloon Text"/>
    <w:basedOn w:val="Standard"/>
    <w:link w:val="SprechblasentextZchn"/>
    <w:uiPriority w:val="99"/>
    <w:semiHidden/>
    <w:unhideWhenUsed/>
    <w:rsid w:val="00F6603D"/>
    <w:rPr>
      <w:rFonts w:ascii="Segoe UI" w:hAnsi="Segoe UI" w:cs="Segoe UI"/>
      <w:sz w:val="18"/>
      <w:szCs w:val="18"/>
    </w:rPr>
  </w:style>
  <w:style w:type="character" w:customStyle="1" w:styleId="SprechblasentextZchn">
    <w:name w:val="Sprechblasentext Zchn"/>
    <w:link w:val="Sprechblasentext"/>
    <w:uiPriority w:val="99"/>
    <w:semiHidden/>
    <w:rsid w:val="00F6603D"/>
    <w:rPr>
      <w:rFonts w:ascii="Segoe UI" w:hAnsi="Segoe UI" w:cs="Segoe UI"/>
      <w:sz w:val="18"/>
      <w:szCs w:val="18"/>
    </w:rPr>
  </w:style>
  <w:style w:type="character" w:customStyle="1" w:styleId="StandardBAHUMVIERZchn">
    <w:name w:val="Standard BAH UM VIER Zchn"/>
    <w:link w:val="StandardBAHUMVIER"/>
    <w:locked/>
    <w:rsid w:val="001D35FC"/>
    <w:rPr>
      <w:rFonts w:ascii="Arial" w:hAnsi="Arial" w:cs="Arial"/>
      <w:sz w:val="24"/>
      <w:szCs w:val="24"/>
    </w:rPr>
  </w:style>
  <w:style w:type="paragraph" w:customStyle="1" w:styleId="StandardBAHUMVIER">
    <w:name w:val="Standard BAH UM VIER"/>
    <w:basedOn w:val="Standard"/>
    <w:link w:val="StandardBAHUMVIERZchn"/>
    <w:qFormat/>
    <w:rsid w:val="001D35FC"/>
    <w:pPr>
      <w:spacing w:line="276" w:lineRule="auto"/>
    </w:pPr>
    <w:rPr>
      <w:rFonts w:cs="Arial"/>
      <w:szCs w:val="24"/>
    </w:rPr>
  </w:style>
  <w:style w:type="table" w:styleId="Tabellenraster">
    <w:name w:val="Table Grid"/>
    <w:basedOn w:val="NormaleTabelle"/>
    <w:uiPriority w:val="39"/>
    <w:rsid w:val="00F174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Standard"/>
    <w:next w:val="Standard"/>
    <w:qFormat/>
    <w:rsid w:val="00043F77"/>
    <w:pPr>
      <w:keepLines/>
      <w:ind w:left="-567"/>
      <w:outlineLvl w:val="0"/>
    </w:pPr>
    <w:rPr>
      <w:b/>
    </w:rPr>
  </w:style>
  <w:style w:type="paragraph" w:styleId="Verzeichnis1">
    <w:name w:val="toc 1"/>
    <w:basedOn w:val="Standard"/>
    <w:next w:val="Standard"/>
    <w:autoRedefine/>
    <w:uiPriority w:val="39"/>
    <w:unhideWhenUsed/>
    <w:rsid w:val="00085EFA"/>
    <w:pPr>
      <w:tabs>
        <w:tab w:val="right" w:leader="dot" w:pos="7921"/>
      </w:tabs>
      <w:spacing w:line="276" w:lineRule="auto"/>
      <w:ind w:left="425" w:hanging="425"/>
      <w:jc w:val="left"/>
    </w:pPr>
    <w:rPr>
      <w:b/>
      <w:noProof/>
    </w:rPr>
  </w:style>
  <w:style w:type="paragraph" w:styleId="Inhaltsverzeichnisberschrift">
    <w:name w:val="TOC Heading"/>
    <w:basedOn w:val="berschrift1"/>
    <w:next w:val="Standard"/>
    <w:uiPriority w:val="39"/>
    <w:unhideWhenUsed/>
    <w:qFormat/>
    <w:rsid w:val="00781C63"/>
    <w:pPr>
      <w:keepNext/>
      <w:keepLines/>
      <w:spacing w:line="259" w:lineRule="auto"/>
      <w:ind w:firstLine="0"/>
      <w:outlineLvl w:val="9"/>
    </w:pPr>
    <w:rPr>
      <w:rFonts w:ascii="Calibri Light" w:hAnsi="Calibri Light"/>
      <w:b w:val="0"/>
      <w:color w:val="2E74B5"/>
      <w:sz w:val="32"/>
      <w:szCs w:val="32"/>
    </w:rPr>
  </w:style>
  <w:style w:type="character" w:customStyle="1" w:styleId="berschrift5Zchn">
    <w:name w:val="Überschrift 5 Zchn"/>
    <w:link w:val="berschrift5"/>
    <w:uiPriority w:val="9"/>
    <w:semiHidden/>
    <w:rsid w:val="00043F77"/>
    <w:rPr>
      <w:rFonts w:ascii="Calibri" w:hAnsi="Calibri"/>
      <w:b/>
      <w:bCs/>
      <w:i/>
      <w:iCs/>
      <w:sz w:val="26"/>
      <w:szCs w:val="26"/>
    </w:rPr>
  </w:style>
  <w:style w:type="character" w:customStyle="1" w:styleId="berschrift6Zchn">
    <w:name w:val="Überschrift 6 Zchn"/>
    <w:link w:val="berschrift6"/>
    <w:uiPriority w:val="9"/>
    <w:semiHidden/>
    <w:rsid w:val="00043F77"/>
    <w:rPr>
      <w:rFonts w:ascii="Calibri" w:hAnsi="Calibri"/>
      <w:b/>
      <w:bCs/>
      <w:sz w:val="22"/>
      <w:szCs w:val="22"/>
    </w:rPr>
  </w:style>
  <w:style w:type="character" w:customStyle="1" w:styleId="berschrift7Zchn">
    <w:name w:val="Überschrift 7 Zchn"/>
    <w:link w:val="berschrift7"/>
    <w:uiPriority w:val="9"/>
    <w:semiHidden/>
    <w:rsid w:val="00043F77"/>
    <w:rPr>
      <w:rFonts w:ascii="Calibri" w:hAnsi="Calibri"/>
      <w:sz w:val="24"/>
      <w:szCs w:val="24"/>
    </w:rPr>
  </w:style>
  <w:style w:type="character" w:customStyle="1" w:styleId="berschrift9Zchn">
    <w:name w:val="Überschrift 9 Zchn"/>
    <w:link w:val="berschrift9"/>
    <w:uiPriority w:val="9"/>
    <w:semiHidden/>
    <w:rsid w:val="00043F77"/>
    <w:rPr>
      <w:rFonts w:ascii="Cambria" w:hAnsi="Cambria"/>
      <w:sz w:val="22"/>
      <w:szCs w:val="22"/>
    </w:rPr>
  </w:style>
  <w:style w:type="paragraph" w:styleId="StandardWeb">
    <w:name w:val="Normal (Web)"/>
    <w:basedOn w:val="Standard"/>
    <w:uiPriority w:val="99"/>
    <w:unhideWhenUsed/>
    <w:rsid w:val="003B6CFA"/>
    <w:pPr>
      <w:spacing w:before="100" w:beforeAutospacing="1" w:after="100" w:afterAutospacing="1"/>
      <w:jc w:val="left"/>
    </w:pPr>
    <w:rPr>
      <w:rFonts w:ascii="Times New Roman" w:hAnsi="Times New Roman"/>
      <w:szCs w:val="24"/>
    </w:rPr>
  </w:style>
  <w:style w:type="character" w:customStyle="1" w:styleId="glossary-term">
    <w:name w:val="glossary-term"/>
    <w:basedOn w:val="Absatz-Standardschriftart"/>
    <w:rsid w:val="00F413D3"/>
  </w:style>
  <w:style w:type="paragraph" w:styleId="Untertitel">
    <w:name w:val="Subtitle"/>
    <w:basedOn w:val="Standard"/>
    <w:next w:val="Standard"/>
    <w:link w:val="UntertitelZchn"/>
    <w:uiPriority w:val="11"/>
    <w:qFormat/>
    <w:rsid w:val="00124B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124B0B"/>
    <w:rPr>
      <w:rFonts w:asciiTheme="minorHAnsi" w:eastAsiaTheme="minorEastAsia" w:hAnsiTheme="minorHAnsi" w:cstheme="minorBidi"/>
      <w:color w:val="5A5A5A" w:themeColor="text1" w:themeTint="A5"/>
      <w:spacing w:val="15"/>
      <w:sz w:val="22"/>
      <w:szCs w:val="22"/>
    </w:rPr>
  </w:style>
  <w:style w:type="table" w:customStyle="1" w:styleId="Tabellenraster2">
    <w:name w:val="Tabellenraster2"/>
    <w:basedOn w:val="NormaleTabelle"/>
    <w:next w:val="Tabellenraster"/>
    <w:uiPriority w:val="59"/>
    <w:rsid w:val="00862A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7414">
      <w:bodyDiv w:val="1"/>
      <w:marLeft w:val="0"/>
      <w:marRight w:val="0"/>
      <w:marTop w:val="0"/>
      <w:marBottom w:val="0"/>
      <w:divBdr>
        <w:top w:val="none" w:sz="0" w:space="0" w:color="auto"/>
        <w:left w:val="none" w:sz="0" w:space="0" w:color="auto"/>
        <w:bottom w:val="none" w:sz="0" w:space="0" w:color="auto"/>
        <w:right w:val="none" w:sz="0" w:space="0" w:color="auto"/>
      </w:divBdr>
    </w:div>
    <w:div w:id="157576391">
      <w:bodyDiv w:val="1"/>
      <w:marLeft w:val="60"/>
      <w:marRight w:val="60"/>
      <w:marTop w:val="60"/>
      <w:marBottom w:val="15"/>
      <w:divBdr>
        <w:top w:val="none" w:sz="0" w:space="0" w:color="auto"/>
        <w:left w:val="none" w:sz="0" w:space="0" w:color="auto"/>
        <w:bottom w:val="none" w:sz="0" w:space="0" w:color="auto"/>
        <w:right w:val="none" w:sz="0" w:space="0" w:color="auto"/>
      </w:divBdr>
      <w:divsChild>
        <w:div w:id="2120104464">
          <w:marLeft w:val="0"/>
          <w:marRight w:val="0"/>
          <w:marTop w:val="0"/>
          <w:marBottom w:val="0"/>
          <w:divBdr>
            <w:top w:val="none" w:sz="0" w:space="0" w:color="auto"/>
            <w:left w:val="none" w:sz="0" w:space="0" w:color="auto"/>
            <w:bottom w:val="none" w:sz="0" w:space="0" w:color="auto"/>
            <w:right w:val="none" w:sz="0" w:space="0" w:color="auto"/>
          </w:divBdr>
        </w:div>
      </w:divsChild>
    </w:div>
    <w:div w:id="198397739">
      <w:bodyDiv w:val="1"/>
      <w:marLeft w:val="0"/>
      <w:marRight w:val="0"/>
      <w:marTop w:val="0"/>
      <w:marBottom w:val="0"/>
      <w:divBdr>
        <w:top w:val="none" w:sz="0" w:space="0" w:color="auto"/>
        <w:left w:val="none" w:sz="0" w:space="0" w:color="auto"/>
        <w:bottom w:val="none" w:sz="0" w:space="0" w:color="auto"/>
        <w:right w:val="none" w:sz="0" w:space="0" w:color="auto"/>
      </w:divBdr>
    </w:div>
    <w:div w:id="362093687">
      <w:bodyDiv w:val="1"/>
      <w:marLeft w:val="0"/>
      <w:marRight w:val="0"/>
      <w:marTop w:val="0"/>
      <w:marBottom w:val="0"/>
      <w:divBdr>
        <w:top w:val="none" w:sz="0" w:space="0" w:color="auto"/>
        <w:left w:val="none" w:sz="0" w:space="0" w:color="auto"/>
        <w:bottom w:val="none" w:sz="0" w:space="0" w:color="auto"/>
        <w:right w:val="none" w:sz="0" w:space="0" w:color="auto"/>
      </w:divBdr>
    </w:div>
    <w:div w:id="435322876">
      <w:bodyDiv w:val="1"/>
      <w:marLeft w:val="0"/>
      <w:marRight w:val="0"/>
      <w:marTop w:val="0"/>
      <w:marBottom w:val="0"/>
      <w:divBdr>
        <w:top w:val="none" w:sz="0" w:space="0" w:color="auto"/>
        <w:left w:val="none" w:sz="0" w:space="0" w:color="auto"/>
        <w:bottom w:val="none" w:sz="0" w:space="0" w:color="auto"/>
        <w:right w:val="none" w:sz="0" w:space="0" w:color="auto"/>
      </w:divBdr>
    </w:div>
    <w:div w:id="440297164">
      <w:bodyDiv w:val="1"/>
      <w:marLeft w:val="0"/>
      <w:marRight w:val="0"/>
      <w:marTop w:val="0"/>
      <w:marBottom w:val="0"/>
      <w:divBdr>
        <w:top w:val="none" w:sz="0" w:space="0" w:color="auto"/>
        <w:left w:val="none" w:sz="0" w:space="0" w:color="auto"/>
        <w:bottom w:val="none" w:sz="0" w:space="0" w:color="auto"/>
        <w:right w:val="none" w:sz="0" w:space="0" w:color="auto"/>
      </w:divBdr>
    </w:div>
    <w:div w:id="563175902">
      <w:bodyDiv w:val="1"/>
      <w:marLeft w:val="60"/>
      <w:marRight w:val="60"/>
      <w:marTop w:val="60"/>
      <w:marBottom w:val="15"/>
      <w:divBdr>
        <w:top w:val="none" w:sz="0" w:space="0" w:color="auto"/>
        <w:left w:val="none" w:sz="0" w:space="0" w:color="auto"/>
        <w:bottom w:val="none" w:sz="0" w:space="0" w:color="auto"/>
        <w:right w:val="none" w:sz="0" w:space="0" w:color="auto"/>
      </w:divBdr>
      <w:divsChild>
        <w:div w:id="1459032733">
          <w:marLeft w:val="0"/>
          <w:marRight w:val="0"/>
          <w:marTop w:val="0"/>
          <w:marBottom w:val="0"/>
          <w:divBdr>
            <w:top w:val="none" w:sz="0" w:space="0" w:color="auto"/>
            <w:left w:val="none" w:sz="0" w:space="0" w:color="auto"/>
            <w:bottom w:val="none" w:sz="0" w:space="0" w:color="auto"/>
            <w:right w:val="none" w:sz="0" w:space="0" w:color="auto"/>
          </w:divBdr>
        </w:div>
      </w:divsChild>
    </w:div>
    <w:div w:id="590434054">
      <w:bodyDiv w:val="1"/>
      <w:marLeft w:val="0"/>
      <w:marRight w:val="0"/>
      <w:marTop w:val="0"/>
      <w:marBottom w:val="0"/>
      <w:divBdr>
        <w:top w:val="none" w:sz="0" w:space="0" w:color="auto"/>
        <w:left w:val="none" w:sz="0" w:space="0" w:color="auto"/>
        <w:bottom w:val="none" w:sz="0" w:space="0" w:color="auto"/>
        <w:right w:val="none" w:sz="0" w:space="0" w:color="auto"/>
      </w:divBdr>
    </w:div>
    <w:div w:id="651300692">
      <w:bodyDiv w:val="1"/>
      <w:marLeft w:val="0"/>
      <w:marRight w:val="0"/>
      <w:marTop w:val="0"/>
      <w:marBottom w:val="0"/>
      <w:divBdr>
        <w:top w:val="none" w:sz="0" w:space="0" w:color="auto"/>
        <w:left w:val="none" w:sz="0" w:space="0" w:color="auto"/>
        <w:bottom w:val="none" w:sz="0" w:space="0" w:color="auto"/>
        <w:right w:val="none" w:sz="0" w:space="0" w:color="auto"/>
      </w:divBdr>
    </w:div>
    <w:div w:id="658047267">
      <w:bodyDiv w:val="1"/>
      <w:marLeft w:val="0"/>
      <w:marRight w:val="0"/>
      <w:marTop w:val="0"/>
      <w:marBottom w:val="0"/>
      <w:divBdr>
        <w:top w:val="none" w:sz="0" w:space="0" w:color="auto"/>
        <w:left w:val="none" w:sz="0" w:space="0" w:color="auto"/>
        <w:bottom w:val="none" w:sz="0" w:space="0" w:color="auto"/>
        <w:right w:val="none" w:sz="0" w:space="0" w:color="auto"/>
      </w:divBdr>
      <w:divsChild>
        <w:div w:id="2007509666">
          <w:marLeft w:val="0"/>
          <w:marRight w:val="0"/>
          <w:marTop w:val="0"/>
          <w:marBottom w:val="0"/>
          <w:divBdr>
            <w:top w:val="none" w:sz="0" w:space="0" w:color="auto"/>
            <w:left w:val="none" w:sz="0" w:space="0" w:color="auto"/>
            <w:bottom w:val="none" w:sz="0" w:space="0" w:color="auto"/>
            <w:right w:val="none" w:sz="0" w:space="0" w:color="auto"/>
          </w:divBdr>
          <w:divsChild>
            <w:div w:id="1213663336">
              <w:marLeft w:val="0"/>
              <w:marRight w:val="0"/>
              <w:marTop w:val="0"/>
              <w:marBottom w:val="0"/>
              <w:divBdr>
                <w:top w:val="none" w:sz="0" w:space="0" w:color="auto"/>
                <w:left w:val="none" w:sz="0" w:space="0" w:color="auto"/>
                <w:bottom w:val="none" w:sz="0" w:space="0" w:color="auto"/>
                <w:right w:val="none" w:sz="0" w:space="0" w:color="auto"/>
              </w:divBdr>
              <w:divsChild>
                <w:div w:id="1401906779">
                  <w:marLeft w:val="0"/>
                  <w:marRight w:val="0"/>
                  <w:marTop w:val="0"/>
                  <w:marBottom w:val="0"/>
                  <w:divBdr>
                    <w:top w:val="none" w:sz="0" w:space="0" w:color="auto"/>
                    <w:left w:val="none" w:sz="0" w:space="0" w:color="auto"/>
                    <w:bottom w:val="none" w:sz="0" w:space="0" w:color="auto"/>
                    <w:right w:val="none" w:sz="0" w:space="0" w:color="auto"/>
                  </w:divBdr>
                  <w:divsChild>
                    <w:div w:id="1370455908">
                      <w:marLeft w:val="0"/>
                      <w:marRight w:val="0"/>
                      <w:marTop w:val="0"/>
                      <w:marBottom w:val="0"/>
                      <w:divBdr>
                        <w:top w:val="none" w:sz="0" w:space="0" w:color="auto"/>
                        <w:left w:val="none" w:sz="0" w:space="0" w:color="auto"/>
                        <w:bottom w:val="none" w:sz="0" w:space="0" w:color="auto"/>
                        <w:right w:val="none" w:sz="0" w:space="0" w:color="auto"/>
                      </w:divBdr>
                      <w:divsChild>
                        <w:div w:id="18245441">
                          <w:marLeft w:val="0"/>
                          <w:marRight w:val="0"/>
                          <w:marTop w:val="0"/>
                          <w:marBottom w:val="0"/>
                          <w:divBdr>
                            <w:top w:val="none" w:sz="0" w:space="0" w:color="auto"/>
                            <w:left w:val="none" w:sz="0" w:space="0" w:color="auto"/>
                            <w:bottom w:val="none" w:sz="0" w:space="0" w:color="auto"/>
                            <w:right w:val="none" w:sz="0" w:space="0" w:color="auto"/>
                          </w:divBdr>
                          <w:divsChild>
                            <w:div w:id="3155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33945">
      <w:bodyDiv w:val="1"/>
      <w:marLeft w:val="0"/>
      <w:marRight w:val="0"/>
      <w:marTop w:val="0"/>
      <w:marBottom w:val="0"/>
      <w:divBdr>
        <w:top w:val="none" w:sz="0" w:space="0" w:color="auto"/>
        <w:left w:val="none" w:sz="0" w:space="0" w:color="auto"/>
        <w:bottom w:val="none" w:sz="0" w:space="0" w:color="auto"/>
        <w:right w:val="none" w:sz="0" w:space="0" w:color="auto"/>
      </w:divBdr>
      <w:divsChild>
        <w:div w:id="537204305">
          <w:marLeft w:val="0"/>
          <w:marRight w:val="0"/>
          <w:marTop w:val="0"/>
          <w:marBottom w:val="0"/>
          <w:divBdr>
            <w:top w:val="none" w:sz="0" w:space="0" w:color="auto"/>
            <w:left w:val="none" w:sz="0" w:space="0" w:color="auto"/>
            <w:bottom w:val="none" w:sz="0" w:space="0" w:color="auto"/>
            <w:right w:val="none" w:sz="0" w:space="0" w:color="auto"/>
          </w:divBdr>
          <w:divsChild>
            <w:div w:id="1966037573">
              <w:marLeft w:val="0"/>
              <w:marRight w:val="0"/>
              <w:marTop w:val="0"/>
              <w:marBottom w:val="0"/>
              <w:divBdr>
                <w:top w:val="none" w:sz="0" w:space="0" w:color="auto"/>
                <w:left w:val="none" w:sz="0" w:space="0" w:color="auto"/>
                <w:bottom w:val="none" w:sz="0" w:space="0" w:color="auto"/>
                <w:right w:val="none" w:sz="0" w:space="0" w:color="auto"/>
              </w:divBdr>
              <w:divsChild>
                <w:div w:id="1969973225">
                  <w:marLeft w:val="0"/>
                  <w:marRight w:val="0"/>
                  <w:marTop w:val="0"/>
                  <w:marBottom w:val="0"/>
                  <w:divBdr>
                    <w:top w:val="none" w:sz="0" w:space="0" w:color="auto"/>
                    <w:left w:val="none" w:sz="0" w:space="0" w:color="auto"/>
                    <w:bottom w:val="none" w:sz="0" w:space="0" w:color="auto"/>
                    <w:right w:val="none" w:sz="0" w:space="0" w:color="auto"/>
                  </w:divBdr>
                  <w:divsChild>
                    <w:div w:id="31198085">
                      <w:marLeft w:val="0"/>
                      <w:marRight w:val="0"/>
                      <w:marTop w:val="0"/>
                      <w:marBottom w:val="0"/>
                      <w:divBdr>
                        <w:top w:val="none" w:sz="0" w:space="0" w:color="auto"/>
                        <w:left w:val="none" w:sz="0" w:space="0" w:color="auto"/>
                        <w:bottom w:val="none" w:sz="0" w:space="0" w:color="auto"/>
                        <w:right w:val="none" w:sz="0" w:space="0" w:color="auto"/>
                      </w:divBdr>
                      <w:divsChild>
                        <w:div w:id="240145891">
                          <w:marLeft w:val="0"/>
                          <w:marRight w:val="0"/>
                          <w:marTop w:val="0"/>
                          <w:marBottom w:val="0"/>
                          <w:divBdr>
                            <w:top w:val="none" w:sz="0" w:space="0" w:color="auto"/>
                            <w:left w:val="none" w:sz="0" w:space="0" w:color="auto"/>
                            <w:bottom w:val="none" w:sz="0" w:space="0" w:color="auto"/>
                            <w:right w:val="none" w:sz="0" w:space="0" w:color="auto"/>
                          </w:divBdr>
                          <w:divsChild>
                            <w:div w:id="11612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467670">
      <w:bodyDiv w:val="1"/>
      <w:marLeft w:val="0"/>
      <w:marRight w:val="0"/>
      <w:marTop w:val="0"/>
      <w:marBottom w:val="150"/>
      <w:divBdr>
        <w:top w:val="none" w:sz="0" w:space="0" w:color="auto"/>
        <w:left w:val="none" w:sz="0" w:space="0" w:color="auto"/>
        <w:bottom w:val="none" w:sz="0" w:space="0" w:color="auto"/>
        <w:right w:val="none" w:sz="0" w:space="0" w:color="auto"/>
      </w:divBdr>
      <w:divsChild>
        <w:div w:id="1901406565">
          <w:marLeft w:val="0"/>
          <w:marRight w:val="0"/>
          <w:marTop w:val="0"/>
          <w:marBottom w:val="0"/>
          <w:divBdr>
            <w:top w:val="none" w:sz="0" w:space="0" w:color="auto"/>
            <w:left w:val="none" w:sz="0" w:space="0" w:color="auto"/>
            <w:bottom w:val="none" w:sz="0" w:space="0" w:color="auto"/>
            <w:right w:val="none" w:sz="0" w:space="0" w:color="auto"/>
          </w:divBdr>
          <w:divsChild>
            <w:div w:id="1540238639">
              <w:marLeft w:val="0"/>
              <w:marRight w:val="0"/>
              <w:marTop w:val="0"/>
              <w:marBottom w:val="0"/>
              <w:divBdr>
                <w:top w:val="none" w:sz="0" w:space="0" w:color="auto"/>
                <w:left w:val="none" w:sz="0" w:space="0" w:color="auto"/>
                <w:bottom w:val="none" w:sz="0" w:space="0" w:color="auto"/>
                <w:right w:val="none" w:sz="0" w:space="0" w:color="auto"/>
              </w:divBdr>
              <w:divsChild>
                <w:div w:id="302126314">
                  <w:marLeft w:val="0"/>
                  <w:marRight w:val="0"/>
                  <w:marTop w:val="0"/>
                  <w:marBottom w:val="0"/>
                  <w:divBdr>
                    <w:top w:val="none" w:sz="0" w:space="0" w:color="auto"/>
                    <w:left w:val="none" w:sz="0" w:space="0" w:color="auto"/>
                    <w:bottom w:val="none" w:sz="0" w:space="0" w:color="auto"/>
                    <w:right w:val="none" w:sz="0" w:space="0" w:color="auto"/>
                  </w:divBdr>
                  <w:divsChild>
                    <w:div w:id="16633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576003">
      <w:bodyDiv w:val="1"/>
      <w:marLeft w:val="0"/>
      <w:marRight w:val="0"/>
      <w:marTop w:val="0"/>
      <w:marBottom w:val="0"/>
      <w:divBdr>
        <w:top w:val="none" w:sz="0" w:space="0" w:color="auto"/>
        <w:left w:val="none" w:sz="0" w:space="0" w:color="auto"/>
        <w:bottom w:val="none" w:sz="0" w:space="0" w:color="auto"/>
        <w:right w:val="none" w:sz="0" w:space="0" w:color="auto"/>
      </w:divBdr>
    </w:div>
    <w:div w:id="756636929">
      <w:bodyDiv w:val="1"/>
      <w:marLeft w:val="0"/>
      <w:marRight w:val="0"/>
      <w:marTop w:val="0"/>
      <w:marBottom w:val="0"/>
      <w:divBdr>
        <w:top w:val="none" w:sz="0" w:space="0" w:color="auto"/>
        <w:left w:val="none" w:sz="0" w:space="0" w:color="auto"/>
        <w:bottom w:val="none" w:sz="0" w:space="0" w:color="auto"/>
        <w:right w:val="none" w:sz="0" w:space="0" w:color="auto"/>
      </w:divBdr>
      <w:divsChild>
        <w:div w:id="1067147452">
          <w:marLeft w:val="0"/>
          <w:marRight w:val="0"/>
          <w:marTop w:val="0"/>
          <w:marBottom w:val="0"/>
          <w:divBdr>
            <w:top w:val="none" w:sz="0" w:space="0" w:color="auto"/>
            <w:left w:val="none" w:sz="0" w:space="0" w:color="auto"/>
            <w:bottom w:val="none" w:sz="0" w:space="0" w:color="auto"/>
            <w:right w:val="none" w:sz="0" w:space="0" w:color="auto"/>
          </w:divBdr>
          <w:divsChild>
            <w:div w:id="553658052">
              <w:marLeft w:val="0"/>
              <w:marRight w:val="0"/>
              <w:marTop w:val="0"/>
              <w:marBottom w:val="0"/>
              <w:divBdr>
                <w:top w:val="none" w:sz="0" w:space="0" w:color="auto"/>
                <w:left w:val="none" w:sz="0" w:space="0" w:color="auto"/>
                <w:bottom w:val="none" w:sz="0" w:space="0" w:color="auto"/>
                <w:right w:val="none" w:sz="0" w:space="0" w:color="auto"/>
              </w:divBdr>
              <w:divsChild>
                <w:div w:id="306326555">
                  <w:marLeft w:val="0"/>
                  <w:marRight w:val="0"/>
                  <w:marTop w:val="0"/>
                  <w:marBottom w:val="0"/>
                  <w:divBdr>
                    <w:top w:val="none" w:sz="0" w:space="0" w:color="auto"/>
                    <w:left w:val="none" w:sz="0" w:space="0" w:color="auto"/>
                    <w:bottom w:val="none" w:sz="0" w:space="0" w:color="auto"/>
                    <w:right w:val="none" w:sz="0" w:space="0" w:color="auto"/>
                  </w:divBdr>
                  <w:divsChild>
                    <w:div w:id="2040738510">
                      <w:marLeft w:val="0"/>
                      <w:marRight w:val="0"/>
                      <w:marTop w:val="0"/>
                      <w:marBottom w:val="0"/>
                      <w:divBdr>
                        <w:top w:val="none" w:sz="0" w:space="0" w:color="auto"/>
                        <w:left w:val="none" w:sz="0" w:space="0" w:color="auto"/>
                        <w:bottom w:val="none" w:sz="0" w:space="0" w:color="auto"/>
                        <w:right w:val="none" w:sz="0" w:space="0" w:color="auto"/>
                      </w:divBdr>
                      <w:divsChild>
                        <w:div w:id="67967381">
                          <w:marLeft w:val="0"/>
                          <w:marRight w:val="0"/>
                          <w:marTop w:val="0"/>
                          <w:marBottom w:val="0"/>
                          <w:divBdr>
                            <w:top w:val="none" w:sz="0" w:space="0" w:color="auto"/>
                            <w:left w:val="none" w:sz="0" w:space="0" w:color="auto"/>
                            <w:bottom w:val="none" w:sz="0" w:space="0" w:color="auto"/>
                            <w:right w:val="none" w:sz="0" w:space="0" w:color="auto"/>
                          </w:divBdr>
                          <w:divsChild>
                            <w:div w:id="5995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40481">
      <w:bodyDiv w:val="1"/>
      <w:marLeft w:val="60"/>
      <w:marRight w:val="60"/>
      <w:marTop w:val="60"/>
      <w:marBottom w:val="15"/>
      <w:divBdr>
        <w:top w:val="none" w:sz="0" w:space="0" w:color="auto"/>
        <w:left w:val="none" w:sz="0" w:space="0" w:color="auto"/>
        <w:bottom w:val="none" w:sz="0" w:space="0" w:color="auto"/>
        <w:right w:val="none" w:sz="0" w:space="0" w:color="auto"/>
      </w:divBdr>
      <w:divsChild>
        <w:div w:id="275983732">
          <w:marLeft w:val="0"/>
          <w:marRight w:val="0"/>
          <w:marTop w:val="0"/>
          <w:marBottom w:val="0"/>
          <w:divBdr>
            <w:top w:val="none" w:sz="0" w:space="0" w:color="auto"/>
            <w:left w:val="none" w:sz="0" w:space="0" w:color="auto"/>
            <w:bottom w:val="none" w:sz="0" w:space="0" w:color="auto"/>
            <w:right w:val="none" w:sz="0" w:space="0" w:color="auto"/>
          </w:divBdr>
        </w:div>
        <w:div w:id="1423646960">
          <w:marLeft w:val="0"/>
          <w:marRight w:val="0"/>
          <w:marTop w:val="0"/>
          <w:marBottom w:val="0"/>
          <w:divBdr>
            <w:top w:val="none" w:sz="0" w:space="0" w:color="auto"/>
            <w:left w:val="none" w:sz="0" w:space="0" w:color="auto"/>
            <w:bottom w:val="none" w:sz="0" w:space="0" w:color="auto"/>
            <w:right w:val="none" w:sz="0" w:space="0" w:color="auto"/>
          </w:divBdr>
        </w:div>
        <w:div w:id="668407984">
          <w:marLeft w:val="0"/>
          <w:marRight w:val="0"/>
          <w:marTop w:val="0"/>
          <w:marBottom w:val="0"/>
          <w:divBdr>
            <w:top w:val="none" w:sz="0" w:space="0" w:color="auto"/>
            <w:left w:val="none" w:sz="0" w:space="0" w:color="auto"/>
            <w:bottom w:val="none" w:sz="0" w:space="0" w:color="auto"/>
            <w:right w:val="none" w:sz="0" w:space="0" w:color="auto"/>
          </w:divBdr>
        </w:div>
        <w:div w:id="706636882">
          <w:marLeft w:val="0"/>
          <w:marRight w:val="0"/>
          <w:marTop w:val="0"/>
          <w:marBottom w:val="0"/>
          <w:divBdr>
            <w:top w:val="none" w:sz="0" w:space="0" w:color="auto"/>
            <w:left w:val="none" w:sz="0" w:space="0" w:color="auto"/>
            <w:bottom w:val="none" w:sz="0" w:space="0" w:color="auto"/>
            <w:right w:val="none" w:sz="0" w:space="0" w:color="auto"/>
          </w:divBdr>
        </w:div>
        <w:div w:id="622810058">
          <w:marLeft w:val="0"/>
          <w:marRight w:val="0"/>
          <w:marTop w:val="0"/>
          <w:marBottom w:val="0"/>
          <w:divBdr>
            <w:top w:val="none" w:sz="0" w:space="0" w:color="auto"/>
            <w:left w:val="none" w:sz="0" w:space="0" w:color="auto"/>
            <w:bottom w:val="none" w:sz="0" w:space="0" w:color="auto"/>
            <w:right w:val="none" w:sz="0" w:space="0" w:color="auto"/>
          </w:divBdr>
        </w:div>
        <w:div w:id="524442420">
          <w:marLeft w:val="0"/>
          <w:marRight w:val="0"/>
          <w:marTop w:val="0"/>
          <w:marBottom w:val="0"/>
          <w:divBdr>
            <w:top w:val="none" w:sz="0" w:space="0" w:color="auto"/>
            <w:left w:val="none" w:sz="0" w:space="0" w:color="auto"/>
            <w:bottom w:val="none" w:sz="0" w:space="0" w:color="auto"/>
            <w:right w:val="none" w:sz="0" w:space="0" w:color="auto"/>
          </w:divBdr>
        </w:div>
        <w:div w:id="1968193954">
          <w:marLeft w:val="0"/>
          <w:marRight w:val="0"/>
          <w:marTop w:val="0"/>
          <w:marBottom w:val="0"/>
          <w:divBdr>
            <w:top w:val="none" w:sz="0" w:space="0" w:color="auto"/>
            <w:left w:val="none" w:sz="0" w:space="0" w:color="auto"/>
            <w:bottom w:val="none" w:sz="0" w:space="0" w:color="auto"/>
            <w:right w:val="none" w:sz="0" w:space="0" w:color="auto"/>
          </w:divBdr>
        </w:div>
        <w:div w:id="1020593987">
          <w:marLeft w:val="0"/>
          <w:marRight w:val="0"/>
          <w:marTop w:val="0"/>
          <w:marBottom w:val="0"/>
          <w:divBdr>
            <w:top w:val="none" w:sz="0" w:space="0" w:color="auto"/>
            <w:left w:val="none" w:sz="0" w:space="0" w:color="auto"/>
            <w:bottom w:val="none" w:sz="0" w:space="0" w:color="auto"/>
            <w:right w:val="none" w:sz="0" w:space="0" w:color="auto"/>
          </w:divBdr>
          <w:divsChild>
            <w:div w:id="2093813215">
              <w:marLeft w:val="0"/>
              <w:marRight w:val="0"/>
              <w:marTop w:val="0"/>
              <w:marBottom w:val="0"/>
              <w:divBdr>
                <w:top w:val="none" w:sz="0" w:space="0" w:color="auto"/>
                <w:left w:val="none" w:sz="0" w:space="0" w:color="auto"/>
                <w:bottom w:val="none" w:sz="0" w:space="0" w:color="auto"/>
                <w:right w:val="none" w:sz="0" w:space="0" w:color="auto"/>
              </w:divBdr>
            </w:div>
            <w:div w:id="969868986">
              <w:marLeft w:val="0"/>
              <w:marRight w:val="0"/>
              <w:marTop w:val="0"/>
              <w:marBottom w:val="0"/>
              <w:divBdr>
                <w:top w:val="none" w:sz="0" w:space="0" w:color="auto"/>
                <w:left w:val="none" w:sz="0" w:space="0" w:color="auto"/>
                <w:bottom w:val="none" w:sz="0" w:space="0" w:color="auto"/>
                <w:right w:val="none" w:sz="0" w:space="0" w:color="auto"/>
              </w:divBdr>
            </w:div>
            <w:div w:id="263611286">
              <w:marLeft w:val="0"/>
              <w:marRight w:val="0"/>
              <w:marTop w:val="0"/>
              <w:marBottom w:val="0"/>
              <w:divBdr>
                <w:top w:val="none" w:sz="0" w:space="0" w:color="auto"/>
                <w:left w:val="none" w:sz="0" w:space="0" w:color="auto"/>
                <w:bottom w:val="none" w:sz="0" w:space="0" w:color="auto"/>
                <w:right w:val="none" w:sz="0" w:space="0" w:color="auto"/>
              </w:divBdr>
            </w:div>
            <w:div w:id="108354421">
              <w:marLeft w:val="0"/>
              <w:marRight w:val="0"/>
              <w:marTop w:val="0"/>
              <w:marBottom w:val="0"/>
              <w:divBdr>
                <w:top w:val="none" w:sz="0" w:space="0" w:color="auto"/>
                <w:left w:val="none" w:sz="0" w:space="0" w:color="auto"/>
                <w:bottom w:val="none" w:sz="0" w:space="0" w:color="auto"/>
                <w:right w:val="none" w:sz="0" w:space="0" w:color="auto"/>
              </w:divBdr>
            </w:div>
          </w:divsChild>
        </w:div>
        <w:div w:id="742489695">
          <w:marLeft w:val="0"/>
          <w:marRight w:val="0"/>
          <w:marTop w:val="0"/>
          <w:marBottom w:val="0"/>
          <w:divBdr>
            <w:top w:val="none" w:sz="0" w:space="0" w:color="auto"/>
            <w:left w:val="none" w:sz="0" w:space="0" w:color="auto"/>
            <w:bottom w:val="none" w:sz="0" w:space="0" w:color="auto"/>
            <w:right w:val="none" w:sz="0" w:space="0" w:color="auto"/>
          </w:divBdr>
        </w:div>
        <w:div w:id="538057366">
          <w:marLeft w:val="0"/>
          <w:marRight w:val="0"/>
          <w:marTop w:val="0"/>
          <w:marBottom w:val="0"/>
          <w:divBdr>
            <w:top w:val="none" w:sz="0" w:space="0" w:color="auto"/>
            <w:left w:val="none" w:sz="0" w:space="0" w:color="auto"/>
            <w:bottom w:val="none" w:sz="0" w:space="0" w:color="auto"/>
            <w:right w:val="none" w:sz="0" w:space="0" w:color="auto"/>
          </w:divBdr>
        </w:div>
        <w:div w:id="2112965136">
          <w:marLeft w:val="0"/>
          <w:marRight w:val="0"/>
          <w:marTop w:val="0"/>
          <w:marBottom w:val="0"/>
          <w:divBdr>
            <w:top w:val="none" w:sz="0" w:space="0" w:color="auto"/>
            <w:left w:val="none" w:sz="0" w:space="0" w:color="auto"/>
            <w:bottom w:val="none" w:sz="0" w:space="0" w:color="auto"/>
            <w:right w:val="none" w:sz="0" w:space="0" w:color="auto"/>
          </w:divBdr>
        </w:div>
        <w:div w:id="1442409596">
          <w:marLeft w:val="0"/>
          <w:marRight w:val="0"/>
          <w:marTop w:val="0"/>
          <w:marBottom w:val="0"/>
          <w:divBdr>
            <w:top w:val="none" w:sz="0" w:space="0" w:color="auto"/>
            <w:left w:val="none" w:sz="0" w:space="0" w:color="auto"/>
            <w:bottom w:val="none" w:sz="0" w:space="0" w:color="auto"/>
            <w:right w:val="none" w:sz="0" w:space="0" w:color="auto"/>
          </w:divBdr>
        </w:div>
        <w:div w:id="1813020328">
          <w:marLeft w:val="0"/>
          <w:marRight w:val="0"/>
          <w:marTop w:val="0"/>
          <w:marBottom w:val="0"/>
          <w:divBdr>
            <w:top w:val="none" w:sz="0" w:space="0" w:color="auto"/>
            <w:left w:val="none" w:sz="0" w:space="0" w:color="auto"/>
            <w:bottom w:val="none" w:sz="0" w:space="0" w:color="auto"/>
            <w:right w:val="none" w:sz="0" w:space="0" w:color="auto"/>
          </w:divBdr>
          <w:divsChild>
            <w:div w:id="1786999026">
              <w:marLeft w:val="0"/>
              <w:marRight w:val="0"/>
              <w:marTop w:val="0"/>
              <w:marBottom w:val="0"/>
              <w:divBdr>
                <w:top w:val="none" w:sz="0" w:space="0" w:color="auto"/>
                <w:left w:val="none" w:sz="0" w:space="0" w:color="auto"/>
                <w:bottom w:val="none" w:sz="0" w:space="0" w:color="auto"/>
                <w:right w:val="none" w:sz="0" w:space="0" w:color="auto"/>
              </w:divBdr>
            </w:div>
            <w:div w:id="800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9887">
      <w:bodyDiv w:val="1"/>
      <w:marLeft w:val="0"/>
      <w:marRight w:val="0"/>
      <w:marTop w:val="0"/>
      <w:marBottom w:val="0"/>
      <w:divBdr>
        <w:top w:val="none" w:sz="0" w:space="0" w:color="auto"/>
        <w:left w:val="none" w:sz="0" w:space="0" w:color="auto"/>
        <w:bottom w:val="none" w:sz="0" w:space="0" w:color="auto"/>
        <w:right w:val="none" w:sz="0" w:space="0" w:color="auto"/>
      </w:divBdr>
    </w:div>
    <w:div w:id="846402445">
      <w:bodyDiv w:val="1"/>
      <w:marLeft w:val="60"/>
      <w:marRight w:val="60"/>
      <w:marTop w:val="60"/>
      <w:marBottom w:val="15"/>
      <w:divBdr>
        <w:top w:val="none" w:sz="0" w:space="0" w:color="auto"/>
        <w:left w:val="none" w:sz="0" w:space="0" w:color="auto"/>
        <w:bottom w:val="none" w:sz="0" w:space="0" w:color="auto"/>
        <w:right w:val="none" w:sz="0" w:space="0" w:color="auto"/>
      </w:divBdr>
      <w:divsChild>
        <w:div w:id="2054887463">
          <w:marLeft w:val="0"/>
          <w:marRight w:val="0"/>
          <w:marTop w:val="0"/>
          <w:marBottom w:val="0"/>
          <w:divBdr>
            <w:top w:val="none" w:sz="0" w:space="0" w:color="auto"/>
            <w:left w:val="none" w:sz="0" w:space="0" w:color="auto"/>
            <w:bottom w:val="none" w:sz="0" w:space="0" w:color="auto"/>
            <w:right w:val="none" w:sz="0" w:space="0" w:color="auto"/>
          </w:divBdr>
        </w:div>
      </w:divsChild>
    </w:div>
    <w:div w:id="855533696">
      <w:bodyDiv w:val="1"/>
      <w:marLeft w:val="0"/>
      <w:marRight w:val="0"/>
      <w:marTop w:val="0"/>
      <w:marBottom w:val="0"/>
      <w:divBdr>
        <w:top w:val="none" w:sz="0" w:space="0" w:color="auto"/>
        <w:left w:val="none" w:sz="0" w:space="0" w:color="auto"/>
        <w:bottom w:val="none" w:sz="0" w:space="0" w:color="auto"/>
        <w:right w:val="none" w:sz="0" w:space="0" w:color="auto"/>
      </w:divBdr>
      <w:divsChild>
        <w:div w:id="1188833461">
          <w:marLeft w:val="0"/>
          <w:marRight w:val="0"/>
          <w:marTop w:val="0"/>
          <w:marBottom w:val="0"/>
          <w:divBdr>
            <w:top w:val="none" w:sz="0" w:space="0" w:color="auto"/>
            <w:left w:val="none" w:sz="0" w:space="0" w:color="auto"/>
            <w:bottom w:val="none" w:sz="0" w:space="0" w:color="auto"/>
            <w:right w:val="none" w:sz="0" w:space="0" w:color="auto"/>
          </w:divBdr>
          <w:divsChild>
            <w:div w:id="523254333">
              <w:marLeft w:val="0"/>
              <w:marRight w:val="0"/>
              <w:marTop w:val="0"/>
              <w:marBottom w:val="0"/>
              <w:divBdr>
                <w:top w:val="none" w:sz="0" w:space="0" w:color="auto"/>
                <w:left w:val="none" w:sz="0" w:space="0" w:color="auto"/>
                <w:bottom w:val="none" w:sz="0" w:space="0" w:color="auto"/>
                <w:right w:val="none" w:sz="0" w:space="0" w:color="auto"/>
              </w:divBdr>
              <w:divsChild>
                <w:div w:id="812872853">
                  <w:marLeft w:val="0"/>
                  <w:marRight w:val="0"/>
                  <w:marTop w:val="315"/>
                  <w:marBottom w:val="315"/>
                  <w:divBdr>
                    <w:top w:val="none" w:sz="0" w:space="0" w:color="auto"/>
                    <w:left w:val="none" w:sz="0" w:space="0" w:color="auto"/>
                    <w:bottom w:val="single" w:sz="6" w:space="7" w:color="EEEEEE"/>
                    <w:right w:val="none" w:sz="0" w:space="0" w:color="auto"/>
                  </w:divBdr>
                </w:div>
              </w:divsChild>
            </w:div>
          </w:divsChild>
        </w:div>
      </w:divsChild>
    </w:div>
    <w:div w:id="856119737">
      <w:bodyDiv w:val="1"/>
      <w:marLeft w:val="0"/>
      <w:marRight w:val="0"/>
      <w:marTop w:val="0"/>
      <w:marBottom w:val="0"/>
      <w:divBdr>
        <w:top w:val="none" w:sz="0" w:space="0" w:color="auto"/>
        <w:left w:val="none" w:sz="0" w:space="0" w:color="auto"/>
        <w:bottom w:val="none" w:sz="0" w:space="0" w:color="auto"/>
        <w:right w:val="none" w:sz="0" w:space="0" w:color="auto"/>
      </w:divBdr>
      <w:divsChild>
        <w:div w:id="1694376323">
          <w:marLeft w:val="0"/>
          <w:marRight w:val="0"/>
          <w:marTop w:val="0"/>
          <w:marBottom w:val="0"/>
          <w:divBdr>
            <w:top w:val="none" w:sz="0" w:space="0" w:color="auto"/>
            <w:left w:val="none" w:sz="0" w:space="0" w:color="auto"/>
            <w:bottom w:val="none" w:sz="0" w:space="0" w:color="auto"/>
            <w:right w:val="none" w:sz="0" w:space="0" w:color="auto"/>
          </w:divBdr>
          <w:divsChild>
            <w:div w:id="295186505">
              <w:marLeft w:val="0"/>
              <w:marRight w:val="0"/>
              <w:marTop w:val="0"/>
              <w:marBottom w:val="0"/>
              <w:divBdr>
                <w:top w:val="none" w:sz="0" w:space="0" w:color="auto"/>
                <w:left w:val="none" w:sz="0" w:space="0" w:color="auto"/>
                <w:bottom w:val="none" w:sz="0" w:space="0" w:color="auto"/>
                <w:right w:val="none" w:sz="0" w:space="0" w:color="auto"/>
              </w:divBdr>
              <w:divsChild>
                <w:div w:id="1173687694">
                  <w:marLeft w:val="0"/>
                  <w:marRight w:val="0"/>
                  <w:marTop w:val="0"/>
                  <w:marBottom w:val="0"/>
                  <w:divBdr>
                    <w:top w:val="none" w:sz="0" w:space="0" w:color="auto"/>
                    <w:left w:val="none" w:sz="0" w:space="0" w:color="auto"/>
                    <w:bottom w:val="none" w:sz="0" w:space="0" w:color="auto"/>
                    <w:right w:val="none" w:sz="0" w:space="0" w:color="auto"/>
                  </w:divBdr>
                  <w:divsChild>
                    <w:div w:id="18556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68660">
      <w:bodyDiv w:val="1"/>
      <w:marLeft w:val="0"/>
      <w:marRight w:val="0"/>
      <w:marTop w:val="0"/>
      <w:marBottom w:val="0"/>
      <w:divBdr>
        <w:top w:val="none" w:sz="0" w:space="0" w:color="auto"/>
        <w:left w:val="none" w:sz="0" w:space="0" w:color="auto"/>
        <w:bottom w:val="none" w:sz="0" w:space="0" w:color="auto"/>
        <w:right w:val="none" w:sz="0" w:space="0" w:color="auto"/>
      </w:divBdr>
      <w:divsChild>
        <w:div w:id="1850558293">
          <w:marLeft w:val="0"/>
          <w:marRight w:val="0"/>
          <w:marTop w:val="0"/>
          <w:marBottom w:val="0"/>
          <w:divBdr>
            <w:top w:val="none" w:sz="0" w:space="0" w:color="auto"/>
            <w:left w:val="none" w:sz="0" w:space="0" w:color="auto"/>
            <w:bottom w:val="none" w:sz="0" w:space="0" w:color="auto"/>
            <w:right w:val="none" w:sz="0" w:space="0" w:color="auto"/>
          </w:divBdr>
          <w:divsChild>
            <w:div w:id="1536649873">
              <w:marLeft w:val="0"/>
              <w:marRight w:val="0"/>
              <w:marTop w:val="0"/>
              <w:marBottom w:val="0"/>
              <w:divBdr>
                <w:top w:val="none" w:sz="0" w:space="0" w:color="auto"/>
                <w:left w:val="none" w:sz="0" w:space="0" w:color="auto"/>
                <w:bottom w:val="none" w:sz="0" w:space="0" w:color="auto"/>
                <w:right w:val="none" w:sz="0" w:space="0" w:color="auto"/>
              </w:divBdr>
              <w:divsChild>
                <w:div w:id="969822716">
                  <w:marLeft w:val="0"/>
                  <w:marRight w:val="0"/>
                  <w:marTop w:val="0"/>
                  <w:marBottom w:val="0"/>
                  <w:divBdr>
                    <w:top w:val="none" w:sz="0" w:space="0" w:color="auto"/>
                    <w:left w:val="none" w:sz="0" w:space="0" w:color="auto"/>
                    <w:bottom w:val="none" w:sz="0" w:space="0" w:color="auto"/>
                    <w:right w:val="none" w:sz="0" w:space="0" w:color="auto"/>
                  </w:divBdr>
                  <w:divsChild>
                    <w:div w:id="1400589832">
                      <w:marLeft w:val="0"/>
                      <w:marRight w:val="0"/>
                      <w:marTop w:val="0"/>
                      <w:marBottom w:val="0"/>
                      <w:divBdr>
                        <w:top w:val="none" w:sz="0" w:space="0" w:color="auto"/>
                        <w:left w:val="none" w:sz="0" w:space="0" w:color="auto"/>
                        <w:bottom w:val="none" w:sz="0" w:space="0" w:color="auto"/>
                        <w:right w:val="none" w:sz="0" w:space="0" w:color="auto"/>
                      </w:divBdr>
                      <w:divsChild>
                        <w:div w:id="1839886423">
                          <w:marLeft w:val="0"/>
                          <w:marRight w:val="0"/>
                          <w:marTop w:val="0"/>
                          <w:marBottom w:val="0"/>
                          <w:divBdr>
                            <w:top w:val="none" w:sz="0" w:space="0" w:color="auto"/>
                            <w:left w:val="none" w:sz="0" w:space="0" w:color="auto"/>
                            <w:bottom w:val="none" w:sz="0" w:space="0" w:color="auto"/>
                            <w:right w:val="none" w:sz="0" w:space="0" w:color="auto"/>
                          </w:divBdr>
                          <w:divsChild>
                            <w:div w:id="680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927763">
      <w:bodyDiv w:val="1"/>
      <w:marLeft w:val="60"/>
      <w:marRight w:val="60"/>
      <w:marTop w:val="60"/>
      <w:marBottom w:val="15"/>
      <w:divBdr>
        <w:top w:val="none" w:sz="0" w:space="0" w:color="auto"/>
        <w:left w:val="none" w:sz="0" w:space="0" w:color="auto"/>
        <w:bottom w:val="none" w:sz="0" w:space="0" w:color="auto"/>
        <w:right w:val="none" w:sz="0" w:space="0" w:color="auto"/>
      </w:divBdr>
      <w:divsChild>
        <w:div w:id="1779593926">
          <w:marLeft w:val="0"/>
          <w:marRight w:val="0"/>
          <w:marTop w:val="0"/>
          <w:marBottom w:val="0"/>
          <w:divBdr>
            <w:top w:val="none" w:sz="0" w:space="0" w:color="auto"/>
            <w:left w:val="none" w:sz="0" w:space="0" w:color="auto"/>
            <w:bottom w:val="none" w:sz="0" w:space="0" w:color="auto"/>
            <w:right w:val="none" w:sz="0" w:space="0" w:color="auto"/>
          </w:divBdr>
        </w:div>
      </w:divsChild>
    </w:div>
    <w:div w:id="924924120">
      <w:bodyDiv w:val="1"/>
      <w:marLeft w:val="60"/>
      <w:marRight w:val="60"/>
      <w:marTop w:val="60"/>
      <w:marBottom w:val="15"/>
      <w:divBdr>
        <w:top w:val="none" w:sz="0" w:space="0" w:color="auto"/>
        <w:left w:val="none" w:sz="0" w:space="0" w:color="auto"/>
        <w:bottom w:val="none" w:sz="0" w:space="0" w:color="auto"/>
        <w:right w:val="none" w:sz="0" w:space="0" w:color="auto"/>
      </w:divBdr>
      <w:divsChild>
        <w:div w:id="869227318">
          <w:marLeft w:val="0"/>
          <w:marRight w:val="0"/>
          <w:marTop w:val="0"/>
          <w:marBottom w:val="0"/>
          <w:divBdr>
            <w:top w:val="none" w:sz="0" w:space="0" w:color="auto"/>
            <w:left w:val="none" w:sz="0" w:space="0" w:color="auto"/>
            <w:bottom w:val="none" w:sz="0" w:space="0" w:color="auto"/>
            <w:right w:val="none" w:sz="0" w:space="0" w:color="auto"/>
          </w:divBdr>
        </w:div>
      </w:divsChild>
    </w:div>
    <w:div w:id="1029523569">
      <w:bodyDiv w:val="1"/>
      <w:marLeft w:val="0"/>
      <w:marRight w:val="0"/>
      <w:marTop w:val="0"/>
      <w:marBottom w:val="0"/>
      <w:divBdr>
        <w:top w:val="none" w:sz="0" w:space="0" w:color="auto"/>
        <w:left w:val="none" w:sz="0" w:space="0" w:color="auto"/>
        <w:bottom w:val="none" w:sz="0" w:space="0" w:color="auto"/>
        <w:right w:val="none" w:sz="0" w:space="0" w:color="auto"/>
      </w:divBdr>
    </w:div>
    <w:div w:id="1079518514">
      <w:bodyDiv w:val="1"/>
      <w:marLeft w:val="0"/>
      <w:marRight w:val="0"/>
      <w:marTop w:val="0"/>
      <w:marBottom w:val="0"/>
      <w:divBdr>
        <w:top w:val="none" w:sz="0" w:space="0" w:color="auto"/>
        <w:left w:val="none" w:sz="0" w:space="0" w:color="auto"/>
        <w:bottom w:val="none" w:sz="0" w:space="0" w:color="auto"/>
        <w:right w:val="none" w:sz="0" w:space="0" w:color="auto"/>
      </w:divBdr>
    </w:div>
    <w:div w:id="1118640962">
      <w:bodyDiv w:val="1"/>
      <w:marLeft w:val="60"/>
      <w:marRight w:val="60"/>
      <w:marTop w:val="60"/>
      <w:marBottom w:val="15"/>
      <w:divBdr>
        <w:top w:val="none" w:sz="0" w:space="0" w:color="auto"/>
        <w:left w:val="none" w:sz="0" w:space="0" w:color="auto"/>
        <w:bottom w:val="none" w:sz="0" w:space="0" w:color="auto"/>
        <w:right w:val="none" w:sz="0" w:space="0" w:color="auto"/>
      </w:divBdr>
      <w:divsChild>
        <w:div w:id="148443192">
          <w:marLeft w:val="0"/>
          <w:marRight w:val="0"/>
          <w:marTop w:val="0"/>
          <w:marBottom w:val="0"/>
          <w:divBdr>
            <w:top w:val="none" w:sz="0" w:space="0" w:color="auto"/>
            <w:left w:val="none" w:sz="0" w:space="0" w:color="auto"/>
            <w:bottom w:val="none" w:sz="0" w:space="0" w:color="auto"/>
            <w:right w:val="none" w:sz="0" w:space="0" w:color="auto"/>
          </w:divBdr>
          <w:divsChild>
            <w:div w:id="10151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5401">
      <w:bodyDiv w:val="1"/>
      <w:marLeft w:val="0"/>
      <w:marRight w:val="0"/>
      <w:marTop w:val="0"/>
      <w:marBottom w:val="0"/>
      <w:divBdr>
        <w:top w:val="none" w:sz="0" w:space="0" w:color="auto"/>
        <w:left w:val="none" w:sz="0" w:space="0" w:color="auto"/>
        <w:bottom w:val="none" w:sz="0" w:space="0" w:color="auto"/>
        <w:right w:val="none" w:sz="0" w:space="0" w:color="auto"/>
      </w:divBdr>
      <w:divsChild>
        <w:div w:id="88427183">
          <w:marLeft w:val="0"/>
          <w:marRight w:val="0"/>
          <w:marTop w:val="0"/>
          <w:marBottom w:val="0"/>
          <w:divBdr>
            <w:top w:val="none" w:sz="0" w:space="0" w:color="auto"/>
            <w:left w:val="none" w:sz="0" w:space="0" w:color="auto"/>
            <w:bottom w:val="none" w:sz="0" w:space="0" w:color="auto"/>
            <w:right w:val="none" w:sz="0" w:space="0" w:color="auto"/>
          </w:divBdr>
          <w:divsChild>
            <w:div w:id="130561208">
              <w:marLeft w:val="0"/>
              <w:marRight w:val="0"/>
              <w:marTop w:val="0"/>
              <w:marBottom w:val="0"/>
              <w:divBdr>
                <w:top w:val="none" w:sz="0" w:space="0" w:color="auto"/>
                <w:left w:val="none" w:sz="0" w:space="0" w:color="auto"/>
                <w:bottom w:val="none" w:sz="0" w:space="0" w:color="auto"/>
                <w:right w:val="none" w:sz="0" w:space="0" w:color="auto"/>
              </w:divBdr>
              <w:divsChild>
                <w:div w:id="886800196">
                  <w:marLeft w:val="0"/>
                  <w:marRight w:val="0"/>
                  <w:marTop w:val="0"/>
                  <w:marBottom w:val="0"/>
                  <w:divBdr>
                    <w:top w:val="none" w:sz="0" w:space="0" w:color="auto"/>
                    <w:left w:val="none" w:sz="0" w:space="0" w:color="auto"/>
                    <w:bottom w:val="none" w:sz="0" w:space="0" w:color="auto"/>
                    <w:right w:val="none" w:sz="0" w:space="0" w:color="auto"/>
                  </w:divBdr>
                  <w:divsChild>
                    <w:div w:id="1996296988">
                      <w:marLeft w:val="0"/>
                      <w:marRight w:val="0"/>
                      <w:marTop w:val="0"/>
                      <w:marBottom w:val="0"/>
                      <w:divBdr>
                        <w:top w:val="none" w:sz="0" w:space="0" w:color="auto"/>
                        <w:left w:val="none" w:sz="0" w:space="0" w:color="auto"/>
                        <w:bottom w:val="none" w:sz="0" w:space="0" w:color="auto"/>
                        <w:right w:val="none" w:sz="0" w:space="0" w:color="auto"/>
                      </w:divBdr>
                      <w:divsChild>
                        <w:div w:id="1397120884">
                          <w:marLeft w:val="0"/>
                          <w:marRight w:val="0"/>
                          <w:marTop w:val="0"/>
                          <w:marBottom w:val="0"/>
                          <w:divBdr>
                            <w:top w:val="none" w:sz="0" w:space="0" w:color="auto"/>
                            <w:left w:val="none" w:sz="0" w:space="0" w:color="auto"/>
                            <w:bottom w:val="none" w:sz="0" w:space="0" w:color="auto"/>
                            <w:right w:val="none" w:sz="0" w:space="0" w:color="auto"/>
                          </w:divBdr>
                          <w:divsChild>
                            <w:div w:id="885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3278">
      <w:bodyDiv w:val="1"/>
      <w:marLeft w:val="60"/>
      <w:marRight w:val="60"/>
      <w:marTop w:val="60"/>
      <w:marBottom w:val="15"/>
      <w:divBdr>
        <w:top w:val="none" w:sz="0" w:space="0" w:color="auto"/>
        <w:left w:val="none" w:sz="0" w:space="0" w:color="auto"/>
        <w:bottom w:val="none" w:sz="0" w:space="0" w:color="auto"/>
        <w:right w:val="none" w:sz="0" w:space="0" w:color="auto"/>
      </w:divBdr>
      <w:divsChild>
        <w:div w:id="975718420">
          <w:marLeft w:val="0"/>
          <w:marRight w:val="0"/>
          <w:marTop w:val="0"/>
          <w:marBottom w:val="0"/>
          <w:divBdr>
            <w:top w:val="none" w:sz="0" w:space="0" w:color="auto"/>
            <w:left w:val="none" w:sz="0" w:space="0" w:color="auto"/>
            <w:bottom w:val="none" w:sz="0" w:space="0" w:color="auto"/>
            <w:right w:val="none" w:sz="0" w:space="0" w:color="auto"/>
          </w:divBdr>
        </w:div>
      </w:divsChild>
    </w:div>
    <w:div w:id="1302923442">
      <w:bodyDiv w:val="1"/>
      <w:marLeft w:val="0"/>
      <w:marRight w:val="0"/>
      <w:marTop w:val="0"/>
      <w:marBottom w:val="0"/>
      <w:divBdr>
        <w:top w:val="none" w:sz="0" w:space="0" w:color="auto"/>
        <w:left w:val="none" w:sz="0" w:space="0" w:color="auto"/>
        <w:bottom w:val="none" w:sz="0" w:space="0" w:color="auto"/>
        <w:right w:val="none" w:sz="0" w:space="0" w:color="auto"/>
      </w:divBdr>
      <w:divsChild>
        <w:div w:id="915014568">
          <w:marLeft w:val="0"/>
          <w:marRight w:val="0"/>
          <w:marTop w:val="0"/>
          <w:marBottom w:val="0"/>
          <w:divBdr>
            <w:top w:val="none" w:sz="0" w:space="0" w:color="auto"/>
            <w:left w:val="none" w:sz="0" w:space="0" w:color="auto"/>
            <w:bottom w:val="none" w:sz="0" w:space="0" w:color="auto"/>
            <w:right w:val="none" w:sz="0" w:space="0" w:color="auto"/>
          </w:divBdr>
          <w:divsChild>
            <w:div w:id="1754934150">
              <w:marLeft w:val="0"/>
              <w:marRight w:val="0"/>
              <w:marTop w:val="0"/>
              <w:marBottom w:val="0"/>
              <w:divBdr>
                <w:top w:val="none" w:sz="0" w:space="0" w:color="auto"/>
                <w:left w:val="none" w:sz="0" w:space="0" w:color="auto"/>
                <w:bottom w:val="none" w:sz="0" w:space="0" w:color="auto"/>
                <w:right w:val="none" w:sz="0" w:space="0" w:color="auto"/>
              </w:divBdr>
              <w:divsChild>
                <w:div w:id="1506439335">
                  <w:marLeft w:val="0"/>
                  <w:marRight w:val="0"/>
                  <w:marTop w:val="0"/>
                  <w:marBottom w:val="0"/>
                  <w:divBdr>
                    <w:top w:val="none" w:sz="0" w:space="0" w:color="auto"/>
                    <w:left w:val="none" w:sz="0" w:space="0" w:color="auto"/>
                    <w:bottom w:val="none" w:sz="0" w:space="0" w:color="auto"/>
                    <w:right w:val="none" w:sz="0" w:space="0" w:color="auto"/>
                  </w:divBdr>
                  <w:divsChild>
                    <w:div w:id="1034117453">
                      <w:marLeft w:val="0"/>
                      <w:marRight w:val="0"/>
                      <w:marTop w:val="0"/>
                      <w:marBottom w:val="0"/>
                      <w:divBdr>
                        <w:top w:val="none" w:sz="0" w:space="0" w:color="auto"/>
                        <w:left w:val="none" w:sz="0" w:space="0" w:color="auto"/>
                        <w:bottom w:val="none" w:sz="0" w:space="0" w:color="auto"/>
                        <w:right w:val="none" w:sz="0" w:space="0" w:color="auto"/>
                      </w:divBdr>
                      <w:divsChild>
                        <w:div w:id="573317938">
                          <w:marLeft w:val="0"/>
                          <w:marRight w:val="0"/>
                          <w:marTop w:val="0"/>
                          <w:marBottom w:val="0"/>
                          <w:divBdr>
                            <w:top w:val="none" w:sz="0" w:space="0" w:color="auto"/>
                            <w:left w:val="none" w:sz="0" w:space="0" w:color="auto"/>
                            <w:bottom w:val="none" w:sz="0" w:space="0" w:color="auto"/>
                            <w:right w:val="none" w:sz="0" w:space="0" w:color="auto"/>
                          </w:divBdr>
                          <w:divsChild>
                            <w:div w:id="14886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834235">
      <w:bodyDiv w:val="1"/>
      <w:marLeft w:val="0"/>
      <w:marRight w:val="0"/>
      <w:marTop w:val="0"/>
      <w:marBottom w:val="0"/>
      <w:divBdr>
        <w:top w:val="none" w:sz="0" w:space="0" w:color="auto"/>
        <w:left w:val="none" w:sz="0" w:space="0" w:color="auto"/>
        <w:bottom w:val="none" w:sz="0" w:space="0" w:color="auto"/>
        <w:right w:val="none" w:sz="0" w:space="0" w:color="auto"/>
      </w:divBdr>
    </w:div>
    <w:div w:id="1407997856">
      <w:bodyDiv w:val="1"/>
      <w:marLeft w:val="0"/>
      <w:marRight w:val="0"/>
      <w:marTop w:val="0"/>
      <w:marBottom w:val="0"/>
      <w:divBdr>
        <w:top w:val="none" w:sz="0" w:space="0" w:color="auto"/>
        <w:left w:val="none" w:sz="0" w:space="0" w:color="auto"/>
        <w:bottom w:val="none" w:sz="0" w:space="0" w:color="auto"/>
        <w:right w:val="none" w:sz="0" w:space="0" w:color="auto"/>
      </w:divBdr>
    </w:div>
    <w:div w:id="1438405080">
      <w:bodyDiv w:val="1"/>
      <w:marLeft w:val="60"/>
      <w:marRight w:val="60"/>
      <w:marTop w:val="60"/>
      <w:marBottom w:val="15"/>
      <w:divBdr>
        <w:top w:val="none" w:sz="0" w:space="0" w:color="auto"/>
        <w:left w:val="none" w:sz="0" w:space="0" w:color="auto"/>
        <w:bottom w:val="none" w:sz="0" w:space="0" w:color="auto"/>
        <w:right w:val="none" w:sz="0" w:space="0" w:color="auto"/>
      </w:divBdr>
      <w:divsChild>
        <w:div w:id="1150907015">
          <w:marLeft w:val="0"/>
          <w:marRight w:val="0"/>
          <w:marTop w:val="0"/>
          <w:marBottom w:val="0"/>
          <w:divBdr>
            <w:top w:val="none" w:sz="0" w:space="0" w:color="auto"/>
            <w:left w:val="none" w:sz="0" w:space="0" w:color="auto"/>
            <w:bottom w:val="none" w:sz="0" w:space="0" w:color="auto"/>
            <w:right w:val="none" w:sz="0" w:space="0" w:color="auto"/>
          </w:divBdr>
        </w:div>
      </w:divsChild>
    </w:div>
    <w:div w:id="1467314239">
      <w:bodyDiv w:val="1"/>
      <w:marLeft w:val="60"/>
      <w:marRight w:val="60"/>
      <w:marTop w:val="60"/>
      <w:marBottom w:val="15"/>
      <w:divBdr>
        <w:top w:val="none" w:sz="0" w:space="0" w:color="auto"/>
        <w:left w:val="none" w:sz="0" w:space="0" w:color="auto"/>
        <w:bottom w:val="none" w:sz="0" w:space="0" w:color="auto"/>
        <w:right w:val="none" w:sz="0" w:space="0" w:color="auto"/>
      </w:divBdr>
      <w:divsChild>
        <w:div w:id="1580212969">
          <w:marLeft w:val="0"/>
          <w:marRight w:val="0"/>
          <w:marTop w:val="0"/>
          <w:marBottom w:val="0"/>
          <w:divBdr>
            <w:top w:val="none" w:sz="0" w:space="0" w:color="auto"/>
            <w:left w:val="none" w:sz="0" w:space="0" w:color="auto"/>
            <w:bottom w:val="none" w:sz="0" w:space="0" w:color="auto"/>
            <w:right w:val="none" w:sz="0" w:space="0" w:color="auto"/>
          </w:divBdr>
        </w:div>
      </w:divsChild>
    </w:div>
    <w:div w:id="1507480503">
      <w:bodyDiv w:val="1"/>
      <w:marLeft w:val="0"/>
      <w:marRight w:val="0"/>
      <w:marTop w:val="0"/>
      <w:marBottom w:val="0"/>
      <w:divBdr>
        <w:top w:val="none" w:sz="0" w:space="0" w:color="auto"/>
        <w:left w:val="none" w:sz="0" w:space="0" w:color="auto"/>
        <w:bottom w:val="none" w:sz="0" w:space="0" w:color="auto"/>
        <w:right w:val="none" w:sz="0" w:space="0" w:color="auto"/>
      </w:divBdr>
    </w:div>
    <w:div w:id="1667854107">
      <w:bodyDiv w:val="1"/>
      <w:marLeft w:val="60"/>
      <w:marRight w:val="60"/>
      <w:marTop w:val="60"/>
      <w:marBottom w:val="15"/>
      <w:divBdr>
        <w:top w:val="none" w:sz="0" w:space="0" w:color="auto"/>
        <w:left w:val="none" w:sz="0" w:space="0" w:color="auto"/>
        <w:bottom w:val="none" w:sz="0" w:space="0" w:color="auto"/>
        <w:right w:val="none" w:sz="0" w:space="0" w:color="auto"/>
      </w:divBdr>
      <w:divsChild>
        <w:div w:id="1253465921">
          <w:marLeft w:val="0"/>
          <w:marRight w:val="0"/>
          <w:marTop w:val="0"/>
          <w:marBottom w:val="0"/>
          <w:divBdr>
            <w:top w:val="none" w:sz="0" w:space="0" w:color="auto"/>
            <w:left w:val="none" w:sz="0" w:space="0" w:color="auto"/>
            <w:bottom w:val="none" w:sz="0" w:space="0" w:color="auto"/>
            <w:right w:val="none" w:sz="0" w:space="0" w:color="auto"/>
          </w:divBdr>
        </w:div>
      </w:divsChild>
    </w:div>
    <w:div w:id="1686666728">
      <w:bodyDiv w:val="1"/>
      <w:marLeft w:val="60"/>
      <w:marRight w:val="60"/>
      <w:marTop w:val="60"/>
      <w:marBottom w:val="15"/>
      <w:divBdr>
        <w:top w:val="none" w:sz="0" w:space="0" w:color="auto"/>
        <w:left w:val="none" w:sz="0" w:space="0" w:color="auto"/>
        <w:bottom w:val="none" w:sz="0" w:space="0" w:color="auto"/>
        <w:right w:val="none" w:sz="0" w:space="0" w:color="auto"/>
      </w:divBdr>
      <w:divsChild>
        <w:div w:id="1919320012">
          <w:marLeft w:val="0"/>
          <w:marRight w:val="0"/>
          <w:marTop w:val="0"/>
          <w:marBottom w:val="0"/>
          <w:divBdr>
            <w:top w:val="none" w:sz="0" w:space="0" w:color="auto"/>
            <w:left w:val="none" w:sz="0" w:space="0" w:color="auto"/>
            <w:bottom w:val="none" w:sz="0" w:space="0" w:color="auto"/>
            <w:right w:val="none" w:sz="0" w:space="0" w:color="auto"/>
          </w:divBdr>
        </w:div>
      </w:divsChild>
    </w:div>
    <w:div w:id="1749495741">
      <w:bodyDiv w:val="1"/>
      <w:marLeft w:val="60"/>
      <w:marRight w:val="60"/>
      <w:marTop w:val="60"/>
      <w:marBottom w:val="15"/>
      <w:divBdr>
        <w:top w:val="none" w:sz="0" w:space="0" w:color="auto"/>
        <w:left w:val="none" w:sz="0" w:space="0" w:color="auto"/>
        <w:bottom w:val="none" w:sz="0" w:space="0" w:color="auto"/>
        <w:right w:val="none" w:sz="0" w:space="0" w:color="auto"/>
      </w:divBdr>
      <w:divsChild>
        <w:div w:id="35278840">
          <w:marLeft w:val="0"/>
          <w:marRight w:val="0"/>
          <w:marTop w:val="0"/>
          <w:marBottom w:val="0"/>
          <w:divBdr>
            <w:top w:val="none" w:sz="0" w:space="0" w:color="auto"/>
            <w:left w:val="none" w:sz="0" w:space="0" w:color="auto"/>
            <w:bottom w:val="none" w:sz="0" w:space="0" w:color="auto"/>
            <w:right w:val="none" w:sz="0" w:space="0" w:color="auto"/>
          </w:divBdr>
        </w:div>
        <w:div w:id="81725496">
          <w:marLeft w:val="0"/>
          <w:marRight w:val="0"/>
          <w:marTop w:val="0"/>
          <w:marBottom w:val="0"/>
          <w:divBdr>
            <w:top w:val="none" w:sz="0" w:space="0" w:color="auto"/>
            <w:left w:val="none" w:sz="0" w:space="0" w:color="auto"/>
            <w:bottom w:val="none" w:sz="0" w:space="0" w:color="auto"/>
            <w:right w:val="none" w:sz="0" w:space="0" w:color="auto"/>
          </w:divBdr>
        </w:div>
      </w:divsChild>
    </w:div>
    <w:div w:id="1841240129">
      <w:bodyDiv w:val="1"/>
      <w:marLeft w:val="0"/>
      <w:marRight w:val="0"/>
      <w:marTop w:val="0"/>
      <w:marBottom w:val="0"/>
      <w:divBdr>
        <w:top w:val="none" w:sz="0" w:space="0" w:color="auto"/>
        <w:left w:val="none" w:sz="0" w:space="0" w:color="auto"/>
        <w:bottom w:val="none" w:sz="0" w:space="0" w:color="auto"/>
        <w:right w:val="none" w:sz="0" w:space="0" w:color="auto"/>
      </w:divBdr>
    </w:div>
    <w:div w:id="1864780903">
      <w:bodyDiv w:val="1"/>
      <w:marLeft w:val="60"/>
      <w:marRight w:val="60"/>
      <w:marTop w:val="60"/>
      <w:marBottom w:val="15"/>
      <w:divBdr>
        <w:top w:val="none" w:sz="0" w:space="0" w:color="auto"/>
        <w:left w:val="none" w:sz="0" w:space="0" w:color="auto"/>
        <w:bottom w:val="none" w:sz="0" w:space="0" w:color="auto"/>
        <w:right w:val="none" w:sz="0" w:space="0" w:color="auto"/>
      </w:divBdr>
      <w:divsChild>
        <w:div w:id="1561089566">
          <w:marLeft w:val="0"/>
          <w:marRight w:val="0"/>
          <w:marTop w:val="0"/>
          <w:marBottom w:val="0"/>
          <w:divBdr>
            <w:top w:val="none" w:sz="0" w:space="0" w:color="auto"/>
            <w:left w:val="none" w:sz="0" w:space="0" w:color="auto"/>
            <w:bottom w:val="none" w:sz="0" w:space="0" w:color="auto"/>
            <w:right w:val="none" w:sz="0" w:space="0" w:color="auto"/>
          </w:divBdr>
        </w:div>
      </w:divsChild>
    </w:div>
    <w:div w:id="2027443743">
      <w:bodyDiv w:val="1"/>
      <w:marLeft w:val="60"/>
      <w:marRight w:val="60"/>
      <w:marTop w:val="60"/>
      <w:marBottom w:val="15"/>
      <w:divBdr>
        <w:top w:val="none" w:sz="0" w:space="0" w:color="auto"/>
        <w:left w:val="none" w:sz="0" w:space="0" w:color="auto"/>
        <w:bottom w:val="none" w:sz="0" w:space="0" w:color="auto"/>
        <w:right w:val="none" w:sz="0" w:space="0" w:color="auto"/>
      </w:divBdr>
      <w:divsChild>
        <w:div w:id="125281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c.europa.eu/health/documents/community-register/html/ho26095.htm" TargetMode="External"/><Relationship Id="rId18" Type="http://schemas.openxmlformats.org/officeDocument/2006/relationships/hyperlink" Target="http://www.ema.europa.eu/docs/en_GB/document_library/Agenda/2017/09/WC500235369.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bfarm.de/DE/Arzneimittel/Pharmakovigilanz/Bulletin/_node.html" TargetMode="External"/><Relationship Id="rId7" Type="http://schemas.openxmlformats.org/officeDocument/2006/relationships/settings" Target="settings.xml"/><Relationship Id="rId12" Type="http://schemas.openxmlformats.org/officeDocument/2006/relationships/hyperlink" Target="http://www.ema.europa.eu/ema/index.jsp?curl=pages/medicines/landing/psusa_search.jsp&amp;mid=WC0b01ac0580902b8d" TargetMode="External"/><Relationship Id="rId17" Type="http://schemas.openxmlformats.org/officeDocument/2006/relationships/hyperlink" Target="http://www.ema.europa.eu/docs/en_GB/document_library/Referrals_document/Paracetamol_31/Procedure_started/WC500209981.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ma.europa.eu/docs/en_GB/document_library/Referrals_document/Zinbryta_20/Under_evaluation/WC500231665.pdf" TargetMode="External"/><Relationship Id="rId20" Type="http://schemas.openxmlformats.org/officeDocument/2006/relationships/hyperlink" Target="http://www.ema.europa.eu/ema/index.jsp?curl=pages/regulation/document_listing/document_listing_000375.jsp&amp;mid=WC0b01ac0580727d1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ahbonn.sharepoint.com/SPHlaufwerk/_Allgemein/Team_Pharmakovigilanz/PV-Wochenberichte/2017/38-KW/Di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ma.europa.eu/docs/en_GB/document_library/Minutes/2017/09/WC500235426.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ma.europa.eu/ema/index.jsp?curl=pages/medicines/human/referrals/Valproate_and_related_substances/human_referral_prac_000032.jsp&amp;mid=WC0b01ac05805c516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ema/index.jsp?curl=pages/medicines/landing/psusa_search.jsp&amp;mid=WC0b01ac0580902b8d"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7EAE59455871E46A9FA443D73AFE879" ma:contentTypeVersion="8" ma:contentTypeDescription="Ein neues Dokument erstellen." ma:contentTypeScope="" ma:versionID="de9ed12ec28709fee5bf2560cf355e21">
  <xsd:schema xmlns:xsd="http://www.w3.org/2001/XMLSchema" xmlns:xs="http://www.w3.org/2001/XMLSchema" xmlns:p="http://schemas.microsoft.com/office/2006/metadata/properties" xmlns:ns2="8cea201b-f78e-4710-bb37-675106f3d11b" xmlns:ns3="dd687069-60a6-416c-a646-6546b9e245e1" targetNamespace="http://schemas.microsoft.com/office/2006/metadata/properties" ma:root="true" ma:fieldsID="22d5be2289ef60fe86cdbfa5142e0baa" ns2:_="" ns3:_="">
    <xsd:import namespace="8cea201b-f78e-4710-bb37-675106f3d11b"/>
    <xsd:import namespace="dd687069-60a6-416c-a646-6546b9e245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a201b-f78e-4710-bb37-675106f3d11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687069-60a6-416c-a646-6546b9e245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6E196-DA59-4B44-B087-386127F1069E}">
  <ds:schemaRefs>
    <ds:schemaRef ds:uri="http://schemas.microsoft.com/sharepoint/v3/contenttype/forms"/>
  </ds:schemaRefs>
</ds:datastoreItem>
</file>

<file path=customXml/itemProps2.xml><?xml version="1.0" encoding="utf-8"?>
<ds:datastoreItem xmlns:ds="http://schemas.openxmlformats.org/officeDocument/2006/customXml" ds:itemID="{28A705DB-17D5-4B00-AAFF-C2476352962B}">
  <ds:schemaRefs>
    <ds:schemaRef ds:uri="http://schemas.microsoft.com/office/2006/documentManagement/types"/>
    <ds:schemaRef ds:uri="http://purl.org/dc/elements/1.1/"/>
    <ds:schemaRef ds:uri="http://purl.org/dc/terms/"/>
    <ds:schemaRef ds:uri="http://schemas.microsoft.com/office/infopath/2007/PartnerControls"/>
    <ds:schemaRef ds:uri="dd687069-60a6-416c-a646-6546b9e245e1"/>
    <ds:schemaRef ds:uri="http://www.w3.org/XML/1998/namespace"/>
    <ds:schemaRef ds:uri="http://schemas.microsoft.com/office/2006/metadata/properties"/>
    <ds:schemaRef ds:uri="http://schemas.openxmlformats.org/package/2006/metadata/core-properties"/>
    <ds:schemaRef ds:uri="8cea201b-f78e-4710-bb37-675106f3d11b"/>
    <ds:schemaRef ds:uri="http://purl.org/dc/dcmitype/"/>
  </ds:schemaRefs>
</ds:datastoreItem>
</file>

<file path=customXml/itemProps3.xml><?xml version="1.0" encoding="utf-8"?>
<ds:datastoreItem xmlns:ds="http://schemas.openxmlformats.org/officeDocument/2006/customXml" ds:itemID="{74BBD7B3-8915-4C25-B05A-F34C56832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a201b-f78e-4710-bb37-675106f3d11b"/>
    <ds:schemaRef ds:uri="dd687069-60a6-416c-a646-6546b9e24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EF0E9-1F99-468D-A341-C5C67816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2508</Words>
  <Characters>15807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Rundschreiben 1/1998</vt:lpstr>
    </vt:vector>
  </TitlesOfParts>
  <Company>BAH</Company>
  <LinksUpToDate>false</LinksUpToDate>
  <CharactersWithSpaces>18279</CharactersWithSpaces>
  <SharedDoc>false</SharedDoc>
  <HLinks>
    <vt:vector size="6" baseType="variant">
      <vt:variant>
        <vt:i4>2424898</vt:i4>
      </vt:variant>
      <vt:variant>
        <vt:i4>0</vt:i4>
      </vt:variant>
      <vt:variant>
        <vt:i4>0</vt:i4>
      </vt:variant>
      <vt:variant>
        <vt:i4>5</vt:i4>
      </vt:variant>
      <vt:variant>
        <vt:lpwstr>mailto:bah@bah-bonn.de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Rundschreiben 1/1998</dc:title>
  <dc:creator>Abresch</dc:creator>
  <cp:keywords>13/01/1998</cp:keywords>
  <cp:lastModifiedBy>Karen Lenthe</cp:lastModifiedBy>
  <cp:revision>3</cp:revision>
  <cp:lastPrinted>2017-08-28T09:57:00Z</cp:lastPrinted>
  <dcterms:created xsi:type="dcterms:W3CDTF">2017-09-25T10:36:00Z</dcterms:created>
  <dcterms:modified xsi:type="dcterms:W3CDTF">2017-09-25T11:31:00Z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0x01010097EAE59455871E46A9FA443D73AFE879</vt:lpwstr>
  </property>
</Properties>
</file>